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F38FF" w14:textId="24662466" w:rsidR="00FC135C" w:rsidRPr="00F44548" w:rsidRDefault="00FC135C" w:rsidP="00FC135C">
      <w:pPr>
        <w:spacing w:after="160"/>
        <w:jc w:val="right"/>
        <w:rPr>
          <w:i/>
          <w:color w:val="000000"/>
          <w:shd w:val="clear" w:color="auto" w:fill="FFFF0B"/>
          <w:lang w:val="en-GB"/>
        </w:rPr>
      </w:pPr>
      <w:proofErr w:type="spellStart"/>
      <w:r w:rsidRPr="00F44548">
        <w:rPr>
          <w:i/>
          <w:color w:val="000000"/>
          <w:lang w:val="en-GB"/>
        </w:rPr>
        <w:t>Biogeographia</w:t>
      </w:r>
      <w:proofErr w:type="spellEnd"/>
      <w:r w:rsidRPr="00F44548">
        <w:rPr>
          <w:i/>
          <w:color w:val="000000"/>
          <w:lang w:val="en-GB"/>
        </w:rPr>
        <w:t xml:space="preserve"> – The Journal of Integrative Biogeography 202</w:t>
      </w:r>
      <w:r w:rsidR="0046166B">
        <w:rPr>
          <w:i/>
          <w:color w:val="000000"/>
          <w:lang w:val="en-GB"/>
        </w:rPr>
        <w:t>5</w:t>
      </w:r>
      <w:r w:rsidRPr="00F44548">
        <w:rPr>
          <w:i/>
          <w:color w:val="000000"/>
          <w:lang w:val="en-GB"/>
        </w:rPr>
        <w:t xml:space="preserve">, </w:t>
      </w:r>
      <w:r w:rsidR="0046166B">
        <w:rPr>
          <w:i/>
          <w:color w:val="000000"/>
          <w:lang w:val="en-GB"/>
        </w:rPr>
        <w:t>40</w:t>
      </w:r>
      <w:r w:rsidRPr="00F44548">
        <w:rPr>
          <w:i/>
          <w:color w:val="000000"/>
          <w:lang w:val="en-GB"/>
        </w:rPr>
        <w:t xml:space="preserve"> (</w:t>
      </w:r>
      <w:r w:rsidR="00F77DA9">
        <w:rPr>
          <w:i/>
          <w:color w:val="000000"/>
          <w:lang w:val="en-GB"/>
        </w:rPr>
        <w:t>2</w:t>
      </w:r>
      <w:r w:rsidRPr="00F44548">
        <w:rPr>
          <w:i/>
          <w:color w:val="000000"/>
          <w:lang w:val="en-GB"/>
        </w:rPr>
        <w:t xml:space="preserve">): </w:t>
      </w:r>
      <w:r w:rsidR="001215AC" w:rsidRPr="00BD49AA">
        <w:rPr>
          <w:i/>
          <w:color w:val="000000"/>
          <w:lang w:val="en-GB"/>
        </w:rPr>
        <w:t>a0</w:t>
      </w:r>
      <w:r w:rsidR="00BD49AA" w:rsidRPr="00BD49AA">
        <w:rPr>
          <w:i/>
          <w:color w:val="000000"/>
          <w:lang w:val="en-GB"/>
        </w:rPr>
        <w:t>4</w:t>
      </w:r>
      <w:r w:rsidR="00F77DA9">
        <w:rPr>
          <w:i/>
          <w:color w:val="000000"/>
          <w:lang w:val="en-GB"/>
        </w:rPr>
        <w:t>8</w:t>
      </w:r>
    </w:p>
    <w:p w14:paraId="7F1A5D9C" w14:textId="21ECC8C8" w:rsidR="00FC135C" w:rsidRPr="00F44548" w:rsidRDefault="007B032E" w:rsidP="00FC135C">
      <w:pPr>
        <w:spacing w:after="160"/>
        <w:jc w:val="right"/>
        <w:rPr>
          <w:i/>
          <w:color w:val="000000"/>
          <w:shd w:val="clear" w:color="auto" w:fill="FFFF0B"/>
          <w:lang w:val="en-GB"/>
        </w:rPr>
      </w:pPr>
      <w:r w:rsidRPr="007B032E">
        <w:rPr>
          <w:i/>
          <w:color w:val="000000"/>
          <w:lang w:val="en-GB"/>
        </w:rPr>
        <w:t>https://doi.org/</w:t>
      </w:r>
      <w:r w:rsidR="00A1774A" w:rsidRPr="00A1774A">
        <w:rPr>
          <w:i/>
          <w:color w:val="000000"/>
          <w:lang w:val="en-GB"/>
        </w:rPr>
        <w:t>10.21426/B6.47132</w:t>
      </w:r>
    </w:p>
    <w:p w14:paraId="6E591DAF" w14:textId="77777777" w:rsidR="00FC135C" w:rsidRDefault="00FC135C" w:rsidP="00FC135C">
      <w:pPr>
        <w:spacing w:after="160"/>
        <w:jc w:val="right"/>
        <w:rPr>
          <w:color w:val="000000"/>
          <w:lang w:val="en-GB"/>
        </w:rPr>
      </w:pPr>
    </w:p>
    <w:p w14:paraId="58106FF1" w14:textId="77777777" w:rsidR="00F77DA9" w:rsidRPr="00F44548" w:rsidRDefault="00F77DA9" w:rsidP="00FC135C">
      <w:pPr>
        <w:spacing w:after="160"/>
        <w:jc w:val="right"/>
        <w:rPr>
          <w:color w:val="000000"/>
          <w:lang w:val="en-GB"/>
        </w:rPr>
      </w:pPr>
    </w:p>
    <w:p w14:paraId="598C5D48" w14:textId="23DBB341" w:rsidR="00FC135C" w:rsidRPr="00F44548" w:rsidRDefault="00F77DA9" w:rsidP="00FC135C">
      <w:pPr>
        <w:spacing w:after="160"/>
        <w:jc w:val="right"/>
        <w:rPr>
          <w:color w:val="000000"/>
          <w:lang w:val="en-GB"/>
        </w:rPr>
      </w:pPr>
      <w:r w:rsidRPr="00F77DA9">
        <w:rPr>
          <w:b/>
          <w:color w:val="000000"/>
          <w:sz w:val="36"/>
          <w:szCs w:val="36"/>
          <w:lang w:val="en-GB"/>
        </w:rPr>
        <w:t xml:space="preserve">Genetic </w:t>
      </w:r>
      <w:r w:rsidR="00AB3526">
        <w:rPr>
          <w:b/>
          <w:color w:val="000000"/>
          <w:sz w:val="36"/>
          <w:szCs w:val="36"/>
          <w:lang w:val="en-GB"/>
        </w:rPr>
        <w:t>i</w:t>
      </w:r>
      <w:r w:rsidR="00AB3526" w:rsidRPr="00F77DA9">
        <w:rPr>
          <w:b/>
          <w:color w:val="000000"/>
          <w:sz w:val="36"/>
          <w:szCs w:val="36"/>
          <w:lang w:val="en-GB"/>
        </w:rPr>
        <w:t xml:space="preserve">nsights </w:t>
      </w:r>
      <w:r w:rsidRPr="00F77DA9">
        <w:rPr>
          <w:b/>
          <w:color w:val="000000"/>
          <w:sz w:val="36"/>
          <w:szCs w:val="36"/>
          <w:lang w:val="en-GB"/>
        </w:rPr>
        <w:t xml:space="preserve">into the identity and distribution of </w:t>
      </w:r>
      <w:r>
        <w:rPr>
          <w:b/>
          <w:color w:val="000000"/>
          <w:sz w:val="36"/>
          <w:szCs w:val="36"/>
          <w:lang w:val="en-GB"/>
        </w:rPr>
        <w:br/>
      </w:r>
      <w:r w:rsidRPr="00F77DA9">
        <w:rPr>
          <w:b/>
          <w:i/>
          <w:iCs/>
          <w:color w:val="000000"/>
          <w:sz w:val="36"/>
          <w:szCs w:val="36"/>
          <w:lang w:val="en-GB"/>
        </w:rPr>
        <w:t>Tarentola</w:t>
      </w:r>
      <w:r w:rsidRPr="00F77DA9">
        <w:rPr>
          <w:b/>
          <w:color w:val="000000"/>
          <w:sz w:val="36"/>
          <w:szCs w:val="36"/>
          <w:lang w:val="en-GB"/>
        </w:rPr>
        <w:t xml:space="preserve"> spp. geckos on </w:t>
      </w:r>
      <w:proofErr w:type="gramStart"/>
      <w:r w:rsidRPr="00F77DA9">
        <w:rPr>
          <w:b/>
          <w:color w:val="000000"/>
          <w:sz w:val="36"/>
          <w:szCs w:val="36"/>
          <w:lang w:val="en-GB"/>
        </w:rPr>
        <w:t xml:space="preserve">Lampedusa </w:t>
      </w:r>
      <w:r w:rsidR="00B34B6C">
        <w:rPr>
          <w:b/>
          <w:color w:val="000000"/>
          <w:sz w:val="36"/>
          <w:szCs w:val="36"/>
          <w:lang w:val="en-GB"/>
        </w:rPr>
        <w:t>i</w:t>
      </w:r>
      <w:r w:rsidR="00B34B6C" w:rsidRPr="00F77DA9">
        <w:rPr>
          <w:b/>
          <w:color w:val="000000"/>
          <w:sz w:val="36"/>
          <w:szCs w:val="36"/>
          <w:lang w:val="en-GB"/>
        </w:rPr>
        <w:t>sland</w:t>
      </w:r>
      <w:proofErr w:type="gramEnd"/>
    </w:p>
    <w:p w14:paraId="78E37649" w14:textId="77777777" w:rsidR="00FC135C" w:rsidRDefault="00FC135C" w:rsidP="00FC135C">
      <w:pPr>
        <w:spacing w:after="160"/>
        <w:jc w:val="right"/>
        <w:rPr>
          <w:color w:val="000000"/>
          <w:lang w:val="en-GB"/>
        </w:rPr>
      </w:pPr>
    </w:p>
    <w:p w14:paraId="529B77F3" w14:textId="48F4F7AC" w:rsidR="0046166B" w:rsidRDefault="00F77DA9" w:rsidP="001C3A44">
      <w:pPr>
        <w:jc w:val="right"/>
        <w:rPr>
          <w:color w:val="000000"/>
          <w:sz w:val="28"/>
          <w:szCs w:val="28"/>
          <w:lang w:val="pt-BR"/>
        </w:rPr>
      </w:pPr>
      <w:r w:rsidRPr="00F77DA9">
        <w:rPr>
          <w:color w:val="000000"/>
          <w:sz w:val="28"/>
          <w:szCs w:val="28"/>
          <w:lang w:val="pt-BR"/>
        </w:rPr>
        <w:t>Emiliano MORI</w:t>
      </w:r>
      <w:r w:rsidRPr="00F77DA9">
        <w:rPr>
          <w:color w:val="000000"/>
          <w:sz w:val="28"/>
          <w:szCs w:val="28"/>
          <w:vertAlign w:val="superscript"/>
          <w:lang w:val="pt-BR"/>
        </w:rPr>
        <w:t>1,2</w:t>
      </w:r>
      <w:r w:rsidRPr="00F77DA9">
        <w:rPr>
          <w:color w:val="000000"/>
          <w:sz w:val="28"/>
          <w:szCs w:val="28"/>
          <w:lang w:val="pt-BR"/>
        </w:rPr>
        <w:t>, Leonardo ANCILLOTTO</w:t>
      </w:r>
      <w:r w:rsidRPr="00F77DA9">
        <w:rPr>
          <w:color w:val="000000"/>
          <w:sz w:val="28"/>
          <w:szCs w:val="28"/>
          <w:vertAlign w:val="superscript"/>
          <w:lang w:val="pt-BR"/>
        </w:rPr>
        <w:t>1,2</w:t>
      </w:r>
      <w:r w:rsidRPr="00F77DA9">
        <w:rPr>
          <w:color w:val="000000"/>
          <w:sz w:val="28"/>
          <w:szCs w:val="28"/>
          <w:lang w:val="pt-BR"/>
        </w:rPr>
        <w:t>, Matteo Riccardo DI NICOLA</w:t>
      </w:r>
      <w:r w:rsidRPr="00F77DA9">
        <w:rPr>
          <w:color w:val="000000"/>
          <w:sz w:val="28"/>
          <w:szCs w:val="28"/>
          <w:vertAlign w:val="superscript"/>
          <w:lang w:val="pt-BR"/>
        </w:rPr>
        <w:t>3</w:t>
      </w:r>
      <w:r w:rsidRPr="00F77DA9">
        <w:rPr>
          <w:color w:val="000000"/>
          <w:sz w:val="28"/>
          <w:szCs w:val="28"/>
          <w:lang w:val="pt-BR"/>
        </w:rPr>
        <w:t>, Luca VECCHIONI</w:t>
      </w:r>
      <w:r w:rsidRPr="00F77DA9">
        <w:rPr>
          <w:color w:val="000000"/>
          <w:sz w:val="28"/>
          <w:szCs w:val="28"/>
          <w:vertAlign w:val="superscript"/>
          <w:lang w:val="pt-BR"/>
        </w:rPr>
        <w:t>4</w:t>
      </w:r>
      <w:r w:rsidRPr="00F77DA9">
        <w:rPr>
          <w:color w:val="000000"/>
          <w:sz w:val="28"/>
          <w:szCs w:val="28"/>
          <w:lang w:val="pt-BR"/>
        </w:rPr>
        <w:t>, Francesco Paolo FARAONE</w:t>
      </w:r>
      <w:r w:rsidRPr="00F77DA9">
        <w:rPr>
          <w:color w:val="000000"/>
          <w:sz w:val="28"/>
          <w:szCs w:val="28"/>
          <w:vertAlign w:val="superscript"/>
          <w:lang w:val="pt-BR"/>
        </w:rPr>
        <w:t>4</w:t>
      </w:r>
      <w:r>
        <w:rPr>
          <w:color w:val="000000"/>
          <w:sz w:val="28"/>
          <w:szCs w:val="28"/>
          <w:vertAlign w:val="superscript"/>
          <w:lang w:val="pt-BR"/>
        </w:rPr>
        <w:t>,</w:t>
      </w:r>
      <w:r w:rsidRPr="00F77DA9">
        <w:rPr>
          <w:color w:val="000000"/>
          <w:sz w:val="28"/>
          <w:szCs w:val="28"/>
          <w:vertAlign w:val="superscript"/>
          <w:lang w:val="pt-BR"/>
        </w:rPr>
        <w:t>*</w:t>
      </w:r>
    </w:p>
    <w:p w14:paraId="2EA18935" w14:textId="77777777" w:rsidR="00CF6DE8" w:rsidRDefault="00CF6DE8" w:rsidP="001C3A44">
      <w:pPr>
        <w:jc w:val="right"/>
        <w:rPr>
          <w:color w:val="000000"/>
          <w:sz w:val="28"/>
          <w:szCs w:val="28"/>
          <w:lang w:val="pt-BR"/>
        </w:rPr>
      </w:pPr>
    </w:p>
    <w:p w14:paraId="56C1A8E2" w14:textId="07850264" w:rsidR="005822D3" w:rsidRPr="005822D3" w:rsidRDefault="005822D3" w:rsidP="005822D3">
      <w:pPr>
        <w:jc w:val="right"/>
        <w:rPr>
          <w:i/>
          <w:iCs/>
          <w:color w:val="000000"/>
          <w:lang w:val="pt-BR"/>
        </w:rPr>
      </w:pPr>
      <w:r w:rsidRPr="005822D3">
        <w:rPr>
          <w:i/>
          <w:iCs/>
          <w:color w:val="000000"/>
          <w:vertAlign w:val="superscript"/>
          <w:lang w:val="pt-BR"/>
        </w:rPr>
        <w:t>1</w:t>
      </w:r>
      <w:r w:rsidRPr="005822D3">
        <w:rPr>
          <w:i/>
          <w:iCs/>
          <w:color w:val="000000"/>
          <w:lang w:val="pt-BR"/>
        </w:rPr>
        <w:t xml:space="preserve"> </w:t>
      </w:r>
      <w:r w:rsidR="00F77DA9" w:rsidRPr="00F77DA9">
        <w:rPr>
          <w:i/>
          <w:iCs/>
          <w:color w:val="000000"/>
          <w:lang w:val="pt-BR"/>
        </w:rPr>
        <w:t>Consiglio Nazionale Delle Ricerche, Istituto Di Ricerca Sugli Ecosistemi Terrestri, Via Madonna del Piano 10, 50019 Sesto Fiorentino, Firenze, Italy</w:t>
      </w:r>
    </w:p>
    <w:p w14:paraId="5E78C063" w14:textId="0B45F511" w:rsidR="005822D3" w:rsidRPr="005822D3" w:rsidRDefault="005822D3" w:rsidP="005822D3">
      <w:pPr>
        <w:jc w:val="right"/>
        <w:rPr>
          <w:i/>
          <w:iCs/>
          <w:color w:val="000000"/>
          <w:lang w:val="pt-BR"/>
        </w:rPr>
      </w:pPr>
      <w:r w:rsidRPr="005822D3">
        <w:rPr>
          <w:i/>
          <w:iCs/>
          <w:color w:val="000000"/>
          <w:vertAlign w:val="superscript"/>
          <w:lang w:val="pt-BR"/>
        </w:rPr>
        <w:t>2</w:t>
      </w:r>
      <w:r w:rsidRPr="005822D3">
        <w:rPr>
          <w:i/>
          <w:iCs/>
          <w:color w:val="000000"/>
          <w:lang w:val="pt-BR"/>
        </w:rPr>
        <w:t xml:space="preserve"> </w:t>
      </w:r>
      <w:r w:rsidR="00F77DA9" w:rsidRPr="00F77DA9">
        <w:rPr>
          <w:i/>
          <w:iCs/>
          <w:color w:val="000000"/>
          <w:lang w:val="pt-BR"/>
        </w:rPr>
        <w:t xml:space="preserve">National Biodiversity Future Center, </w:t>
      </w:r>
      <w:r w:rsidR="00F77DA9">
        <w:rPr>
          <w:i/>
          <w:iCs/>
          <w:color w:val="000000"/>
          <w:lang w:val="pt-BR"/>
        </w:rPr>
        <w:t xml:space="preserve">Piazza Marina 61, </w:t>
      </w:r>
      <w:r w:rsidR="00F77DA9" w:rsidRPr="00F77DA9">
        <w:rPr>
          <w:i/>
          <w:iCs/>
          <w:color w:val="000000"/>
          <w:lang w:val="pt-BR"/>
        </w:rPr>
        <w:t>90133 Palermo, Italy</w:t>
      </w:r>
    </w:p>
    <w:p w14:paraId="59799172" w14:textId="0FAC1F21" w:rsidR="005822D3" w:rsidRPr="005822D3" w:rsidRDefault="005822D3" w:rsidP="005822D3">
      <w:pPr>
        <w:jc w:val="right"/>
        <w:rPr>
          <w:i/>
          <w:iCs/>
          <w:color w:val="000000"/>
          <w:lang w:val="pt-BR"/>
        </w:rPr>
      </w:pPr>
      <w:r w:rsidRPr="005822D3">
        <w:rPr>
          <w:i/>
          <w:iCs/>
          <w:color w:val="000000"/>
          <w:vertAlign w:val="superscript"/>
          <w:lang w:val="pt-BR"/>
        </w:rPr>
        <w:t>3</w:t>
      </w:r>
      <w:r w:rsidRPr="005822D3">
        <w:rPr>
          <w:i/>
          <w:iCs/>
          <w:color w:val="000000"/>
          <w:lang w:val="pt-BR"/>
        </w:rPr>
        <w:t xml:space="preserve"> </w:t>
      </w:r>
      <w:r w:rsidR="00F77DA9" w:rsidRPr="00F77DA9">
        <w:rPr>
          <w:i/>
          <w:iCs/>
          <w:color w:val="000000"/>
          <w:lang w:val="pt-BR"/>
        </w:rPr>
        <w:t>Istituto Zooprofilattico Sperimentale del Piemonte, Liguria e Valle d’Aosta, Via Bologna 148, 10154 Turin, Italy</w:t>
      </w:r>
    </w:p>
    <w:p w14:paraId="27CDA971" w14:textId="7E67EDF5" w:rsidR="005822D3" w:rsidRPr="005822D3" w:rsidRDefault="005822D3" w:rsidP="005822D3">
      <w:pPr>
        <w:jc w:val="right"/>
        <w:rPr>
          <w:i/>
          <w:iCs/>
          <w:color w:val="000000"/>
          <w:lang w:val="pt-BR"/>
        </w:rPr>
      </w:pPr>
      <w:r w:rsidRPr="005822D3">
        <w:rPr>
          <w:i/>
          <w:iCs/>
          <w:color w:val="000000"/>
          <w:vertAlign w:val="superscript"/>
          <w:lang w:val="pt-BR"/>
        </w:rPr>
        <w:t>4</w:t>
      </w:r>
      <w:r w:rsidRPr="005822D3">
        <w:rPr>
          <w:i/>
          <w:iCs/>
          <w:color w:val="000000"/>
          <w:lang w:val="pt-BR"/>
        </w:rPr>
        <w:t xml:space="preserve"> </w:t>
      </w:r>
      <w:r w:rsidR="00F77DA9" w:rsidRPr="00F77DA9">
        <w:rPr>
          <w:i/>
          <w:iCs/>
          <w:color w:val="000000"/>
          <w:lang w:val="pt-BR"/>
        </w:rPr>
        <w:t>University of Palermo, Department of Biological, Chemical and Pharmaceutical Sciences and Technologies (STEBICEF), Via Archirafi 18, 90123 Palermo, Italy</w:t>
      </w:r>
    </w:p>
    <w:p w14:paraId="5D3F8290" w14:textId="3F94A73F" w:rsidR="001215AC" w:rsidRPr="00F21240" w:rsidRDefault="001215AC" w:rsidP="001215AC">
      <w:pPr>
        <w:spacing w:after="120"/>
        <w:jc w:val="right"/>
        <w:rPr>
          <w:i/>
          <w:color w:val="000000"/>
          <w:lang w:val="pt-BR"/>
        </w:rPr>
      </w:pPr>
    </w:p>
    <w:p w14:paraId="42C5EB4D" w14:textId="44F6C5BA" w:rsidR="003A764E" w:rsidRPr="00F77DA9" w:rsidRDefault="001C3A44" w:rsidP="007863AA">
      <w:pPr>
        <w:spacing w:after="120"/>
        <w:jc w:val="right"/>
        <w:rPr>
          <w:i/>
          <w:color w:val="000000"/>
          <w:lang w:val="en-GB"/>
        </w:rPr>
      </w:pPr>
      <w:r w:rsidRPr="00F44548">
        <w:rPr>
          <w:color w:val="000000"/>
          <w:lang w:val="en-GB"/>
        </w:rPr>
        <w:t xml:space="preserve">* </w:t>
      </w:r>
      <w:proofErr w:type="gramStart"/>
      <w:r w:rsidRPr="00F44548">
        <w:rPr>
          <w:i/>
          <w:color w:val="000000"/>
          <w:lang w:val="en-GB"/>
        </w:rPr>
        <w:t>corresponding</w:t>
      </w:r>
      <w:proofErr w:type="gramEnd"/>
      <w:r w:rsidRPr="00F44548">
        <w:rPr>
          <w:i/>
          <w:color w:val="000000"/>
          <w:lang w:val="en-GB"/>
        </w:rPr>
        <w:t xml:space="preserve"> author, email: </w:t>
      </w:r>
      <w:r w:rsidR="00F77DA9" w:rsidRPr="00913F02">
        <w:rPr>
          <w:i/>
          <w:iCs/>
          <w:lang w:val="en-GB"/>
        </w:rPr>
        <w:t>francescopaolo.faraone@unipa.it</w:t>
      </w:r>
    </w:p>
    <w:p w14:paraId="4C496DB6" w14:textId="77777777" w:rsidR="00444422" w:rsidRDefault="00444422" w:rsidP="00FC135C">
      <w:pPr>
        <w:spacing w:after="160"/>
        <w:jc w:val="both"/>
        <w:rPr>
          <w:color w:val="000000"/>
          <w:lang w:val="en-GB"/>
        </w:rPr>
      </w:pPr>
    </w:p>
    <w:p w14:paraId="50020F0F" w14:textId="5ACD09DF" w:rsidR="003A764E" w:rsidRPr="00F44548" w:rsidRDefault="00FC135C" w:rsidP="003A764E">
      <w:pPr>
        <w:spacing w:after="120"/>
        <w:jc w:val="both"/>
        <w:rPr>
          <w:lang w:val="en-GB"/>
        </w:rPr>
      </w:pPr>
      <w:r w:rsidRPr="00F44548">
        <w:rPr>
          <w:b/>
          <w:color w:val="000000"/>
          <w:lang w:val="en-GB"/>
        </w:rPr>
        <w:t>Keywords</w:t>
      </w:r>
      <w:r w:rsidRPr="00F44548">
        <w:rPr>
          <w:color w:val="000000"/>
          <w:lang w:val="en-GB"/>
        </w:rPr>
        <w:t xml:space="preserve">: </w:t>
      </w:r>
      <w:r w:rsidR="00F77DA9" w:rsidRPr="00F77DA9">
        <w:rPr>
          <w:lang w:val="en-GB"/>
        </w:rPr>
        <w:t>alien species, lizard, man-mediated dispersion, Phyllodactylidae, Sicily Channel</w:t>
      </w:r>
      <w:r w:rsidR="004216D8">
        <w:rPr>
          <w:lang w:val="en-GB"/>
        </w:rPr>
        <w:t>.</w:t>
      </w:r>
    </w:p>
    <w:p w14:paraId="48F88D7F" w14:textId="7A0885D7" w:rsidR="00FC135C" w:rsidRPr="00F44548" w:rsidRDefault="00FC135C" w:rsidP="003A764E">
      <w:pPr>
        <w:spacing w:after="160"/>
        <w:jc w:val="both"/>
        <w:rPr>
          <w:b/>
          <w:color w:val="000000"/>
          <w:lang w:val="en-GB"/>
        </w:rPr>
      </w:pPr>
    </w:p>
    <w:p w14:paraId="0259301C" w14:textId="77777777" w:rsidR="00FC135C" w:rsidRPr="00F44548" w:rsidRDefault="00FC135C" w:rsidP="00FC135C">
      <w:pPr>
        <w:spacing w:after="160"/>
        <w:jc w:val="both"/>
        <w:rPr>
          <w:b/>
          <w:color w:val="000000"/>
          <w:lang w:val="en-GB"/>
        </w:rPr>
      </w:pPr>
      <w:r w:rsidRPr="00F44548">
        <w:rPr>
          <w:b/>
          <w:color w:val="000000"/>
          <w:lang w:val="en-GB"/>
        </w:rPr>
        <w:t>SUMMARY</w:t>
      </w:r>
    </w:p>
    <w:p w14:paraId="12E94C37" w14:textId="1EFE8E2B" w:rsidR="00F77DA9" w:rsidRPr="00913F02" w:rsidRDefault="00F77DA9" w:rsidP="00F77DA9">
      <w:pPr>
        <w:jc w:val="both"/>
        <w:rPr>
          <w:lang w:val="en-GB"/>
        </w:rPr>
      </w:pPr>
      <w:r w:rsidRPr="00913F02">
        <w:rPr>
          <w:lang w:val="en-GB"/>
        </w:rPr>
        <w:t xml:space="preserve">The Sicily </w:t>
      </w:r>
      <w:proofErr w:type="gramStart"/>
      <w:r w:rsidRPr="00913F02">
        <w:rPr>
          <w:lang w:val="en-GB"/>
        </w:rPr>
        <w:t xml:space="preserve">Channel </w:t>
      </w:r>
      <w:r w:rsidR="00286D17">
        <w:rPr>
          <w:lang w:val="en-GB"/>
        </w:rPr>
        <w:t>i</w:t>
      </w:r>
      <w:r w:rsidRPr="00913F02">
        <w:rPr>
          <w:lang w:val="en-GB"/>
        </w:rPr>
        <w:t>slands</w:t>
      </w:r>
      <w:proofErr w:type="gramEnd"/>
      <w:r w:rsidRPr="00913F02">
        <w:rPr>
          <w:lang w:val="en-GB"/>
        </w:rPr>
        <w:t xml:space="preserve"> are known as biogeographic crossroads between European and African fauna. In this context, Lampedusa hosts a mainly Maghrebian herpetofauna, among which a Moorish gecko (</w:t>
      </w:r>
      <w:r w:rsidRPr="00913F02">
        <w:rPr>
          <w:i/>
          <w:iCs/>
          <w:lang w:val="en-GB"/>
        </w:rPr>
        <w:t>sensu lato</w:t>
      </w:r>
      <w:r w:rsidRPr="00913F02">
        <w:rPr>
          <w:lang w:val="en-GB"/>
        </w:rPr>
        <w:t>) belonging to a North African species-rank clade, provisionally named "</w:t>
      </w:r>
      <w:proofErr w:type="spellStart"/>
      <w:r w:rsidRPr="00913F02">
        <w:rPr>
          <w:i/>
          <w:iCs/>
          <w:lang w:val="en-GB"/>
        </w:rPr>
        <w:t>Tarentola</w:t>
      </w:r>
      <w:proofErr w:type="spellEnd"/>
      <w:r w:rsidRPr="00913F02">
        <w:rPr>
          <w:i/>
          <w:iCs/>
          <w:lang w:val="en-GB"/>
        </w:rPr>
        <w:t xml:space="preserve"> fascicularis/</w:t>
      </w:r>
      <w:proofErr w:type="spellStart"/>
      <w:r w:rsidRPr="00913F02">
        <w:rPr>
          <w:i/>
          <w:iCs/>
          <w:lang w:val="en-GB"/>
        </w:rPr>
        <w:t>deserti</w:t>
      </w:r>
      <w:proofErr w:type="spellEnd"/>
      <w:r w:rsidRPr="00913F02">
        <w:rPr>
          <w:lang w:val="en-GB"/>
        </w:rPr>
        <w:t>"</w:t>
      </w:r>
      <w:r w:rsidR="006E2423">
        <w:rPr>
          <w:lang w:val="en-GB"/>
        </w:rPr>
        <w:t xml:space="preserve"> (</w:t>
      </w:r>
      <w:r w:rsidR="006E2423">
        <w:rPr>
          <w:i/>
          <w:iCs/>
          <w:lang w:val="en-GB"/>
        </w:rPr>
        <w:t xml:space="preserve">sensu </w:t>
      </w:r>
      <w:proofErr w:type="spellStart"/>
      <w:r w:rsidR="006E2423">
        <w:rPr>
          <w:lang w:val="en-GB"/>
        </w:rPr>
        <w:t>Rato</w:t>
      </w:r>
      <w:proofErr w:type="spellEnd"/>
      <w:r w:rsidR="006E2423">
        <w:rPr>
          <w:lang w:val="en-GB"/>
        </w:rPr>
        <w:t xml:space="preserve"> et al., 2017)</w:t>
      </w:r>
      <w:r w:rsidRPr="00913F02">
        <w:rPr>
          <w:lang w:val="en-GB"/>
        </w:rPr>
        <w:t xml:space="preserve">. Here, we investigated the distribution of </w:t>
      </w:r>
      <w:r w:rsidRPr="00913F02">
        <w:rPr>
          <w:i/>
          <w:iCs/>
          <w:lang w:val="en-GB"/>
        </w:rPr>
        <w:t>Tarentola</w:t>
      </w:r>
      <w:r w:rsidRPr="00913F02">
        <w:rPr>
          <w:lang w:val="en-GB"/>
        </w:rPr>
        <w:t xml:space="preserve"> spp. </w:t>
      </w:r>
      <w:r w:rsidR="00286D17" w:rsidRPr="00286D17">
        <w:rPr>
          <w:lang w:val="en-GB"/>
        </w:rPr>
        <w:t>using</w:t>
      </w:r>
      <w:r w:rsidRPr="00913F02">
        <w:rPr>
          <w:lang w:val="en-GB"/>
        </w:rPr>
        <w:t xml:space="preserve"> the 16S mitochondrial DNA fragment </w:t>
      </w:r>
      <w:r w:rsidR="00437FB3">
        <w:rPr>
          <w:lang w:val="en-GB"/>
        </w:rPr>
        <w:t>on individuals from</w:t>
      </w:r>
      <w:r w:rsidRPr="00913F02">
        <w:rPr>
          <w:lang w:val="en-GB"/>
        </w:rPr>
        <w:t xml:space="preserve"> Lampedusa and verified the possible occurrence of </w:t>
      </w:r>
      <w:r w:rsidRPr="00913F02">
        <w:rPr>
          <w:i/>
          <w:iCs/>
          <w:lang w:val="en-GB"/>
        </w:rPr>
        <w:t>T. mauritanica</w:t>
      </w:r>
      <w:r w:rsidRPr="00913F02">
        <w:rPr>
          <w:lang w:val="en-GB"/>
        </w:rPr>
        <w:t>. Th</w:t>
      </w:r>
      <w:r w:rsidR="006E2423">
        <w:rPr>
          <w:lang w:val="en-GB"/>
        </w:rPr>
        <w:t>is</w:t>
      </w:r>
      <w:r w:rsidRPr="00913F02">
        <w:rPr>
          <w:lang w:val="en-GB"/>
        </w:rPr>
        <w:t xml:space="preserve"> is a widely introduced species, hardly distinguishable based on morphological traits from </w:t>
      </w:r>
      <w:r w:rsidRPr="00913F02">
        <w:rPr>
          <w:i/>
          <w:iCs/>
          <w:lang w:val="en-GB"/>
        </w:rPr>
        <w:t>T. fascicularis/deserti</w:t>
      </w:r>
      <w:r w:rsidRPr="00913F02">
        <w:rPr>
          <w:lang w:val="en-GB"/>
        </w:rPr>
        <w:t xml:space="preserve">. Our molecular results support the hypothesis that both </w:t>
      </w:r>
      <w:r w:rsidRPr="00913F02">
        <w:rPr>
          <w:i/>
          <w:iCs/>
          <w:lang w:val="en-GB"/>
        </w:rPr>
        <w:t>T. fascicularis/deserti</w:t>
      </w:r>
      <w:r w:rsidRPr="00913F02">
        <w:rPr>
          <w:lang w:val="en-GB"/>
        </w:rPr>
        <w:t xml:space="preserve"> and </w:t>
      </w:r>
      <w:r w:rsidRPr="00913F02">
        <w:rPr>
          <w:i/>
          <w:iCs/>
          <w:lang w:val="en-GB"/>
        </w:rPr>
        <w:t>T. mauritanica</w:t>
      </w:r>
      <w:r w:rsidRPr="00913F02">
        <w:rPr>
          <w:lang w:val="en-GB"/>
        </w:rPr>
        <w:t xml:space="preserve"> occur in Lampedusa. Furthermore, nine out of eleven sequences are lumped together with </w:t>
      </w:r>
      <w:r w:rsidRPr="00913F02">
        <w:rPr>
          <w:i/>
          <w:iCs/>
          <w:lang w:val="en-GB"/>
        </w:rPr>
        <w:t>T. fascicularis/deserti</w:t>
      </w:r>
      <w:r w:rsidRPr="00913F02">
        <w:rPr>
          <w:lang w:val="en-GB"/>
        </w:rPr>
        <w:t xml:space="preserve"> clade, suggesting the natural biogeographic connection between Tunisia and Lampedusa. Conversely, the detection of </w:t>
      </w:r>
      <w:r w:rsidRPr="00913F02">
        <w:rPr>
          <w:i/>
          <w:iCs/>
          <w:lang w:val="en-GB"/>
        </w:rPr>
        <w:t>T. mauritanica</w:t>
      </w:r>
      <w:r w:rsidRPr="00913F02">
        <w:rPr>
          <w:lang w:val="en-GB"/>
        </w:rPr>
        <w:t xml:space="preserve"> haplotypes, exclusively within the Lampedusa port area, strongly point out a recent human-mediated introduction of the species. The finding of these two distinct mitochondrial lineages suggests the co-occurrence of African and European dispersion routes in the extant Lampedusa herpetofauna. In light of this, </w:t>
      </w:r>
      <w:r w:rsidR="00F73475">
        <w:rPr>
          <w:lang w:val="en-GB"/>
        </w:rPr>
        <w:t xml:space="preserve">it </w:t>
      </w:r>
      <w:r w:rsidRPr="00913F02">
        <w:rPr>
          <w:lang w:val="en-GB"/>
        </w:rPr>
        <w:t>is necessary to increase sampling efforts to other islands across Sicily Channel to better assess the origin and phylogenetic relationships of gecko populations.</w:t>
      </w:r>
    </w:p>
    <w:p w14:paraId="4BC682E6" w14:textId="77777777" w:rsidR="007F0DDD" w:rsidRPr="00913F02" w:rsidRDefault="007F0DDD" w:rsidP="007863AA">
      <w:pPr>
        <w:jc w:val="both"/>
        <w:rPr>
          <w:lang w:val="en-GB"/>
        </w:rPr>
        <w:sectPr w:rsidR="007F0DDD" w:rsidRPr="00913F02">
          <w:footerReference w:type="even" r:id="rId8"/>
          <w:footerReference w:type="default" r:id="rId9"/>
          <w:headerReference w:type="first" r:id="rId10"/>
          <w:pgSz w:w="12240" w:h="15840"/>
          <w:pgMar w:top="1418" w:right="1134" w:bottom="1134" w:left="1134" w:header="709" w:footer="709" w:gutter="0"/>
          <w:pgNumType w:start="1"/>
          <w:cols w:space="708"/>
          <w:titlePg/>
          <w:docGrid w:linePitch="360"/>
        </w:sectPr>
      </w:pPr>
    </w:p>
    <w:p w14:paraId="334BD283" w14:textId="77777777" w:rsidR="00F82D21" w:rsidRPr="00F44548" w:rsidRDefault="00F82D21" w:rsidP="00F82D21">
      <w:pPr>
        <w:spacing w:after="160"/>
        <w:jc w:val="both"/>
        <w:rPr>
          <w:b/>
          <w:color w:val="000000"/>
          <w:lang w:val="en-GB"/>
        </w:rPr>
      </w:pPr>
      <w:r w:rsidRPr="00F44548">
        <w:rPr>
          <w:b/>
          <w:color w:val="000000"/>
          <w:lang w:val="en-GB"/>
        </w:rPr>
        <w:lastRenderedPageBreak/>
        <w:t>INTRODUCTION</w:t>
      </w:r>
    </w:p>
    <w:p w14:paraId="1F1AD0D7" w14:textId="59871933" w:rsidR="00F77DA9" w:rsidRPr="00F77DA9" w:rsidRDefault="00F77DA9" w:rsidP="00F77DA9">
      <w:pPr>
        <w:spacing w:after="120"/>
        <w:jc w:val="both"/>
        <w:rPr>
          <w:color w:val="000000"/>
          <w:lang w:val="en-GB"/>
        </w:rPr>
      </w:pPr>
      <w:r w:rsidRPr="00F77DA9">
        <w:rPr>
          <w:color w:val="000000"/>
          <w:lang w:val="en-GB"/>
        </w:rPr>
        <w:t xml:space="preserve">Islands, often described as natural laboratories, actually represent a unique context to understand biogeographic patterns and ecological processes (Whittaker et al., 2017). These isolated ecosystems, characterised by high levels of endemism and unique speciation events (Matthews and Triantis, 2021), are often also biodiversity hotspots. They also play a pivotal role as refuges and stopover sites for migratory species, thus contributing to global biodiversity networks (Moore et al., 1990; Sheehy et al., 2011). However, their sensitivity to environmental changes, particularly climate change and sea-level rise, makes them early indicators of broader global impacts (Kelman and West, 2009). The Mediterranean region, with its numerous small islands and archipelagos, offers a paramount example of these ecological dynamics. The Sicily Channel serves as a biogeographic crossroads, hosting a unique admixture of European and African flora and fauna (Fichera et al., 2022; Antinucci et al., 2024; Belluardo et al., 2024). These islands, </w:t>
      </w:r>
      <w:r w:rsidR="00993ABC">
        <w:rPr>
          <w:color w:val="000000"/>
          <w:lang w:val="en-GB"/>
        </w:rPr>
        <w:t>though</w:t>
      </w:r>
      <w:r w:rsidRPr="00F77DA9">
        <w:rPr>
          <w:color w:val="000000"/>
          <w:lang w:val="en-GB"/>
        </w:rPr>
        <w:t xml:space="preserve"> biogeographically significant, face increasing pressure from human activities, such as tourism, climate change-induced challenges, and possibly alien species introduction (</w:t>
      </w:r>
      <w:r w:rsidR="00B34B6C" w:rsidRPr="00F77DA9">
        <w:rPr>
          <w:color w:val="000000"/>
          <w:lang w:val="en-GB"/>
        </w:rPr>
        <w:t>Faraone et al., 2019</w:t>
      </w:r>
      <w:r w:rsidR="00B34B6C">
        <w:rPr>
          <w:color w:val="000000"/>
          <w:lang w:val="en-GB"/>
        </w:rPr>
        <w:t xml:space="preserve">; </w:t>
      </w:r>
      <w:r w:rsidRPr="00F77DA9">
        <w:rPr>
          <w:color w:val="000000"/>
          <w:lang w:val="en-GB"/>
        </w:rPr>
        <w:t>Surico, 2020).</w:t>
      </w:r>
    </w:p>
    <w:p w14:paraId="62CA8DC9" w14:textId="77777777" w:rsidR="00F77DA9" w:rsidRPr="00F77DA9" w:rsidRDefault="00F77DA9" w:rsidP="00F77DA9">
      <w:pPr>
        <w:spacing w:after="120"/>
        <w:ind w:firstLine="708"/>
        <w:jc w:val="both"/>
        <w:rPr>
          <w:color w:val="000000"/>
          <w:lang w:val="en-GB"/>
        </w:rPr>
      </w:pPr>
      <w:r w:rsidRPr="00F77DA9">
        <w:rPr>
          <w:color w:val="000000"/>
          <w:lang w:val="en-GB"/>
        </w:rPr>
        <w:t>Despite their ecological importance, detailed knowledge about the faunal and floral assemblages of these Palearctic islands remains limited (</w:t>
      </w:r>
      <w:proofErr w:type="spellStart"/>
      <w:r w:rsidRPr="00F77DA9">
        <w:rPr>
          <w:color w:val="000000"/>
          <w:lang w:val="en-GB"/>
        </w:rPr>
        <w:t>Angelici</w:t>
      </w:r>
      <w:proofErr w:type="spellEnd"/>
      <w:r w:rsidRPr="00F77DA9">
        <w:rPr>
          <w:color w:val="000000"/>
          <w:lang w:val="en-GB"/>
        </w:rPr>
        <w:t xml:space="preserve"> et al., 2009; Fichera et al., 2022; Sciandra et al., 2022). Comprehensive studies are necessary to understand their role as corridors for species dispersal and potential outposts for colonisation, especially in the context of climate change. </w:t>
      </w:r>
    </w:p>
    <w:p w14:paraId="0FAE5561" w14:textId="52E85E49" w:rsidR="00F77DA9" w:rsidRPr="00F77DA9" w:rsidRDefault="00F77DA9" w:rsidP="00F77DA9">
      <w:pPr>
        <w:spacing w:after="120"/>
        <w:ind w:firstLine="708"/>
        <w:jc w:val="both"/>
        <w:rPr>
          <w:color w:val="000000"/>
          <w:lang w:val="en-GB"/>
        </w:rPr>
      </w:pPr>
      <w:r w:rsidRPr="00F77DA9">
        <w:rPr>
          <w:color w:val="000000"/>
          <w:lang w:val="en-GB"/>
        </w:rPr>
        <w:t xml:space="preserve">Lampedusa, the largest of the Italian Pelagie </w:t>
      </w:r>
      <w:r w:rsidR="00993ABC">
        <w:rPr>
          <w:color w:val="000000"/>
          <w:lang w:val="en-GB"/>
        </w:rPr>
        <w:t>i</w:t>
      </w:r>
      <w:r w:rsidRPr="00F77DA9">
        <w:rPr>
          <w:color w:val="000000"/>
          <w:lang w:val="en-GB"/>
        </w:rPr>
        <w:t xml:space="preserve">slands, provides an ideal model for such investigations (Surico, 2020), as hosting a unique herpetofauna, mostly composed by African taxa showing their only Italian population on the island [i.e., the Algerian </w:t>
      </w:r>
      <w:proofErr w:type="spellStart"/>
      <w:r w:rsidRPr="00F77DA9">
        <w:rPr>
          <w:color w:val="000000"/>
          <w:lang w:val="en-GB"/>
        </w:rPr>
        <w:t>psammodromus</w:t>
      </w:r>
      <w:proofErr w:type="spellEnd"/>
      <w:r w:rsidRPr="00F77DA9">
        <w:rPr>
          <w:color w:val="000000"/>
          <w:lang w:val="en-GB"/>
        </w:rPr>
        <w:t xml:space="preserve"> </w:t>
      </w:r>
      <w:proofErr w:type="spellStart"/>
      <w:r w:rsidRPr="00F77DA9">
        <w:rPr>
          <w:i/>
          <w:iCs/>
          <w:color w:val="000000"/>
          <w:lang w:val="en-GB"/>
        </w:rPr>
        <w:t>Psammodromus</w:t>
      </w:r>
      <w:proofErr w:type="spellEnd"/>
      <w:r w:rsidRPr="00F77DA9">
        <w:rPr>
          <w:i/>
          <w:iCs/>
          <w:color w:val="000000"/>
          <w:lang w:val="en-GB"/>
        </w:rPr>
        <w:t xml:space="preserve"> </w:t>
      </w:r>
      <w:proofErr w:type="spellStart"/>
      <w:r w:rsidRPr="00F77DA9">
        <w:rPr>
          <w:i/>
          <w:iCs/>
          <w:color w:val="000000"/>
          <w:lang w:val="en-GB"/>
        </w:rPr>
        <w:t>algirus</w:t>
      </w:r>
      <w:proofErr w:type="spellEnd"/>
      <w:r w:rsidRPr="00F77DA9">
        <w:rPr>
          <w:color w:val="000000"/>
          <w:lang w:val="en-GB"/>
        </w:rPr>
        <w:t xml:space="preserve"> (Linnaeus, 1758), the North African green toad </w:t>
      </w:r>
      <w:proofErr w:type="spellStart"/>
      <w:r w:rsidRPr="00F77DA9">
        <w:rPr>
          <w:i/>
          <w:iCs/>
          <w:color w:val="000000"/>
          <w:lang w:val="en-GB"/>
        </w:rPr>
        <w:t>Bufotes</w:t>
      </w:r>
      <w:proofErr w:type="spellEnd"/>
      <w:r w:rsidRPr="00F77DA9">
        <w:rPr>
          <w:i/>
          <w:iCs/>
          <w:color w:val="000000"/>
          <w:lang w:val="en-GB"/>
        </w:rPr>
        <w:t xml:space="preserve"> </w:t>
      </w:r>
      <w:proofErr w:type="spellStart"/>
      <w:r w:rsidRPr="00F77DA9">
        <w:rPr>
          <w:i/>
          <w:iCs/>
          <w:color w:val="000000"/>
          <w:lang w:val="en-GB"/>
        </w:rPr>
        <w:t>boulengeri</w:t>
      </w:r>
      <w:proofErr w:type="spellEnd"/>
      <w:r w:rsidRPr="00F77DA9">
        <w:rPr>
          <w:i/>
          <w:iCs/>
          <w:color w:val="000000"/>
          <w:lang w:val="en-GB"/>
        </w:rPr>
        <w:t xml:space="preserve"> </w:t>
      </w:r>
      <w:proofErr w:type="spellStart"/>
      <w:r w:rsidRPr="00F77DA9">
        <w:rPr>
          <w:i/>
          <w:iCs/>
          <w:color w:val="000000"/>
          <w:lang w:val="en-GB"/>
        </w:rPr>
        <w:t>boulengeri</w:t>
      </w:r>
      <w:proofErr w:type="spellEnd"/>
      <w:r w:rsidRPr="00F77DA9">
        <w:rPr>
          <w:color w:val="000000"/>
          <w:lang w:val="en-GB"/>
        </w:rPr>
        <w:t xml:space="preserve"> (Lataste, 1879), the Eastern Montpellier snake </w:t>
      </w:r>
      <w:proofErr w:type="spellStart"/>
      <w:r w:rsidRPr="00F77DA9">
        <w:rPr>
          <w:i/>
          <w:iCs/>
          <w:color w:val="000000"/>
          <w:lang w:val="en-GB"/>
        </w:rPr>
        <w:t>Malpolon</w:t>
      </w:r>
      <w:proofErr w:type="spellEnd"/>
      <w:r w:rsidRPr="00F77DA9">
        <w:rPr>
          <w:i/>
          <w:iCs/>
          <w:color w:val="000000"/>
          <w:lang w:val="en-GB"/>
        </w:rPr>
        <w:t xml:space="preserve"> </w:t>
      </w:r>
      <w:proofErr w:type="spellStart"/>
      <w:r w:rsidRPr="00F77DA9">
        <w:rPr>
          <w:i/>
          <w:iCs/>
          <w:color w:val="000000"/>
          <w:lang w:val="en-GB"/>
        </w:rPr>
        <w:t>insignitus</w:t>
      </w:r>
      <w:proofErr w:type="spellEnd"/>
      <w:r w:rsidRPr="00F77DA9">
        <w:rPr>
          <w:color w:val="000000"/>
          <w:lang w:val="en-GB"/>
        </w:rPr>
        <w:t xml:space="preserve"> (Geoffroy Saint-Hilaire, 1809) and the false smooth snake </w:t>
      </w:r>
      <w:proofErr w:type="spellStart"/>
      <w:r w:rsidRPr="00F77DA9">
        <w:rPr>
          <w:i/>
          <w:iCs/>
          <w:color w:val="000000"/>
          <w:lang w:val="en-GB"/>
        </w:rPr>
        <w:t>Macroprotodon</w:t>
      </w:r>
      <w:proofErr w:type="spellEnd"/>
      <w:r w:rsidRPr="00F77DA9">
        <w:rPr>
          <w:color w:val="000000"/>
          <w:lang w:val="en-GB"/>
        </w:rPr>
        <w:t xml:space="preserve"> cf. </w:t>
      </w:r>
      <w:r w:rsidRPr="00F77DA9">
        <w:rPr>
          <w:i/>
          <w:iCs/>
          <w:color w:val="000000"/>
          <w:lang w:val="en-GB"/>
        </w:rPr>
        <w:t>cucullatus</w:t>
      </w:r>
      <w:r w:rsidRPr="00F77DA9">
        <w:rPr>
          <w:color w:val="000000"/>
          <w:lang w:val="en-GB"/>
        </w:rPr>
        <w:t xml:space="preserve"> (Geoffroy Saint-Hilaire, 1827) (Harris et al., 2009a; Nicolas et al., 2018; Faraone et al., 2020a, 2022)]. </w:t>
      </w:r>
      <w:proofErr w:type="spellStart"/>
      <w:r w:rsidRPr="00F77DA9">
        <w:rPr>
          <w:color w:val="000000"/>
          <w:lang w:val="en-GB"/>
        </w:rPr>
        <w:t>Gekkota</w:t>
      </w:r>
      <w:proofErr w:type="spellEnd"/>
      <w:r w:rsidRPr="00F77DA9">
        <w:rPr>
          <w:color w:val="000000"/>
          <w:lang w:val="en-GB"/>
        </w:rPr>
        <w:t xml:space="preserve"> species occurring in the island include the Mediterranean Turkish gecko </w:t>
      </w:r>
      <w:r w:rsidRPr="00F77DA9">
        <w:rPr>
          <w:i/>
          <w:iCs/>
          <w:color w:val="000000"/>
          <w:lang w:val="en-GB"/>
        </w:rPr>
        <w:t xml:space="preserve">Hemidactylus </w:t>
      </w:r>
      <w:proofErr w:type="spellStart"/>
      <w:r w:rsidRPr="00F77DA9">
        <w:rPr>
          <w:i/>
          <w:iCs/>
          <w:color w:val="000000"/>
          <w:lang w:val="en-GB"/>
        </w:rPr>
        <w:t>turcicus</w:t>
      </w:r>
      <w:proofErr w:type="spellEnd"/>
      <w:r w:rsidRPr="00F77DA9">
        <w:rPr>
          <w:color w:val="000000"/>
          <w:lang w:val="en-GB"/>
        </w:rPr>
        <w:t xml:space="preserve"> (Linnaeus, 1758) and a Moorish gecko (</w:t>
      </w:r>
      <w:r w:rsidRPr="00F77DA9">
        <w:rPr>
          <w:i/>
          <w:iCs/>
          <w:color w:val="000000"/>
          <w:lang w:val="en-GB"/>
        </w:rPr>
        <w:t>sensu lato</w:t>
      </w:r>
      <w:r w:rsidRPr="00F77DA9">
        <w:rPr>
          <w:color w:val="000000"/>
          <w:lang w:val="en-GB"/>
        </w:rPr>
        <w:t>) belonging to an unresolved North African clade here named “</w:t>
      </w:r>
      <w:r w:rsidRPr="00F77DA9">
        <w:rPr>
          <w:i/>
          <w:iCs/>
          <w:color w:val="000000"/>
          <w:lang w:val="en-GB"/>
        </w:rPr>
        <w:t>Tarentola fascicularis/deserti</w:t>
      </w:r>
      <w:r w:rsidRPr="00F77DA9">
        <w:rPr>
          <w:color w:val="000000"/>
          <w:lang w:val="en-GB"/>
        </w:rPr>
        <w:t>” following Rato et al. (2012) (</w:t>
      </w:r>
      <w:r w:rsidR="006E2423">
        <w:rPr>
          <w:color w:val="000000"/>
          <w:lang w:val="en-GB"/>
        </w:rPr>
        <w:t xml:space="preserve">see also </w:t>
      </w:r>
      <w:r w:rsidRPr="00F77DA9">
        <w:rPr>
          <w:color w:val="000000"/>
          <w:lang w:val="en-GB"/>
        </w:rPr>
        <w:t xml:space="preserve">Harris et al., 2009b; Belluardo et al., 2024). Recently, </w:t>
      </w:r>
      <w:proofErr w:type="spellStart"/>
      <w:r w:rsidRPr="00F77DA9">
        <w:rPr>
          <w:color w:val="000000"/>
          <w:lang w:val="en-GB"/>
        </w:rPr>
        <w:t>Rato</w:t>
      </w:r>
      <w:proofErr w:type="spellEnd"/>
      <w:r w:rsidRPr="00F77DA9">
        <w:rPr>
          <w:color w:val="000000"/>
          <w:lang w:val="en-GB"/>
        </w:rPr>
        <w:t xml:space="preserve"> et al. (2012) highlighted a great cryptic diversity within the genus </w:t>
      </w:r>
      <w:r w:rsidRPr="00F77DA9">
        <w:rPr>
          <w:i/>
          <w:iCs/>
          <w:color w:val="000000"/>
          <w:lang w:val="en-GB"/>
        </w:rPr>
        <w:t>Tarentola</w:t>
      </w:r>
      <w:r w:rsidRPr="00F77DA9">
        <w:rPr>
          <w:color w:val="000000"/>
          <w:lang w:val="en-GB"/>
        </w:rPr>
        <w:t xml:space="preserve"> across the Mediterranean basin, including the “</w:t>
      </w:r>
      <w:r w:rsidRPr="00F77DA9">
        <w:rPr>
          <w:i/>
          <w:iCs/>
          <w:color w:val="000000"/>
          <w:lang w:val="en-GB"/>
        </w:rPr>
        <w:t>Tarentola fascicularis/deserti</w:t>
      </w:r>
      <w:r w:rsidRPr="00F77DA9">
        <w:rPr>
          <w:color w:val="000000"/>
          <w:lang w:val="en-GB"/>
        </w:rPr>
        <w:t xml:space="preserve">” clade, a monophyletic unit which encompasses specimens previously assigned to both </w:t>
      </w:r>
      <w:r w:rsidRPr="00F77DA9">
        <w:rPr>
          <w:i/>
          <w:iCs/>
          <w:color w:val="000000"/>
          <w:lang w:val="en-GB"/>
        </w:rPr>
        <w:t>T. fascicularis</w:t>
      </w:r>
      <w:r w:rsidRPr="00F77DA9">
        <w:rPr>
          <w:color w:val="000000"/>
          <w:lang w:val="en-GB"/>
        </w:rPr>
        <w:t xml:space="preserve"> (Daudin, 1802) and </w:t>
      </w:r>
      <w:r w:rsidRPr="00F77DA9">
        <w:rPr>
          <w:i/>
          <w:iCs/>
          <w:color w:val="000000"/>
          <w:lang w:val="en-GB"/>
        </w:rPr>
        <w:t>T. deserti</w:t>
      </w:r>
      <w:r w:rsidRPr="00F77DA9">
        <w:rPr>
          <w:color w:val="000000"/>
          <w:lang w:val="en-GB"/>
        </w:rPr>
        <w:t xml:space="preserve"> Boulenger, 1891. A strong pattern of hidden diversity is also noticeable for </w:t>
      </w:r>
      <w:r w:rsidRPr="00F77DA9">
        <w:rPr>
          <w:i/>
          <w:iCs/>
          <w:color w:val="000000"/>
          <w:lang w:val="en-GB"/>
        </w:rPr>
        <w:t>T. mauritanica</w:t>
      </w:r>
      <w:r w:rsidRPr="00F77DA9">
        <w:rPr>
          <w:color w:val="000000"/>
          <w:lang w:val="en-GB"/>
        </w:rPr>
        <w:t xml:space="preserve"> (Linnaeus, 1758), which subsequently turned out to be a complex of six species-rank clades (Rato et al., 2016). Colonisation routes of </w:t>
      </w:r>
      <w:r w:rsidRPr="00F77DA9">
        <w:rPr>
          <w:i/>
          <w:iCs/>
          <w:color w:val="000000"/>
          <w:lang w:val="en-GB"/>
        </w:rPr>
        <w:t>T. mauritanica</w:t>
      </w:r>
      <w:r w:rsidRPr="00F77DA9">
        <w:rPr>
          <w:color w:val="000000"/>
          <w:lang w:val="en-GB"/>
        </w:rPr>
        <w:t xml:space="preserve"> suggest the possible occurrence of this taxon in Lampedusa too (Rato et al., 2023). On two other islands located in the Sicily Channel, Linosa and Malta, only </w:t>
      </w:r>
      <w:r w:rsidRPr="00F77DA9">
        <w:rPr>
          <w:i/>
          <w:iCs/>
          <w:color w:val="000000"/>
          <w:lang w:val="en-GB"/>
        </w:rPr>
        <w:t>T. mauritanica</w:t>
      </w:r>
      <w:r w:rsidRPr="00F77DA9">
        <w:rPr>
          <w:color w:val="000000"/>
          <w:lang w:val="en-GB"/>
        </w:rPr>
        <w:t xml:space="preserve"> is known to occur (</w:t>
      </w:r>
      <w:proofErr w:type="spellStart"/>
      <w:r w:rsidRPr="00F77DA9">
        <w:rPr>
          <w:color w:val="000000"/>
          <w:lang w:val="en-GB"/>
        </w:rPr>
        <w:t>Stöck</w:t>
      </w:r>
      <w:proofErr w:type="spellEnd"/>
      <w:r w:rsidRPr="00F77DA9">
        <w:rPr>
          <w:color w:val="000000"/>
          <w:lang w:val="en-GB"/>
        </w:rPr>
        <w:t xml:space="preserve"> et al., 2016), and in Pantelleria both </w:t>
      </w:r>
      <w:r w:rsidRPr="00F77DA9">
        <w:rPr>
          <w:i/>
          <w:iCs/>
          <w:color w:val="000000"/>
          <w:lang w:val="en-GB"/>
        </w:rPr>
        <w:t>Tarentola</w:t>
      </w:r>
      <w:r w:rsidRPr="00F77DA9">
        <w:rPr>
          <w:color w:val="000000"/>
          <w:lang w:val="en-GB"/>
        </w:rPr>
        <w:t xml:space="preserve"> species have been recently recorded (Antinucci et al., 2024). Morphological features to distinguish between </w:t>
      </w:r>
      <w:r w:rsidRPr="00F77DA9">
        <w:rPr>
          <w:i/>
          <w:iCs/>
          <w:color w:val="000000"/>
          <w:lang w:val="en-GB"/>
        </w:rPr>
        <w:t>T. mauritanica</w:t>
      </w:r>
      <w:r w:rsidRPr="00F77DA9">
        <w:rPr>
          <w:color w:val="000000"/>
          <w:lang w:val="en-GB"/>
        </w:rPr>
        <w:t xml:space="preserve"> and </w:t>
      </w:r>
      <w:r w:rsidRPr="00F77DA9">
        <w:rPr>
          <w:i/>
          <w:iCs/>
          <w:color w:val="000000"/>
          <w:lang w:val="en-GB"/>
        </w:rPr>
        <w:t>T. fascicularis/</w:t>
      </w:r>
      <w:proofErr w:type="spellStart"/>
      <w:r w:rsidRPr="00F77DA9">
        <w:rPr>
          <w:i/>
          <w:iCs/>
          <w:color w:val="000000"/>
          <w:lang w:val="en-GB"/>
        </w:rPr>
        <w:t>deserti</w:t>
      </w:r>
      <w:proofErr w:type="spellEnd"/>
      <w:r w:rsidRPr="00F77DA9">
        <w:rPr>
          <w:color w:val="000000"/>
          <w:lang w:val="en-GB"/>
        </w:rPr>
        <w:t xml:space="preserve"> are </w:t>
      </w:r>
      <w:r w:rsidR="006E2423">
        <w:rPr>
          <w:color w:val="000000"/>
          <w:lang w:val="en-GB"/>
        </w:rPr>
        <w:t>subtle</w:t>
      </w:r>
      <w:r w:rsidR="006E2423" w:rsidRPr="00F77DA9">
        <w:rPr>
          <w:color w:val="000000"/>
          <w:lang w:val="en-GB"/>
        </w:rPr>
        <w:t xml:space="preserve"> </w:t>
      </w:r>
      <w:r w:rsidRPr="00F77DA9">
        <w:rPr>
          <w:color w:val="000000"/>
          <w:lang w:val="en-GB"/>
        </w:rPr>
        <w:t xml:space="preserve">and to date debatable (Sarra et al., 2013). For instance, </w:t>
      </w:r>
      <w:r w:rsidRPr="00F77DA9">
        <w:rPr>
          <w:i/>
          <w:iCs/>
          <w:color w:val="000000"/>
          <w:lang w:val="en-GB"/>
        </w:rPr>
        <w:t>T. fascicularis/deserti</w:t>
      </w:r>
      <w:r w:rsidRPr="00F77DA9">
        <w:rPr>
          <w:color w:val="000000"/>
          <w:lang w:val="en-GB"/>
        </w:rPr>
        <w:t xml:space="preserve"> is generally more brightly coloured than </w:t>
      </w:r>
      <w:r w:rsidRPr="00F77DA9">
        <w:rPr>
          <w:i/>
          <w:iCs/>
          <w:color w:val="000000"/>
          <w:lang w:val="en-GB"/>
        </w:rPr>
        <w:t>T. mauritanica</w:t>
      </w:r>
      <w:r w:rsidRPr="00F77DA9">
        <w:rPr>
          <w:color w:val="000000"/>
          <w:lang w:val="en-GB"/>
        </w:rPr>
        <w:t xml:space="preserve">, but it often exhibits a more uniform coloration with less variation in pattern. Conversely, </w:t>
      </w:r>
      <w:r w:rsidRPr="00F77DA9">
        <w:rPr>
          <w:i/>
          <w:iCs/>
          <w:color w:val="000000"/>
          <w:lang w:val="en-GB"/>
        </w:rPr>
        <w:t>T. mauritanica</w:t>
      </w:r>
      <w:r w:rsidRPr="00F77DA9">
        <w:rPr>
          <w:color w:val="000000"/>
          <w:lang w:val="en-GB"/>
        </w:rPr>
        <w:t xml:space="preserve"> can have more variable coloration with darker markings and spots. In </w:t>
      </w:r>
      <w:r w:rsidRPr="00F77DA9">
        <w:rPr>
          <w:i/>
          <w:iCs/>
          <w:color w:val="000000"/>
          <w:lang w:val="en-GB"/>
        </w:rPr>
        <w:t>T. fascicularis/deserti</w:t>
      </w:r>
      <w:r w:rsidRPr="00F77DA9">
        <w:rPr>
          <w:color w:val="000000"/>
          <w:lang w:val="en-GB"/>
        </w:rPr>
        <w:t xml:space="preserve">, the rostral scale is in direct contact with the nostril (Fig. 1), whereas the average number of interorbital scales is lower compared to </w:t>
      </w:r>
      <w:r w:rsidRPr="00F77DA9">
        <w:rPr>
          <w:i/>
          <w:iCs/>
          <w:color w:val="000000"/>
          <w:lang w:val="en-GB"/>
        </w:rPr>
        <w:t>T. mauritanica</w:t>
      </w:r>
      <w:r w:rsidRPr="00F77DA9">
        <w:rPr>
          <w:color w:val="000000"/>
          <w:lang w:val="en-GB"/>
        </w:rPr>
        <w:t xml:space="preserve">. </w:t>
      </w:r>
      <w:r w:rsidRPr="00F77DA9">
        <w:rPr>
          <w:i/>
          <w:iCs/>
          <w:color w:val="000000"/>
          <w:lang w:val="en-GB"/>
        </w:rPr>
        <w:t>Tarentola fascicularis/deserti</w:t>
      </w:r>
      <w:r w:rsidRPr="00F77DA9">
        <w:rPr>
          <w:color w:val="000000"/>
          <w:lang w:val="en-GB"/>
        </w:rPr>
        <w:t xml:space="preserve"> tends to have a slender body shape compared to </w:t>
      </w:r>
      <w:r w:rsidRPr="00F77DA9">
        <w:rPr>
          <w:i/>
          <w:iCs/>
          <w:color w:val="000000"/>
          <w:lang w:val="en-GB"/>
        </w:rPr>
        <w:t>T. mauritanica</w:t>
      </w:r>
      <w:r w:rsidRPr="00F77DA9">
        <w:rPr>
          <w:color w:val="000000"/>
          <w:lang w:val="en-GB"/>
        </w:rPr>
        <w:t xml:space="preserve">, which is </w:t>
      </w:r>
      <w:r w:rsidRPr="00F77DA9">
        <w:rPr>
          <w:color w:val="000000"/>
          <w:lang w:val="en-GB"/>
        </w:rPr>
        <w:lastRenderedPageBreak/>
        <w:t xml:space="preserve">typically more robust. Lastly, </w:t>
      </w:r>
      <w:r w:rsidRPr="00F77DA9">
        <w:rPr>
          <w:i/>
          <w:iCs/>
          <w:color w:val="000000"/>
          <w:lang w:val="en-GB"/>
        </w:rPr>
        <w:t>T. fascicularis/deserti</w:t>
      </w:r>
      <w:r w:rsidRPr="00F77DA9">
        <w:rPr>
          <w:color w:val="000000"/>
          <w:lang w:val="en-GB"/>
        </w:rPr>
        <w:t xml:space="preserve"> often have golden/brownish eyes, lighter in colour than </w:t>
      </w:r>
      <w:r w:rsidRPr="00F77DA9">
        <w:rPr>
          <w:i/>
          <w:iCs/>
          <w:color w:val="000000"/>
          <w:lang w:val="en-GB"/>
        </w:rPr>
        <w:t>T. mauritanica</w:t>
      </w:r>
      <w:r w:rsidRPr="00F77DA9">
        <w:rPr>
          <w:color w:val="000000"/>
          <w:lang w:val="en-GB"/>
        </w:rPr>
        <w:t xml:space="preserve"> (Joger and Bshaenia, 2010; Aprea et al., 2011; Sarra et </w:t>
      </w:r>
      <w:r w:rsidRPr="00F77DA9">
        <w:rPr>
          <w:color w:val="000000"/>
          <w:lang w:val="en-GB"/>
        </w:rPr>
        <w:t>al., 2013) (Fig. 1). Since some of these traits are not strongly diagnostic, genetic analyses emerge as the most reliable system to distinguish between these species.</w:t>
      </w:r>
    </w:p>
    <w:p w14:paraId="70B571A7" w14:textId="77777777" w:rsidR="00B02450" w:rsidRDefault="00B02450" w:rsidP="00B02450">
      <w:pPr>
        <w:spacing w:after="120"/>
        <w:jc w:val="both"/>
        <w:rPr>
          <w:color w:val="000000"/>
          <w:lang w:val="en-GB"/>
        </w:rPr>
        <w:sectPr w:rsidR="00B02450" w:rsidSect="00B02450">
          <w:type w:val="continuous"/>
          <w:pgSz w:w="12240" w:h="15840"/>
          <w:pgMar w:top="1417" w:right="1134" w:bottom="1134" w:left="1134" w:header="708" w:footer="708" w:gutter="0"/>
          <w:cols w:num="2" w:space="708"/>
          <w:docGrid w:linePitch="360"/>
        </w:sectPr>
      </w:pPr>
    </w:p>
    <w:p w14:paraId="7BD5F9B8" w14:textId="77777777" w:rsidR="00B02450" w:rsidRDefault="00B02450" w:rsidP="00B02450">
      <w:pPr>
        <w:jc w:val="center"/>
        <w:rPr>
          <w:lang w:val="en-GB"/>
        </w:rPr>
      </w:pPr>
    </w:p>
    <w:p w14:paraId="5AD9F0D1" w14:textId="77777777" w:rsidR="00B02450" w:rsidRDefault="00B02450" w:rsidP="00B02450">
      <w:pPr>
        <w:jc w:val="center"/>
        <w:rPr>
          <w:lang w:val="en-GB"/>
        </w:rPr>
      </w:pPr>
      <w:r w:rsidRPr="0091340F">
        <w:rPr>
          <w:rFonts w:eastAsia="Arial"/>
          <w:noProof/>
          <w:color w:val="000000" w:themeColor="text1"/>
          <w:lang w:val="en-GB" w:eastAsia="en-GB"/>
        </w:rPr>
        <w:drawing>
          <wp:inline distT="0" distB="0" distL="0" distR="0" wp14:anchorId="1E67E463" wp14:editId="231570B0">
            <wp:extent cx="5232771" cy="4177161"/>
            <wp:effectExtent l="0" t="0" r="0" b="1270"/>
            <wp:docPr id="1447446283" name="Immagine 1" descr="Close up of a reptile's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46283" name="Immagine 1" descr="Close up of a reptile's ey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2865" cy="4201184"/>
                    </a:xfrm>
                    <a:prstGeom prst="rect">
                      <a:avLst/>
                    </a:prstGeom>
                  </pic:spPr>
                </pic:pic>
              </a:graphicData>
            </a:graphic>
          </wp:inline>
        </w:drawing>
      </w:r>
    </w:p>
    <w:p w14:paraId="7058738B" w14:textId="77777777" w:rsidR="00B02450" w:rsidRDefault="00B02450" w:rsidP="00B02450">
      <w:pPr>
        <w:ind w:left="142"/>
        <w:jc w:val="both"/>
        <w:rPr>
          <w:lang w:val="en-GB"/>
        </w:rPr>
      </w:pPr>
    </w:p>
    <w:p w14:paraId="56A8600F" w14:textId="5BC359CA" w:rsidR="00B02450" w:rsidRDefault="00B02450" w:rsidP="00B02450">
      <w:pPr>
        <w:ind w:left="142"/>
        <w:jc w:val="both"/>
        <w:rPr>
          <w:sz w:val="20"/>
          <w:szCs w:val="20"/>
          <w:lang w:val="en-GB"/>
        </w:rPr>
      </w:pPr>
      <w:r>
        <w:rPr>
          <w:sz w:val="20"/>
          <w:szCs w:val="20"/>
          <w:lang w:val="en-GB"/>
        </w:rPr>
        <w:t>Figure</w:t>
      </w:r>
      <w:r w:rsidRPr="00F44548">
        <w:rPr>
          <w:sz w:val="20"/>
          <w:szCs w:val="20"/>
          <w:lang w:val="en-GB"/>
        </w:rPr>
        <w:t xml:space="preserve"> </w:t>
      </w:r>
      <w:r>
        <w:rPr>
          <w:sz w:val="20"/>
          <w:szCs w:val="20"/>
          <w:lang w:val="en-GB"/>
        </w:rPr>
        <w:t>1</w:t>
      </w:r>
      <w:r w:rsidRPr="00F44548">
        <w:rPr>
          <w:sz w:val="20"/>
          <w:szCs w:val="20"/>
          <w:lang w:val="en-GB"/>
        </w:rPr>
        <w:t>.</w:t>
      </w:r>
      <w:r>
        <w:rPr>
          <w:sz w:val="20"/>
          <w:szCs w:val="20"/>
          <w:lang w:val="en-GB"/>
        </w:rPr>
        <w:t xml:space="preserve"> </w:t>
      </w:r>
      <w:r w:rsidRPr="00B02450">
        <w:rPr>
          <w:sz w:val="20"/>
          <w:szCs w:val="20"/>
          <w:lang w:val="en-GB"/>
        </w:rPr>
        <w:t xml:space="preserve">Photo details of the two “Moorish gecko” species present in Lampedusa. </w:t>
      </w:r>
      <w:r w:rsidRPr="00B02450">
        <w:rPr>
          <w:b/>
          <w:bCs/>
          <w:sz w:val="20"/>
          <w:szCs w:val="20"/>
          <w:lang w:val="en-GB"/>
        </w:rPr>
        <w:t>A</w:t>
      </w:r>
      <w:r w:rsidRPr="00B02450">
        <w:rPr>
          <w:sz w:val="20"/>
          <w:szCs w:val="20"/>
          <w:lang w:val="en-GB"/>
        </w:rPr>
        <w:t xml:space="preserve">, </w:t>
      </w:r>
      <w:r w:rsidRPr="00B02450">
        <w:rPr>
          <w:i/>
          <w:iCs/>
          <w:sz w:val="20"/>
          <w:szCs w:val="20"/>
          <w:lang w:val="en-GB"/>
        </w:rPr>
        <w:t>Tarentola mauritanica</w:t>
      </w:r>
      <w:r w:rsidRPr="00B02450">
        <w:rPr>
          <w:sz w:val="20"/>
          <w:szCs w:val="20"/>
          <w:lang w:val="en-GB"/>
        </w:rPr>
        <w:t xml:space="preserve"> eye detail; </w:t>
      </w:r>
      <w:r w:rsidRPr="00B02450">
        <w:rPr>
          <w:b/>
          <w:bCs/>
          <w:sz w:val="20"/>
          <w:szCs w:val="20"/>
          <w:lang w:val="en-GB"/>
        </w:rPr>
        <w:t>B</w:t>
      </w:r>
      <w:r w:rsidRPr="00B02450">
        <w:rPr>
          <w:sz w:val="20"/>
          <w:szCs w:val="20"/>
          <w:lang w:val="en-GB"/>
        </w:rPr>
        <w:t xml:space="preserve">, </w:t>
      </w:r>
      <w:r w:rsidRPr="00B02450">
        <w:rPr>
          <w:i/>
          <w:iCs/>
          <w:sz w:val="20"/>
          <w:szCs w:val="20"/>
          <w:lang w:val="en-GB"/>
        </w:rPr>
        <w:t>T. fascicularis/deserti</w:t>
      </w:r>
      <w:r w:rsidRPr="00B02450">
        <w:rPr>
          <w:sz w:val="20"/>
          <w:szCs w:val="20"/>
          <w:lang w:val="en-GB"/>
        </w:rPr>
        <w:t xml:space="preserve"> eye detail; </w:t>
      </w:r>
      <w:r w:rsidRPr="00B02450">
        <w:rPr>
          <w:b/>
          <w:bCs/>
          <w:sz w:val="20"/>
          <w:szCs w:val="20"/>
          <w:lang w:val="en-GB"/>
        </w:rPr>
        <w:t>C</w:t>
      </w:r>
      <w:r w:rsidRPr="00B02450">
        <w:rPr>
          <w:sz w:val="20"/>
          <w:szCs w:val="20"/>
          <w:lang w:val="en-GB"/>
        </w:rPr>
        <w:t xml:space="preserve">, </w:t>
      </w:r>
      <w:r w:rsidRPr="00B02450">
        <w:rPr>
          <w:i/>
          <w:iCs/>
          <w:sz w:val="20"/>
          <w:szCs w:val="20"/>
          <w:lang w:val="en-GB"/>
        </w:rPr>
        <w:t>T. fascicularis/deserti</w:t>
      </w:r>
      <w:r w:rsidRPr="00B02450">
        <w:rPr>
          <w:sz w:val="20"/>
          <w:szCs w:val="20"/>
          <w:lang w:val="en-GB"/>
        </w:rPr>
        <w:t xml:space="preserve"> nostril and rostral scale detail; </w:t>
      </w:r>
      <w:r w:rsidRPr="00B02450">
        <w:rPr>
          <w:b/>
          <w:bCs/>
          <w:sz w:val="20"/>
          <w:szCs w:val="20"/>
          <w:lang w:val="en-GB"/>
        </w:rPr>
        <w:t>D</w:t>
      </w:r>
      <w:r w:rsidRPr="00B02450">
        <w:rPr>
          <w:sz w:val="20"/>
          <w:szCs w:val="20"/>
          <w:lang w:val="en-GB"/>
        </w:rPr>
        <w:t xml:space="preserve">, </w:t>
      </w:r>
      <w:r w:rsidRPr="00B02450">
        <w:rPr>
          <w:i/>
          <w:iCs/>
          <w:sz w:val="20"/>
          <w:szCs w:val="20"/>
          <w:lang w:val="en-GB"/>
        </w:rPr>
        <w:t>Tarentola mauritanica</w:t>
      </w:r>
      <w:r w:rsidRPr="00B02450">
        <w:rPr>
          <w:sz w:val="20"/>
          <w:szCs w:val="20"/>
          <w:lang w:val="en-GB"/>
        </w:rPr>
        <w:t xml:space="preserve"> nostril and rostral scale detail</w:t>
      </w:r>
      <w:r w:rsidRPr="00146E7C">
        <w:rPr>
          <w:sz w:val="20"/>
          <w:szCs w:val="20"/>
          <w:lang w:val="en-GB"/>
        </w:rPr>
        <w:t>.</w:t>
      </w:r>
    </w:p>
    <w:p w14:paraId="637D5F71" w14:textId="77777777" w:rsidR="00B02450" w:rsidRDefault="00B02450" w:rsidP="00B02450">
      <w:pPr>
        <w:ind w:left="142"/>
        <w:jc w:val="both"/>
        <w:rPr>
          <w:sz w:val="20"/>
          <w:szCs w:val="20"/>
          <w:lang w:val="en-GB"/>
        </w:rPr>
      </w:pPr>
    </w:p>
    <w:p w14:paraId="2999384F" w14:textId="77777777" w:rsidR="00B02450" w:rsidRDefault="00B02450" w:rsidP="00B02450">
      <w:pPr>
        <w:jc w:val="both"/>
        <w:rPr>
          <w:sz w:val="20"/>
          <w:szCs w:val="20"/>
          <w:lang w:val="en-GB"/>
        </w:rPr>
      </w:pPr>
    </w:p>
    <w:p w14:paraId="76120A7C" w14:textId="77777777" w:rsidR="00B02450" w:rsidRDefault="00B02450" w:rsidP="00B02450">
      <w:pPr>
        <w:jc w:val="both"/>
        <w:rPr>
          <w:sz w:val="20"/>
          <w:szCs w:val="20"/>
          <w:lang w:val="en-GB"/>
        </w:rPr>
        <w:sectPr w:rsidR="00B02450" w:rsidSect="00B02450">
          <w:type w:val="continuous"/>
          <w:pgSz w:w="12240" w:h="15840"/>
          <w:pgMar w:top="1417" w:right="1134" w:bottom="1134" w:left="1134" w:header="709" w:footer="709" w:gutter="0"/>
          <w:cols w:space="708"/>
          <w:docGrid w:linePitch="360" w:charSpace="58335"/>
        </w:sectPr>
      </w:pPr>
    </w:p>
    <w:p w14:paraId="1F621E35" w14:textId="77777777" w:rsidR="00B02450" w:rsidRDefault="00B02450" w:rsidP="00B02450">
      <w:pPr>
        <w:spacing w:after="120"/>
        <w:ind w:firstLine="708"/>
        <w:jc w:val="both"/>
        <w:rPr>
          <w:color w:val="000000"/>
          <w:lang w:val="en-GB"/>
        </w:rPr>
      </w:pPr>
      <w:r w:rsidRPr="00F77DA9">
        <w:rPr>
          <w:color w:val="000000"/>
          <w:lang w:val="en-GB"/>
        </w:rPr>
        <w:t xml:space="preserve">In the present study, we increased the sampling of </w:t>
      </w:r>
      <w:r w:rsidRPr="00F77DA9">
        <w:rPr>
          <w:i/>
          <w:iCs/>
          <w:color w:val="000000"/>
          <w:lang w:val="en-GB"/>
        </w:rPr>
        <w:t>Tarentola</w:t>
      </w:r>
      <w:r w:rsidRPr="00F77DA9">
        <w:rPr>
          <w:color w:val="000000"/>
          <w:lang w:val="en-GB"/>
        </w:rPr>
        <w:t xml:space="preserve"> specimens from Lampedusa to investigate the potential distribution of different genetic clades in the study area. Individuals were sampled both in urbanised (where introductions may have occurred) and in natural habitats. We hypothesised that both </w:t>
      </w:r>
      <w:r w:rsidRPr="00F77DA9">
        <w:rPr>
          <w:i/>
          <w:iCs/>
          <w:color w:val="000000"/>
          <w:lang w:val="en-GB"/>
        </w:rPr>
        <w:t>Tarentola</w:t>
      </w:r>
      <w:r w:rsidRPr="00F77DA9">
        <w:rPr>
          <w:color w:val="000000"/>
          <w:lang w:val="en-GB"/>
        </w:rPr>
        <w:t xml:space="preserve"> taxa may occur in Lampedusa, with </w:t>
      </w:r>
      <w:r w:rsidRPr="00F77DA9">
        <w:rPr>
          <w:i/>
          <w:iCs/>
          <w:color w:val="000000"/>
          <w:lang w:val="en-GB"/>
        </w:rPr>
        <w:t>T. mauritanica</w:t>
      </w:r>
      <w:r w:rsidRPr="00F77DA9">
        <w:rPr>
          <w:color w:val="000000"/>
          <w:lang w:val="en-GB"/>
        </w:rPr>
        <w:t xml:space="preserve"> restricted to urban environments (e.g., due to its putative recent, human-mediated introduction, see also Harris et al., 2004).</w:t>
      </w:r>
    </w:p>
    <w:p w14:paraId="79B12846" w14:textId="77777777" w:rsidR="00B02450" w:rsidRDefault="00B02450" w:rsidP="00B02450">
      <w:pPr>
        <w:spacing w:after="120"/>
        <w:ind w:firstLine="708"/>
        <w:jc w:val="both"/>
        <w:rPr>
          <w:color w:val="000000"/>
          <w:lang w:val="en-GB"/>
        </w:rPr>
      </w:pPr>
    </w:p>
    <w:p w14:paraId="5E935EBE" w14:textId="20FCAB3B" w:rsidR="003A764E" w:rsidRPr="00F44548" w:rsidRDefault="00146E7C" w:rsidP="003A764E">
      <w:pPr>
        <w:spacing w:after="120"/>
        <w:jc w:val="both"/>
        <w:rPr>
          <w:b/>
          <w:bCs/>
          <w:color w:val="000000"/>
          <w:lang w:val="en-GB"/>
        </w:rPr>
      </w:pPr>
      <w:r>
        <w:rPr>
          <w:b/>
          <w:bCs/>
          <w:color w:val="000000"/>
          <w:lang w:val="en-GB"/>
        </w:rPr>
        <w:t>M</w:t>
      </w:r>
      <w:r w:rsidR="003A764E" w:rsidRPr="00F44548">
        <w:rPr>
          <w:b/>
          <w:bCs/>
          <w:color w:val="000000"/>
          <w:lang w:val="en-GB"/>
        </w:rPr>
        <w:t>ATERIALS AND METHODS</w:t>
      </w:r>
    </w:p>
    <w:p w14:paraId="63CB5B45" w14:textId="77777777" w:rsidR="00F77DA9" w:rsidRPr="00F77DA9" w:rsidRDefault="00F77DA9" w:rsidP="00F77DA9">
      <w:pPr>
        <w:spacing w:after="120"/>
        <w:rPr>
          <w:b/>
          <w:bCs/>
          <w:color w:val="000000"/>
          <w:lang w:val="en-GB"/>
        </w:rPr>
      </w:pPr>
      <w:r w:rsidRPr="00F77DA9">
        <w:rPr>
          <w:b/>
          <w:bCs/>
          <w:color w:val="000000"/>
          <w:lang w:val="en-GB"/>
        </w:rPr>
        <w:t>Sampling</w:t>
      </w:r>
    </w:p>
    <w:p w14:paraId="1B683827" w14:textId="7CA5AA86" w:rsidR="00B02450" w:rsidRDefault="00F77DA9" w:rsidP="00B02450">
      <w:pPr>
        <w:spacing w:after="120"/>
        <w:jc w:val="both"/>
        <w:rPr>
          <w:color w:val="000000"/>
          <w:lang w:val="en-GB"/>
        </w:rPr>
        <w:sectPr w:rsidR="00B02450" w:rsidSect="00B02450">
          <w:type w:val="continuous"/>
          <w:pgSz w:w="12240" w:h="15840"/>
          <w:pgMar w:top="1417" w:right="1134" w:bottom="1134" w:left="1134" w:header="708" w:footer="708" w:gutter="0"/>
          <w:cols w:num="2" w:space="708"/>
          <w:docGrid w:linePitch="360"/>
        </w:sectPr>
      </w:pPr>
      <w:r w:rsidRPr="00F77DA9">
        <w:rPr>
          <w:color w:val="000000"/>
          <w:lang w:val="en-GB"/>
        </w:rPr>
        <w:t xml:space="preserve">To build a genetic dataset, we sampled 11 </w:t>
      </w:r>
      <w:r w:rsidRPr="00F77DA9">
        <w:rPr>
          <w:i/>
          <w:iCs/>
          <w:color w:val="000000"/>
          <w:lang w:val="en-GB"/>
        </w:rPr>
        <w:t>Tarentola</w:t>
      </w:r>
      <w:r w:rsidRPr="00F77DA9">
        <w:rPr>
          <w:color w:val="000000"/>
          <w:lang w:val="en-GB"/>
        </w:rPr>
        <w:t xml:space="preserve"> individuals from 11 locations within </w:t>
      </w:r>
      <w:proofErr w:type="gramStart"/>
      <w:r w:rsidRPr="00F77DA9">
        <w:rPr>
          <w:color w:val="000000"/>
          <w:lang w:val="en-GB"/>
        </w:rPr>
        <w:t xml:space="preserve">Lampedusa </w:t>
      </w:r>
      <w:r w:rsidR="00993ABC">
        <w:rPr>
          <w:color w:val="000000"/>
          <w:lang w:val="en-GB"/>
        </w:rPr>
        <w:t>i</w:t>
      </w:r>
      <w:r w:rsidR="00993ABC" w:rsidRPr="00F77DA9">
        <w:rPr>
          <w:color w:val="000000"/>
          <w:lang w:val="en-GB"/>
        </w:rPr>
        <w:t>sland</w:t>
      </w:r>
      <w:proofErr w:type="gramEnd"/>
      <w:r w:rsidRPr="00F77DA9">
        <w:rPr>
          <w:color w:val="000000"/>
          <w:lang w:val="en-GB"/>
        </w:rPr>
        <w:t>, spanning from Spring 2023 to Autumn 2024, including the port and the town centre (Fig. 2). The individuals were captured</w:t>
      </w:r>
      <w:r w:rsidR="00F73475">
        <w:rPr>
          <w:color w:val="000000"/>
          <w:lang w:val="en-GB"/>
        </w:rPr>
        <w:t xml:space="preserve"> by hand</w:t>
      </w:r>
      <w:r w:rsidRPr="00F77DA9">
        <w:rPr>
          <w:color w:val="000000"/>
          <w:lang w:val="en-GB"/>
        </w:rPr>
        <w:t xml:space="preserve"> during both nocturnal and diurnal searches by hand. After capture, the terminal 2 cm of the tail was clipped and preserved in absolute ethanol. No animals were sacrificed to accomplish this study. </w:t>
      </w:r>
    </w:p>
    <w:p w14:paraId="083EDDF4" w14:textId="77777777" w:rsidR="00B02450" w:rsidRDefault="00B02450" w:rsidP="00B02450">
      <w:pPr>
        <w:jc w:val="center"/>
        <w:rPr>
          <w:lang w:val="en-GB"/>
        </w:rPr>
      </w:pPr>
    </w:p>
    <w:p w14:paraId="1030A9B3" w14:textId="77777777" w:rsidR="00037234" w:rsidRDefault="00037234" w:rsidP="00B02450">
      <w:pPr>
        <w:jc w:val="center"/>
        <w:rPr>
          <w:lang w:val="en-GB"/>
        </w:rPr>
      </w:pPr>
    </w:p>
    <w:p w14:paraId="1179AABD" w14:textId="4BD1D535" w:rsidR="00B02450" w:rsidRPr="00F44548" w:rsidRDefault="00B02450" w:rsidP="00B02450">
      <w:pPr>
        <w:jc w:val="center"/>
        <w:rPr>
          <w:lang w:val="en-GB"/>
        </w:rPr>
      </w:pPr>
      <w:r w:rsidRPr="0091340F">
        <w:rPr>
          <w:rFonts w:eastAsia="Arial"/>
          <w:noProof/>
          <w:color w:val="000000" w:themeColor="text1"/>
          <w:lang w:val="en-GB" w:eastAsia="en-GB"/>
        </w:rPr>
        <w:drawing>
          <wp:inline distT="0" distB="0" distL="0" distR="0" wp14:anchorId="48209B5B" wp14:editId="0618904E">
            <wp:extent cx="6168980" cy="4325045"/>
            <wp:effectExtent l="0" t="0" r="3810" b="5715"/>
            <wp:docPr id="2136644637" name="Immagine 2" descr="A map of a land with yello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44637" name="Immagine 2" descr="A map of a land with yellow squar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5882" cy="4350917"/>
                    </a:xfrm>
                    <a:prstGeom prst="rect">
                      <a:avLst/>
                    </a:prstGeom>
                  </pic:spPr>
                </pic:pic>
              </a:graphicData>
            </a:graphic>
          </wp:inline>
        </w:drawing>
      </w:r>
    </w:p>
    <w:p w14:paraId="35EC785A" w14:textId="77777777" w:rsidR="00B02450" w:rsidRDefault="00B02450" w:rsidP="00B02450">
      <w:pPr>
        <w:ind w:left="142"/>
        <w:jc w:val="both"/>
        <w:rPr>
          <w:sz w:val="20"/>
          <w:szCs w:val="20"/>
          <w:lang w:val="en-GB"/>
        </w:rPr>
      </w:pPr>
    </w:p>
    <w:p w14:paraId="0397C67E" w14:textId="7BD47091" w:rsidR="00B02450" w:rsidRDefault="00B02450" w:rsidP="00B02450">
      <w:pPr>
        <w:ind w:left="142"/>
        <w:jc w:val="both"/>
        <w:rPr>
          <w:sz w:val="20"/>
          <w:szCs w:val="20"/>
          <w:lang w:val="en-GB"/>
        </w:rPr>
      </w:pPr>
      <w:r>
        <w:rPr>
          <w:sz w:val="20"/>
          <w:szCs w:val="20"/>
          <w:lang w:val="en-GB"/>
        </w:rPr>
        <w:t>Figure</w:t>
      </w:r>
      <w:r w:rsidRPr="00F44548">
        <w:rPr>
          <w:sz w:val="20"/>
          <w:szCs w:val="20"/>
          <w:lang w:val="en-GB"/>
        </w:rPr>
        <w:t xml:space="preserve"> </w:t>
      </w:r>
      <w:r>
        <w:rPr>
          <w:sz w:val="20"/>
          <w:szCs w:val="20"/>
          <w:lang w:val="en-GB"/>
        </w:rPr>
        <w:t>2</w:t>
      </w:r>
      <w:r w:rsidRPr="00F44548">
        <w:rPr>
          <w:sz w:val="20"/>
          <w:szCs w:val="20"/>
          <w:lang w:val="en-GB"/>
        </w:rPr>
        <w:t>.</w:t>
      </w:r>
      <w:r>
        <w:rPr>
          <w:sz w:val="20"/>
          <w:szCs w:val="20"/>
          <w:lang w:val="en-GB"/>
        </w:rPr>
        <w:t xml:space="preserve"> </w:t>
      </w:r>
      <w:r w:rsidRPr="00B02450">
        <w:rPr>
          <w:sz w:val="20"/>
          <w:szCs w:val="20"/>
          <w:lang w:val="en-GB"/>
        </w:rPr>
        <w:t xml:space="preserve">Distribution of sampled localities in Lampedusa and </w:t>
      </w:r>
      <w:proofErr w:type="spellStart"/>
      <w:r w:rsidRPr="00B02450">
        <w:rPr>
          <w:sz w:val="20"/>
          <w:szCs w:val="20"/>
          <w:lang w:val="en-GB"/>
        </w:rPr>
        <w:t>Conigli</w:t>
      </w:r>
      <w:proofErr w:type="spellEnd"/>
      <w:r w:rsidRPr="00B02450">
        <w:rPr>
          <w:sz w:val="20"/>
          <w:szCs w:val="20"/>
          <w:lang w:val="en-GB"/>
        </w:rPr>
        <w:t xml:space="preserve"> </w:t>
      </w:r>
      <w:r w:rsidR="00993ABC">
        <w:rPr>
          <w:sz w:val="20"/>
          <w:szCs w:val="20"/>
          <w:lang w:val="en-GB"/>
        </w:rPr>
        <w:t>i</w:t>
      </w:r>
      <w:r w:rsidR="00993ABC" w:rsidRPr="00B02450">
        <w:rPr>
          <w:sz w:val="20"/>
          <w:szCs w:val="20"/>
          <w:lang w:val="en-GB"/>
        </w:rPr>
        <w:t>slands</w:t>
      </w:r>
      <w:r w:rsidRPr="00B02450">
        <w:rPr>
          <w:sz w:val="20"/>
          <w:szCs w:val="20"/>
          <w:lang w:val="en-GB"/>
        </w:rPr>
        <w:t xml:space="preserve">. Yellow dots refer to </w:t>
      </w:r>
      <w:r w:rsidRPr="00B02450">
        <w:rPr>
          <w:i/>
          <w:iCs/>
          <w:sz w:val="20"/>
          <w:szCs w:val="20"/>
          <w:lang w:val="en-GB"/>
        </w:rPr>
        <w:t>Tarentola fascicularis/deserti</w:t>
      </w:r>
      <w:r w:rsidRPr="00B02450">
        <w:rPr>
          <w:sz w:val="20"/>
          <w:szCs w:val="20"/>
          <w:lang w:val="en-GB"/>
        </w:rPr>
        <w:t xml:space="preserve"> previously published records (Harris et al., 2009b; Rato et al., 2010, 2012; </w:t>
      </w:r>
      <w:proofErr w:type="spellStart"/>
      <w:r w:rsidRPr="00B02450">
        <w:rPr>
          <w:sz w:val="20"/>
          <w:szCs w:val="20"/>
          <w:lang w:val="en-GB"/>
        </w:rPr>
        <w:t>Stöck</w:t>
      </w:r>
      <w:proofErr w:type="spellEnd"/>
      <w:r w:rsidRPr="00B02450">
        <w:rPr>
          <w:sz w:val="20"/>
          <w:szCs w:val="20"/>
          <w:lang w:val="en-GB"/>
        </w:rPr>
        <w:t xml:space="preserve"> et al., 2016); yellow squares refer to </w:t>
      </w:r>
      <w:r w:rsidRPr="00B02450">
        <w:rPr>
          <w:i/>
          <w:iCs/>
          <w:sz w:val="20"/>
          <w:szCs w:val="20"/>
          <w:lang w:val="en-GB"/>
        </w:rPr>
        <w:t>T. fascicularis/deserti</w:t>
      </w:r>
      <w:r w:rsidRPr="00B02450">
        <w:rPr>
          <w:sz w:val="20"/>
          <w:szCs w:val="20"/>
          <w:lang w:val="en-GB"/>
        </w:rPr>
        <w:t xml:space="preserve"> novel records; red triangles refer to </w:t>
      </w:r>
      <w:r w:rsidRPr="00B02450">
        <w:rPr>
          <w:i/>
          <w:iCs/>
          <w:sz w:val="20"/>
          <w:szCs w:val="20"/>
          <w:lang w:val="en-GB"/>
        </w:rPr>
        <w:t>T. mauritanica</w:t>
      </w:r>
      <w:r w:rsidRPr="00B02450">
        <w:rPr>
          <w:sz w:val="20"/>
          <w:szCs w:val="20"/>
          <w:lang w:val="en-GB"/>
        </w:rPr>
        <w:t xml:space="preserve"> novel records.  </w:t>
      </w:r>
    </w:p>
    <w:p w14:paraId="3DD26DC3" w14:textId="77777777" w:rsidR="00B02450" w:rsidRDefault="00B02450" w:rsidP="00B02450">
      <w:pPr>
        <w:jc w:val="both"/>
        <w:rPr>
          <w:sz w:val="20"/>
          <w:szCs w:val="20"/>
          <w:lang w:val="en-GB"/>
        </w:rPr>
      </w:pPr>
    </w:p>
    <w:p w14:paraId="38995DA8" w14:textId="77777777" w:rsidR="00B02450" w:rsidRDefault="00B02450" w:rsidP="00B02450">
      <w:pPr>
        <w:jc w:val="both"/>
        <w:rPr>
          <w:sz w:val="20"/>
          <w:szCs w:val="20"/>
          <w:lang w:val="en-GB"/>
        </w:rPr>
      </w:pPr>
    </w:p>
    <w:p w14:paraId="4CC997E6" w14:textId="77777777" w:rsidR="00B02450" w:rsidRDefault="00B02450" w:rsidP="00B02450">
      <w:pPr>
        <w:jc w:val="both"/>
        <w:rPr>
          <w:sz w:val="20"/>
          <w:szCs w:val="20"/>
          <w:lang w:val="en-GB"/>
        </w:rPr>
        <w:sectPr w:rsidR="00B02450" w:rsidSect="00B02450">
          <w:type w:val="continuous"/>
          <w:pgSz w:w="12240" w:h="15840"/>
          <w:pgMar w:top="1417" w:right="1134" w:bottom="1134" w:left="1134" w:header="709" w:footer="709" w:gutter="0"/>
          <w:cols w:space="708"/>
          <w:docGrid w:linePitch="360" w:charSpace="58335"/>
        </w:sectPr>
      </w:pPr>
    </w:p>
    <w:p w14:paraId="467FBE73" w14:textId="313917AF" w:rsidR="00F77DA9" w:rsidRPr="00B02450" w:rsidRDefault="00F77DA9" w:rsidP="00B02450">
      <w:pPr>
        <w:spacing w:after="120"/>
        <w:jc w:val="both"/>
        <w:rPr>
          <w:color w:val="000000"/>
          <w:lang w:val="en-GB"/>
        </w:rPr>
      </w:pPr>
      <w:r w:rsidRPr="00F77DA9">
        <w:rPr>
          <w:b/>
          <w:bCs/>
          <w:color w:val="000000"/>
          <w:lang w:val="en-GB"/>
        </w:rPr>
        <w:t xml:space="preserve">Genetic analyses </w:t>
      </w:r>
    </w:p>
    <w:p w14:paraId="2DBA280E" w14:textId="5DEA4E94" w:rsidR="00F77DA9" w:rsidRPr="00F77DA9" w:rsidRDefault="00F77DA9" w:rsidP="00F77DA9">
      <w:pPr>
        <w:spacing w:after="120"/>
        <w:jc w:val="both"/>
        <w:rPr>
          <w:color w:val="000000"/>
          <w:lang w:val="en-GB"/>
        </w:rPr>
      </w:pPr>
      <w:r w:rsidRPr="00F77DA9">
        <w:rPr>
          <w:color w:val="000000"/>
          <w:lang w:val="en-GB"/>
        </w:rPr>
        <w:t>DNA extraction was performed on</w:t>
      </w:r>
      <w:r w:rsidR="00F73475">
        <w:rPr>
          <w:color w:val="000000"/>
          <w:lang w:val="en-GB"/>
        </w:rPr>
        <w:t xml:space="preserve"> a</w:t>
      </w:r>
      <w:r w:rsidRPr="00F77DA9">
        <w:rPr>
          <w:color w:val="000000"/>
          <w:lang w:val="en-GB"/>
        </w:rPr>
        <w:t xml:space="preserve"> small tissue sample taken from the tails of each of the collected specimens. Prior to DNA extraction, the tissue was carefully cleaned and soaked in double-distilled water for 5 minutes, followed by processing using the BIORON GmbH “Ron’s Tissue DNA Mini Kit”. The primer pair 16sar-L and 16sbr-H (</w:t>
      </w:r>
      <w:proofErr w:type="spellStart"/>
      <w:r w:rsidRPr="00F77DA9">
        <w:rPr>
          <w:color w:val="000000"/>
          <w:lang w:val="en-GB"/>
        </w:rPr>
        <w:t>Palumbi</w:t>
      </w:r>
      <w:proofErr w:type="spellEnd"/>
      <w:r w:rsidRPr="00F77DA9">
        <w:rPr>
          <w:color w:val="000000"/>
          <w:lang w:val="en-GB"/>
        </w:rPr>
        <w:t xml:space="preserve"> et al., 1991) was used to amplify a fragment of the large ribosomal subunit 16S rRNA (16S). The composition of the polymerase chain reaction (PCR) mix and thermal cycling were performed according to Antinucci et al. (2024). The obtained chromatograms showed no peak ambiguities. All novel 16S rRNA sequences were uploaded to </w:t>
      </w:r>
      <w:r w:rsidRPr="00F77DA9">
        <w:rPr>
          <w:color w:val="000000"/>
          <w:lang w:val="en-GB"/>
        </w:rPr>
        <w:t>GenBank (Accession Numbers, A.N.s: PV715685-PV715695). These sequences were analysed and manually proofread using Chromas v. 2.6.2 (</w:t>
      </w:r>
      <w:proofErr w:type="spellStart"/>
      <w:r w:rsidRPr="00F77DA9">
        <w:rPr>
          <w:color w:val="000000"/>
          <w:lang w:val="en-GB"/>
        </w:rPr>
        <w:t>Technelysium</w:t>
      </w:r>
      <w:proofErr w:type="spellEnd"/>
      <w:r w:rsidRPr="00F77DA9">
        <w:rPr>
          <w:color w:val="000000"/>
          <w:lang w:val="en-GB"/>
        </w:rPr>
        <w:t xml:space="preserve"> Pty. Ltd.</w:t>
      </w:r>
      <w:r w:rsidR="00F73475">
        <w:rPr>
          <w:color w:val="000000"/>
          <w:lang w:val="en-GB"/>
        </w:rPr>
        <w:t>,</w:t>
      </w:r>
      <w:r w:rsidRPr="00F77DA9">
        <w:rPr>
          <w:color w:val="000000"/>
          <w:lang w:val="en-GB"/>
        </w:rPr>
        <w:t xml:space="preserve"> 1998, Queensland, Australia) and aligned using MEGA12 (Kumar et al., 2024).</w:t>
      </w:r>
    </w:p>
    <w:p w14:paraId="6CF70312" w14:textId="599F789A" w:rsidR="00F77DA9" w:rsidRDefault="00F77DA9" w:rsidP="00B02450">
      <w:pPr>
        <w:spacing w:after="120"/>
        <w:ind w:firstLine="708"/>
        <w:jc w:val="both"/>
        <w:rPr>
          <w:color w:val="000000"/>
          <w:lang w:val="en-GB"/>
        </w:rPr>
      </w:pPr>
      <w:r w:rsidRPr="00F77DA9">
        <w:rPr>
          <w:color w:val="000000"/>
          <w:lang w:val="en-GB"/>
        </w:rPr>
        <w:t xml:space="preserve">The molecular identification of the specimens and the reconstruction of their phylogenetic relationships were performed using Bayesian Inference (BI) and Maximum Likelihood (ML) methods, implemented in </w:t>
      </w:r>
      <w:proofErr w:type="spellStart"/>
      <w:r w:rsidRPr="00F77DA9">
        <w:rPr>
          <w:color w:val="000000"/>
          <w:lang w:val="en-GB"/>
        </w:rPr>
        <w:t>MrBayes</w:t>
      </w:r>
      <w:proofErr w:type="spellEnd"/>
      <w:r w:rsidRPr="00F77DA9">
        <w:rPr>
          <w:color w:val="000000"/>
          <w:lang w:val="en-GB"/>
        </w:rPr>
        <w:t xml:space="preserve"> v. 3.2.7 (</w:t>
      </w:r>
      <w:proofErr w:type="spellStart"/>
      <w:r w:rsidRPr="00F77DA9">
        <w:rPr>
          <w:color w:val="000000"/>
          <w:lang w:val="en-GB"/>
        </w:rPr>
        <w:t>Ronquist</w:t>
      </w:r>
      <w:proofErr w:type="spellEnd"/>
      <w:r w:rsidRPr="00F77DA9">
        <w:rPr>
          <w:color w:val="000000"/>
          <w:lang w:val="en-GB"/>
        </w:rPr>
        <w:t xml:space="preserve"> et al., 2012) and </w:t>
      </w:r>
      <w:proofErr w:type="spellStart"/>
      <w:r w:rsidRPr="00F77DA9">
        <w:rPr>
          <w:color w:val="000000"/>
          <w:lang w:val="en-GB"/>
        </w:rPr>
        <w:t>PhyML</w:t>
      </w:r>
      <w:proofErr w:type="spellEnd"/>
      <w:r w:rsidRPr="00F77DA9">
        <w:rPr>
          <w:color w:val="000000"/>
          <w:lang w:val="en-GB"/>
        </w:rPr>
        <w:t xml:space="preserve"> v. 3.0 (Guindon et al., 2010), respectively. Branch support was assessed by reporting posterior probability values on the BI tree and calculating bootstrap values with 1000 </w:t>
      </w:r>
      <w:r w:rsidRPr="00F77DA9">
        <w:rPr>
          <w:color w:val="000000"/>
          <w:lang w:val="en-GB"/>
        </w:rPr>
        <w:lastRenderedPageBreak/>
        <w:t xml:space="preserve">replicates on the ML tree (Felsenstein, 1985). The optimal evolutionary model was selected from those analysed by </w:t>
      </w:r>
      <w:proofErr w:type="spellStart"/>
      <w:r w:rsidRPr="00F77DA9">
        <w:rPr>
          <w:color w:val="000000"/>
          <w:lang w:val="en-GB"/>
        </w:rPr>
        <w:t>MrBayes</w:t>
      </w:r>
      <w:proofErr w:type="spellEnd"/>
      <w:r w:rsidRPr="00F77DA9">
        <w:rPr>
          <w:color w:val="000000"/>
          <w:lang w:val="en-GB"/>
        </w:rPr>
        <w:t>, using the Bayesian model choice criteria (</w:t>
      </w:r>
      <w:proofErr w:type="spellStart"/>
      <w:r w:rsidRPr="00F77DA9">
        <w:rPr>
          <w:color w:val="000000"/>
          <w:lang w:val="en-GB"/>
        </w:rPr>
        <w:t>nst</w:t>
      </w:r>
      <w:proofErr w:type="spellEnd"/>
      <w:r w:rsidRPr="00F77DA9">
        <w:rPr>
          <w:color w:val="000000"/>
          <w:lang w:val="en-GB"/>
        </w:rPr>
        <w:t xml:space="preserve"> = mixed, i.e., GTR+I+Γ) and then selected also in the ML analysis. In the BI analyses, two independent Markov Chain Monte Carlo analyses were run with one million generations (4 chains, temp.: 0.2; default priors). Trees and parameter values were sampled every 100 generations, resulting in 10.000 saved trees per analysis. Once convergence was reached (Effective Sample Size above 200), 2500 trees were conservatively discarded as “burn-in”.</w:t>
      </w:r>
    </w:p>
    <w:p w14:paraId="40B28369" w14:textId="77777777" w:rsidR="00B02450" w:rsidRDefault="00B02450" w:rsidP="007F0DDD">
      <w:pPr>
        <w:spacing w:after="120"/>
        <w:jc w:val="both"/>
        <w:rPr>
          <w:b/>
          <w:bCs/>
          <w:color w:val="000000"/>
          <w:lang w:val="en-GB"/>
        </w:rPr>
      </w:pPr>
    </w:p>
    <w:p w14:paraId="52223961" w14:textId="5A852392" w:rsidR="000A7DF1" w:rsidRPr="00A56CD5" w:rsidRDefault="00B02450" w:rsidP="007F0DDD">
      <w:pPr>
        <w:spacing w:after="120"/>
        <w:jc w:val="both"/>
        <w:rPr>
          <w:b/>
          <w:bCs/>
          <w:color w:val="000000"/>
          <w:lang w:val="en-GB"/>
        </w:rPr>
      </w:pPr>
      <w:r>
        <w:rPr>
          <w:b/>
          <w:bCs/>
          <w:color w:val="000000"/>
          <w:lang w:val="en-GB"/>
        </w:rPr>
        <w:t>R</w:t>
      </w:r>
      <w:r w:rsidR="00A56CD5" w:rsidRPr="00A56CD5">
        <w:rPr>
          <w:b/>
          <w:bCs/>
          <w:color w:val="000000"/>
          <w:lang w:val="en-GB"/>
        </w:rPr>
        <w:t>ESULTS</w:t>
      </w:r>
    </w:p>
    <w:p w14:paraId="2E38CED3" w14:textId="1D972EEA" w:rsidR="00B02450" w:rsidRPr="00B02450" w:rsidRDefault="00B02450" w:rsidP="00B02450">
      <w:pPr>
        <w:spacing w:after="120"/>
        <w:jc w:val="both"/>
        <w:rPr>
          <w:color w:val="000000"/>
          <w:lang w:val="en-GB"/>
        </w:rPr>
      </w:pPr>
      <w:r w:rsidRPr="00B02450">
        <w:rPr>
          <w:color w:val="000000"/>
          <w:lang w:val="en-GB"/>
        </w:rPr>
        <w:t xml:space="preserve">Overall, 11 novel 16S sequences were obtained and included in the analyses, along with an additional 119 comparison sequences previously published and downloaded from GenBank (see Fig. 3 for their A.N.s). The length of the readable 16S PCR products ranged from 510 to 570 bp. After trimming the tails of the sequences, a 16S alignment of 464 bp was obtained. The phylogenetic trees based on BI and ML analyses, rooted on </w:t>
      </w:r>
      <w:r w:rsidRPr="00B02450">
        <w:rPr>
          <w:i/>
          <w:iCs/>
          <w:color w:val="000000"/>
          <w:lang w:val="en-GB"/>
        </w:rPr>
        <w:t>Tarentola chazaliae</w:t>
      </w:r>
      <w:r w:rsidRPr="00B02450">
        <w:rPr>
          <w:color w:val="000000"/>
          <w:lang w:val="en-GB"/>
        </w:rPr>
        <w:t xml:space="preserve"> (Mocquard, 1895) (A.N., JQ300955 see also Fig. 3), showed topologies congruent with the currently known phylogenetic relationships of the analysed taxa (see Rato et al., 2012; Antinucci et </w:t>
      </w:r>
      <w:r w:rsidR="00F73475" w:rsidRPr="00B02450">
        <w:rPr>
          <w:color w:val="000000"/>
          <w:lang w:val="en-GB"/>
        </w:rPr>
        <w:t>a</w:t>
      </w:r>
      <w:r w:rsidR="00F73475">
        <w:rPr>
          <w:color w:val="000000"/>
          <w:lang w:val="en-GB"/>
        </w:rPr>
        <w:t>l</w:t>
      </w:r>
      <w:r w:rsidRPr="00B02450">
        <w:rPr>
          <w:color w:val="000000"/>
          <w:lang w:val="en-GB"/>
        </w:rPr>
        <w:t>., 2024).</w:t>
      </w:r>
    </w:p>
    <w:p w14:paraId="3C3BDD14" w14:textId="35EB032E" w:rsidR="00B02450" w:rsidRPr="00037234" w:rsidRDefault="00B02450" w:rsidP="00037234">
      <w:pPr>
        <w:spacing w:after="120"/>
        <w:ind w:firstLine="708"/>
        <w:jc w:val="both"/>
        <w:rPr>
          <w:color w:val="000000"/>
          <w:lang w:val="en-GB"/>
        </w:rPr>
      </w:pPr>
      <w:r w:rsidRPr="00B02450">
        <w:rPr>
          <w:color w:val="000000"/>
          <w:lang w:val="en-GB"/>
        </w:rPr>
        <w:t>Nine of the 11 novel sequences from Lampedusa clustered with the clade VIII (</w:t>
      </w:r>
      <w:r w:rsidRPr="00B02450">
        <w:rPr>
          <w:i/>
          <w:iCs/>
          <w:color w:val="000000"/>
          <w:lang w:val="en-GB"/>
        </w:rPr>
        <w:t>sensu</w:t>
      </w:r>
      <w:r w:rsidRPr="00B02450">
        <w:rPr>
          <w:color w:val="000000"/>
          <w:lang w:val="en-GB"/>
        </w:rPr>
        <w:t xml:space="preserve"> Rato et al., 2012) of the </w:t>
      </w:r>
      <w:r w:rsidRPr="00B02450">
        <w:rPr>
          <w:i/>
          <w:iCs/>
          <w:color w:val="000000"/>
          <w:lang w:val="en-GB"/>
        </w:rPr>
        <w:t>Tarentola fascicularis/deserti</w:t>
      </w:r>
      <w:r w:rsidRPr="00B02450">
        <w:rPr>
          <w:color w:val="000000"/>
          <w:lang w:val="en-GB"/>
        </w:rPr>
        <w:t xml:space="preserve"> lineage, along with other samples from Lampedusa, Libya and Tunisia. Conversely, two sequences (GenBank A.N.s, PV715694-PV715695) fell into clade VI, which includes </w:t>
      </w:r>
      <w:r w:rsidRPr="00B02450">
        <w:rPr>
          <w:i/>
          <w:iCs/>
          <w:color w:val="000000"/>
          <w:lang w:val="en-GB"/>
        </w:rPr>
        <w:t>T. mauritanica</w:t>
      </w:r>
      <w:r w:rsidRPr="00B02450">
        <w:rPr>
          <w:color w:val="000000"/>
          <w:lang w:val="en-GB"/>
        </w:rPr>
        <w:t xml:space="preserve"> samples from Morocco, Tunisia and all the European populations analysed (Italy, Malta, Spain), sharing the same haplotype. Both sequences in clade VI were obtained from individuals sampled at the port of Lampedusa (Fig. 2, 3).</w:t>
      </w:r>
    </w:p>
    <w:p w14:paraId="6C184553" w14:textId="0534B796" w:rsidR="00B02450" w:rsidRDefault="00B02450" w:rsidP="00140487">
      <w:pPr>
        <w:spacing w:after="120"/>
        <w:jc w:val="both"/>
        <w:rPr>
          <w:b/>
          <w:bCs/>
          <w:color w:val="000000"/>
          <w:lang w:val="en-GB"/>
        </w:rPr>
      </w:pPr>
      <w:r>
        <w:rPr>
          <w:noProof/>
          <w:lang w:val="en-GB" w:eastAsia="en-GB"/>
        </w:rPr>
        <w:drawing>
          <wp:inline distT="0" distB="0" distL="0" distR="0" wp14:anchorId="5273AFDC" wp14:editId="68D972E4">
            <wp:extent cx="2583013" cy="6430958"/>
            <wp:effectExtent l="0" t="0" r="0" b="0"/>
            <wp:docPr id="150904857" name="drawing" descr="A long vertical chart of a liz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4857" name="drawing" descr="A long vertical chart of a lizar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3764" cy="6482621"/>
                    </a:xfrm>
                    <a:prstGeom prst="rect">
                      <a:avLst/>
                    </a:prstGeom>
                  </pic:spPr>
                </pic:pic>
              </a:graphicData>
            </a:graphic>
          </wp:inline>
        </w:drawing>
      </w:r>
    </w:p>
    <w:p w14:paraId="6135C685" w14:textId="7E924316" w:rsidR="00B02450" w:rsidRDefault="00A73761" w:rsidP="00140487">
      <w:pPr>
        <w:spacing w:after="120"/>
        <w:jc w:val="both"/>
        <w:rPr>
          <w:b/>
          <w:bCs/>
          <w:color w:val="000000"/>
          <w:lang w:val="en-GB"/>
        </w:rPr>
      </w:pPr>
      <w:r w:rsidRPr="00B02450">
        <w:rPr>
          <w:color w:val="000000"/>
          <w:sz w:val="20"/>
          <w:szCs w:val="20"/>
          <w:lang w:val="en-GB"/>
        </w:rPr>
        <w:t xml:space="preserve">Figure 3. Bayesian phylogram of </w:t>
      </w:r>
      <w:r w:rsidRPr="00B02450">
        <w:rPr>
          <w:i/>
          <w:iCs/>
          <w:color w:val="000000"/>
          <w:sz w:val="20"/>
          <w:szCs w:val="20"/>
          <w:lang w:val="en-GB"/>
        </w:rPr>
        <w:t>Tarentola</w:t>
      </w:r>
      <w:r w:rsidRPr="00B02450">
        <w:rPr>
          <w:color w:val="000000"/>
          <w:sz w:val="20"/>
          <w:szCs w:val="20"/>
          <w:lang w:val="en-GB"/>
        </w:rPr>
        <w:t xml:space="preserve"> spp. based on a 464-bp fragment of the mtDNA 16S. A sample of </w:t>
      </w:r>
      <w:r w:rsidRPr="00B02450">
        <w:rPr>
          <w:i/>
          <w:iCs/>
          <w:color w:val="000000"/>
          <w:sz w:val="20"/>
          <w:szCs w:val="20"/>
          <w:lang w:val="en-GB"/>
        </w:rPr>
        <w:t>T. chazaliae</w:t>
      </w:r>
      <w:r w:rsidRPr="00B02450">
        <w:rPr>
          <w:color w:val="000000"/>
          <w:sz w:val="20"/>
          <w:szCs w:val="20"/>
          <w:lang w:val="en-GB"/>
        </w:rPr>
        <w:t xml:space="preserve"> (Mocquard, 1895) (GenBank Accession Number, A.N.: JQ300955) was used as outgroup to root the tree. Node statistical support is reported as nodal posterior probabilities (Bayesian inference of phylogeny, BI)/bootstrap values (Maximum Likelihood, ML). Asterisks indicate bootstrap support values lower than 50. Rectangles group the samples according to their major clustering reported in Rato et al. </w:t>
      </w:r>
      <w:r>
        <w:rPr>
          <w:color w:val="000000"/>
          <w:sz w:val="20"/>
          <w:szCs w:val="20"/>
          <w:lang w:val="en-GB"/>
        </w:rPr>
        <w:t>(</w:t>
      </w:r>
      <w:r w:rsidRPr="00B02450">
        <w:rPr>
          <w:color w:val="000000"/>
          <w:sz w:val="20"/>
          <w:szCs w:val="20"/>
          <w:lang w:val="en-GB"/>
        </w:rPr>
        <w:t>2012</w:t>
      </w:r>
      <w:r>
        <w:rPr>
          <w:color w:val="000000"/>
          <w:sz w:val="20"/>
          <w:szCs w:val="20"/>
          <w:lang w:val="en-GB"/>
        </w:rPr>
        <w:t>)</w:t>
      </w:r>
      <w:r w:rsidRPr="00B02450">
        <w:rPr>
          <w:color w:val="000000"/>
          <w:sz w:val="20"/>
          <w:szCs w:val="20"/>
          <w:lang w:val="en-GB"/>
        </w:rPr>
        <w:t>. The analysed specimens are reported using the A.N.s. The novel sequences are reported in bold.</w:t>
      </w:r>
    </w:p>
    <w:p w14:paraId="151A624F" w14:textId="1C17900D" w:rsidR="00B02450" w:rsidRDefault="00A73761" w:rsidP="00140487">
      <w:pPr>
        <w:spacing w:after="120"/>
        <w:jc w:val="both"/>
        <w:rPr>
          <w:b/>
          <w:bCs/>
          <w:color w:val="000000"/>
          <w:lang w:val="en-GB"/>
        </w:rPr>
      </w:pPr>
      <w:r>
        <w:rPr>
          <w:b/>
          <w:bCs/>
          <w:color w:val="000000"/>
          <w:lang w:val="en-GB"/>
        </w:rPr>
        <w:lastRenderedPageBreak/>
        <w:t>DISCUSSION</w:t>
      </w:r>
    </w:p>
    <w:p w14:paraId="1A69A5D3" w14:textId="73CA8108" w:rsidR="00A73761" w:rsidRPr="00A73761" w:rsidRDefault="00A73761" w:rsidP="00A73761">
      <w:pPr>
        <w:spacing w:after="120"/>
        <w:jc w:val="both"/>
        <w:rPr>
          <w:color w:val="000000"/>
          <w:lang w:val="en-GB"/>
        </w:rPr>
      </w:pPr>
      <w:r w:rsidRPr="00A73761">
        <w:rPr>
          <w:color w:val="000000"/>
          <w:lang w:val="en-GB"/>
        </w:rPr>
        <w:t xml:space="preserve">Our work provided additional information on the genetic diversity of </w:t>
      </w:r>
      <w:r w:rsidRPr="00A73761">
        <w:rPr>
          <w:i/>
          <w:iCs/>
          <w:color w:val="000000"/>
          <w:lang w:val="en-GB"/>
        </w:rPr>
        <w:t>Tarentola</w:t>
      </w:r>
      <w:r w:rsidRPr="00A73761">
        <w:rPr>
          <w:color w:val="000000"/>
          <w:lang w:val="en-GB"/>
        </w:rPr>
        <w:t xml:space="preserve"> geckos in the southernmost islands of Europe, highlighting the importance of these areas as a potential zone of species overlap and introduction. The obtained molecular results confirm the presence of two distinct genetic lineages of species rank within Lampedusa, supporting the hypothesis that both </w:t>
      </w:r>
      <w:r w:rsidRPr="00A73761">
        <w:rPr>
          <w:i/>
          <w:iCs/>
          <w:color w:val="000000"/>
          <w:lang w:val="en-GB"/>
        </w:rPr>
        <w:t>T. fascicularis/deserti</w:t>
      </w:r>
      <w:r w:rsidRPr="00A73761">
        <w:rPr>
          <w:color w:val="000000"/>
          <w:lang w:val="en-GB"/>
        </w:rPr>
        <w:t xml:space="preserve"> and </w:t>
      </w:r>
      <w:r w:rsidRPr="00A73761">
        <w:rPr>
          <w:i/>
          <w:iCs/>
          <w:color w:val="000000"/>
          <w:lang w:val="en-GB"/>
        </w:rPr>
        <w:t>T. mauritanica</w:t>
      </w:r>
      <w:r w:rsidRPr="00A73761">
        <w:rPr>
          <w:color w:val="000000"/>
          <w:lang w:val="en-GB"/>
        </w:rPr>
        <w:t xml:space="preserve"> occur on the island. The clustering of nine out of eleven sequences with </w:t>
      </w:r>
      <w:r w:rsidRPr="00A73761">
        <w:rPr>
          <w:i/>
          <w:iCs/>
          <w:color w:val="000000"/>
          <w:lang w:val="en-GB"/>
        </w:rPr>
        <w:t>T. fascicularis/deserti</w:t>
      </w:r>
      <w:r w:rsidRPr="00A73761">
        <w:rPr>
          <w:color w:val="000000"/>
          <w:lang w:val="en-GB"/>
        </w:rPr>
        <w:t>, along with samples from Libya and Tunisia, confirmed the natural biogeographic connection between North Africa and Lampedusa. This observation aligns with previous studies which emphasised the role of the Sicily Channel as a transitional zone between European and African fauna (</w:t>
      </w:r>
      <w:proofErr w:type="spellStart"/>
      <w:r w:rsidRPr="00A73761">
        <w:rPr>
          <w:color w:val="000000"/>
          <w:lang w:val="en-GB"/>
        </w:rPr>
        <w:t>Ancillotto</w:t>
      </w:r>
      <w:proofErr w:type="spellEnd"/>
      <w:r w:rsidRPr="00A73761">
        <w:rPr>
          <w:color w:val="000000"/>
          <w:lang w:val="en-GB"/>
        </w:rPr>
        <w:t xml:space="preserve"> et al., 2020; Faraone et al., 2020b; Fichera et al., 2022; Antinucci et al., 2024). Conversely, the biogeographic pattern of </w:t>
      </w:r>
      <w:r w:rsidRPr="00A73761">
        <w:rPr>
          <w:i/>
          <w:iCs/>
          <w:color w:val="000000"/>
          <w:lang w:val="en-GB"/>
        </w:rPr>
        <w:t>Tarentola</w:t>
      </w:r>
      <w:r w:rsidRPr="00A73761">
        <w:rPr>
          <w:color w:val="000000"/>
          <w:lang w:val="en-GB"/>
        </w:rPr>
        <w:t xml:space="preserve"> geckos on Lampedusa is the opposite of the one observed in Pantelleria, which is located 160 km north to Lampedusa, where the European species is the most widely distributed and the African clade is very localised (Antinucci et al., 2024). The detection of </w:t>
      </w:r>
      <w:r w:rsidRPr="00A73761">
        <w:rPr>
          <w:i/>
          <w:iCs/>
          <w:color w:val="000000"/>
          <w:lang w:val="en-GB"/>
        </w:rPr>
        <w:t>T. mauritanica</w:t>
      </w:r>
      <w:r w:rsidRPr="00A73761">
        <w:rPr>
          <w:color w:val="000000"/>
          <w:lang w:val="en-GB"/>
        </w:rPr>
        <w:t xml:space="preserve"> haplotypes exclusively within Lampedusa human settlements (i.e., in the port area) strongly suggest</w:t>
      </w:r>
      <w:r w:rsidR="00F73475">
        <w:rPr>
          <w:color w:val="000000"/>
          <w:lang w:val="en-GB"/>
        </w:rPr>
        <w:t>s</w:t>
      </w:r>
      <w:r w:rsidRPr="00A73761">
        <w:rPr>
          <w:color w:val="000000"/>
          <w:lang w:val="en-GB"/>
        </w:rPr>
        <w:t xml:space="preserve"> a recent human-mediated introduction of the species, likely through maritime routes (Mori and </w:t>
      </w:r>
      <w:proofErr w:type="spellStart"/>
      <w:r w:rsidRPr="00A73761">
        <w:rPr>
          <w:color w:val="000000"/>
          <w:lang w:val="en-GB"/>
        </w:rPr>
        <w:t>Plebani</w:t>
      </w:r>
      <w:proofErr w:type="spellEnd"/>
      <w:r w:rsidRPr="00A73761">
        <w:rPr>
          <w:color w:val="000000"/>
          <w:lang w:val="en-GB"/>
        </w:rPr>
        <w:t xml:space="preserve">, 2012; Mori et al., 2022; </w:t>
      </w:r>
      <w:r w:rsidR="00B34B6C" w:rsidRPr="00A73761">
        <w:rPr>
          <w:color w:val="000000"/>
          <w:lang w:val="en-GB"/>
        </w:rPr>
        <w:t>Rato et al., 2023;</w:t>
      </w:r>
      <w:r w:rsidR="00B34B6C">
        <w:rPr>
          <w:color w:val="000000"/>
          <w:lang w:val="en-GB"/>
        </w:rPr>
        <w:t xml:space="preserve"> </w:t>
      </w:r>
      <w:r w:rsidRPr="00A73761">
        <w:rPr>
          <w:color w:val="000000"/>
          <w:lang w:val="en-GB"/>
        </w:rPr>
        <w:t xml:space="preserve">Giacalone et al., 2024), as occurred with other lizards on the island (Lo Valvo and Nicolini, 2001; Lo Cascio et al., 2005). This is consistent with prior research, which has documented the anthropogenic dispersal of </w:t>
      </w:r>
      <w:r w:rsidRPr="00A73761">
        <w:rPr>
          <w:i/>
          <w:iCs/>
          <w:color w:val="000000"/>
          <w:lang w:val="en-GB"/>
        </w:rPr>
        <w:t>T. mauritanica</w:t>
      </w:r>
      <w:r w:rsidRPr="00A73761">
        <w:rPr>
          <w:color w:val="000000"/>
          <w:lang w:val="en-GB"/>
        </w:rPr>
        <w:t xml:space="preserve"> across Mediterranean islands, particularly in urbanised settings (Harris et al., 2004). Such introductions raise important issues about potential ecological interactions between native and introduced species, as well as the long-term implications for Lampedusa herpetofauna assemblage. While </w:t>
      </w:r>
      <w:r w:rsidRPr="00A73761">
        <w:rPr>
          <w:i/>
          <w:iCs/>
          <w:color w:val="000000"/>
          <w:lang w:val="en-GB"/>
        </w:rPr>
        <w:t>T. fascicularis/deserti</w:t>
      </w:r>
      <w:r w:rsidRPr="00A73761">
        <w:rPr>
          <w:color w:val="000000"/>
          <w:lang w:val="en-GB"/>
        </w:rPr>
        <w:t xml:space="preserve"> appears to be the naturally occurring taxon in the island’s less disturbed environments, further studies are needed to </w:t>
      </w:r>
      <w:r w:rsidRPr="00A73761">
        <w:rPr>
          <w:color w:val="000000"/>
          <w:lang w:val="en-GB"/>
        </w:rPr>
        <w:t>assess whether competitive displacement or potential hybridisation events may occur between the two species (Di Nicola et al., 2021).</w:t>
      </w:r>
    </w:p>
    <w:p w14:paraId="620B5449" w14:textId="7EC51C91" w:rsidR="00A73761" w:rsidRPr="00A73761" w:rsidRDefault="00A73761" w:rsidP="00A73761">
      <w:pPr>
        <w:spacing w:after="120"/>
        <w:ind w:firstLine="708"/>
        <w:jc w:val="both"/>
        <w:rPr>
          <w:color w:val="000000"/>
          <w:lang w:val="en-GB"/>
        </w:rPr>
      </w:pPr>
      <w:r w:rsidRPr="00A73761">
        <w:rPr>
          <w:color w:val="000000"/>
          <w:lang w:val="en-GB"/>
        </w:rPr>
        <w:t xml:space="preserve">The morphological similarities between </w:t>
      </w:r>
      <w:r w:rsidRPr="00A73761">
        <w:rPr>
          <w:i/>
          <w:iCs/>
          <w:color w:val="000000"/>
          <w:lang w:val="en-GB"/>
        </w:rPr>
        <w:t>Tarentola mauritanica</w:t>
      </w:r>
      <w:r w:rsidRPr="00A73761">
        <w:rPr>
          <w:color w:val="000000"/>
          <w:lang w:val="en-GB"/>
        </w:rPr>
        <w:t xml:space="preserve"> and </w:t>
      </w:r>
      <w:r w:rsidRPr="00A73761">
        <w:rPr>
          <w:i/>
          <w:iCs/>
          <w:color w:val="000000"/>
          <w:lang w:val="en-GB"/>
        </w:rPr>
        <w:t>T. fascicularis/deserti</w:t>
      </w:r>
      <w:r w:rsidRPr="00A73761">
        <w:rPr>
          <w:color w:val="000000"/>
          <w:lang w:val="en-GB"/>
        </w:rPr>
        <w:t xml:space="preserve"> add another layer of complexity to species identification in the field. As previously noted, minor variations in coloration, body shape, and head scales are often subtle and subject to individual variation (Joger and Bshaenia, 2010; Aprea et al., 2011; Sarra et al., 2013). Consequently, the use of genetic analyses is confirmed to be the most reliable method currently available for distinguishing amongst these taxa. The molecular approach used in this study not only reinforces the taxonomic status of the sampled individuals but also demonstrates the necessity of expanding genetic surveys to other nearby islands, e.g., Pantelleria, where similar taxonomic uncertainties occur (</w:t>
      </w:r>
      <w:r w:rsidR="00B34B6C" w:rsidRPr="00A73761">
        <w:rPr>
          <w:color w:val="000000"/>
          <w:lang w:val="en-GB"/>
        </w:rPr>
        <w:t>Rato et al., 2023</w:t>
      </w:r>
      <w:r w:rsidR="00B34B6C">
        <w:rPr>
          <w:color w:val="000000"/>
          <w:lang w:val="en-GB"/>
        </w:rPr>
        <w:t xml:space="preserve">; </w:t>
      </w:r>
      <w:r w:rsidRPr="00A73761">
        <w:rPr>
          <w:color w:val="000000"/>
          <w:lang w:val="en-GB"/>
        </w:rPr>
        <w:t>Antinucci et al., 2024;).</w:t>
      </w:r>
    </w:p>
    <w:p w14:paraId="67AD5D0B" w14:textId="77777777" w:rsidR="00A73761" w:rsidRPr="00A73761" w:rsidRDefault="00A73761" w:rsidP="00A73761">
      <w:pPr>
        <w:spacing w:after="120"/>
        <w:ind w:firstLine="708"/>
        <w:jc w:val="both"/>
        <w:rPr>
          <w:color w:val="000000"/>
          <w:lang w:val="en-GB"/>
        </w:rPr>
      </w:pPr>
      <w:r w:rsidRPr="00A73761">
        <w:rPr>
          <w:color w:val="000000"/>
          <w:lang w:val="en-GB"/>
        </w:rPr>
        <w:t xml:space="preserve">Our findings carry some potential conservation implications. The introduction of non-native species, particularly in ecologically fragile island environments, can lead to unforeseen disruptions in local ecosystems. Although </w:t>
      </w:r>
      <w:r w:rsidRPr="00A73761">
        <w:rPr>
          <w:i/>
          <w:iCs/>
          <w:color w:val="000000"/>
          <w:lang w:val="en-GB"/>
        </w:rPr>
        <w:t>Tarentola mauritanica</w:t>
      </w:r>
      <w:r w:rsidRPr="00A73761">
        <w:rPr>
          <w:color w:val="000000"/>
          <w:lang w:val="en-GB"/>
        </w:rPr>
        <w:t xml:space="preserve">, with few recent exceptions (see Renet et al., 2024), is not typically considered an invasive threat, its presence in Lampedusa raises concerns about potential competition with </w:t>
      </w:r>
      <w:r w:rsidRPr="00A73761">
        <w:rPr>
          <w:i/>
          <w:iCs/>
          <w:color w:val="000000"/>
          <w:lang w:val="en-GB"/>
        </w:rPr>
        <w:t>T. fascicularis/deserti</w:t>
      </w:r>
      <w:r w:rsidRPr="00A73761">
        <w:rPr>
          <w:color w:val="000000"/>
          <w:lang w:val="en-GB"/>
        </w:rPr>
        <w:t>, which has a more restricted range in the Mediterranean region (Di Nicola et al., 2021). Future monitoring efforts should focus on understanding population dynamics, habitat preferences, and potential interspecific interactions to evaluate whether conservation measures, such as controlling human-mediated dispersal, are necessary.</w:t>
      </w:r>
    </w:p>
    <w:p w14:paraId="00D757C0" w14:textId="77777777" w:rsidR="00A73761" w:rsidRPr="00A73761" w:rsidRDefault="00A73761" w:rsidP="00A73761">
      <w:pPr>
        <w:spacing w:after="120"/>
        <w:ind w:firstLine="708"/>
        <w:jc w:val="both"/>
        <w:rPr>
          <w:color w:val="000000"/>
          <w:lang w:val="en-GB"/>
        </w:rPr>
      </w:pPr>
      <w:r w:rsidRPr="00A73761">
        <w:rPr>
          <w:color w:val="000000"/>
          <w:lang w:val="en-GB"/>
        </w:rPr>
        <w:t xml:space="preserve">Additionally, the study highlights the broader importance of Mediterranean islands in tracking historical biogeographic patterns (Sciandra et al., 2022). The genetic links between </w:t>
      </w:r>
      <w:r w:rsidRPr="00A73761">
        <w:rPr>
          <w:i/>
          <w:iCs/>
          <w:color w:val="000000"/>
          <w:lang w:val="en-GB"/>
        </w:rPr>
        <w:t>Tarentola fascicularis/deserti</w:t>
      </w:r>
      <w:r w:rsidRPr="00A73761">
        <w:rPr>
          <w:color w:val="000000"/>
          <w:lang w:val="en-GB"/>
        </w:rPr>
        <w:t xml:space="preserve"> populations from Lampedusa and North Africa </w:t>
      </w:r>
      <w:r w:rsidRPr="00A73761">
        <w:rPr>
          <w:color w:val="000000"/>
          <w:lang w:val="en-GB"/>
        </w:rPr>
        <w:lastRenderedPageBreak/>
        <w:t>provide further evidence of past dispersal routes and colonisation events during the Pleistocene (Rato et al., 2023). These findings enhance our understanding of how climate oscillations and sea-level fluctuations have historically shaped species distributions in the region. Given that island ecosystems are particularly vulnerable to climate change and anthropogenic disturbances, continued research is essential to assess how future environmental shifts may influence the composition and survival of native and introduced taxa.</w:t>
      </w:r>
    </w:p>
    <w:p w14:paraId="4225DD09" w14:textId="604E11AD" w:rsidR="00B02450" w:rsidRPr="00A73761" w:rsidRDefault="00A73761" w:rsidP="00A73761">
      <w:pPr>
        <w:spacing w:after="120"/>
        <w:ind w:firstLine="708"/>
        <w:jc w:val="both"/>
        <w:rPr>
          <w:color w:val="000000"/>
          <w:lang w:val="en-GB"/>
        </w:rPr>
      </w:pPr>
      <w:r w:rsidRPr="00A73761">
        <w:rPr>
          <w:color w:val="000000"/>
          <w:lang w:val="en-GB"/>
        </w:rPr>
        <w:t xml:space="preserve">In conclusion, this study confirmed the role of Lampedusa as a milestone for understanding Mediterranean biogeography and species dispersal in reptile taxa. The identification of two distinct genetic lineages within </w:t>
      </w:r>
      <w:r w:rsidRPr="00A73761">
        <w:rPr>
          <w:i/>
          <w:iCs/>
          <w:color w:val="000000"/>
          <w:lang w:val="en-GB"/>
        </w:rPr>
        <w:t>Tarentola</w:t>
      </w:r>
      <w:r w:rsidRPr="00A73761">
        <w:rPr>
          <w:color w:val="000000"/>
          <w:lang w:val="en-GB"/>
        </w:rPr>
        <w:t xml:space="preserve"> populations not only confirms the co-occurrence of African and European dispersion routes in Lampedusa herpetofauna but also underscores the need for ongoing conservation and monitoring efforts. Future studies should aim to expand sampling efforts to other islands across the Sicily Channel to better define the phylogenetic relationships and origin of their gecko populations.</w:t>
      </w:r>
    </w:p>
    <w:p w14:paraId="40AEE7AD" w14:textId="77777777" w:rsidR="00140487" w:rsidRPr="00140487" w:rsidRDefault="00140487" w:rsidP="00140487">
      <w:pPr>
        <w:spacing w:after="120"/>
        <w:rPr>
          <w:color w:val="000000"/>
          <w:lang w:val="en-GB"/>
        </w:rPr>
      </w:pPr>
    </w:p>
    <w:p w14:paraId="10FAB31D" w14:textId="77F9A9F6" w:rsidR="00140487" w:rsidRPr="00F41B85" w:rsidRDefault="00F41B85" w:rsidP="00140487">
      <w:pPr>
        <w:spacing w:after="120"/>
        <w:rPr>
          <w:b/>
          <w:bCs/>
          <w:color w:val="000000"/>
          <w:lang w:val="en-GB"/>
        </w:rPr>
      </w:pPr>
      <w:r w:rsidRPr="00F41B85">
        <w:rPr>
          <w:b/>
          <w:bCs/>
          <w:color w:val="000000"/>
          <w:lang w:val="en-GB"/>
        </w:rPr>
        <w:t>ACKNOWLEDGMENTS</w:t>
      </w:r>
    </w:p>
    <w:p w14:paraId="1C92453A" w14:textId="34A6860D" w:rsidR="00140487" w:rsidRDefault="00A73761" w:rsidP="00140487">
      <w:pPr>
        <w:spacing w:after="120"/>
        <w:jc w:val="both"/>
        <w:rPr>
          <w:color w:val="000000"/>
          <w:lang w:val="en-GB"/>
        </w:rPr>
      </w:pPr>
      <w:r w:rsidRPr="00A73761">
        <w:rPr>
          <w:color w:val="000000"/>
          <w:lang w:val="en-GB"/>
        </w:rPr>
        <w:t xml:space="preserve">We are grateful to Federico Marrone for his precious </w:t>
      </w:r>
      <w:r w:rsidR="00AB3526">
        <w:rPr>
          <w:color w:val="000000"/>
          <w:lang w:val="en-GB"/>
        </w:rPr>
        <w:t>recommendations</w:t>
      </w:r>
      <w:r w:rsidR="00AB3526" w:rsidRPr="00A73761">
        <w:rPr>
          <w:color w:val="000000"/>
          <w:lang w:val="en-GB"/>
        </w:rPr>
        <w:t xml:space="preserve"> </w:t>
      </w:r>
      <w:r w:rsidRPr="00A73761">
        <w:rPr>
          <w:color w:val="000000"/>
          <w:lang w:val="en-GB"/>
        </w:rPr>
        <w:t xml:space="preserve">and to Elena </w:t>
      </w:r>
      <w:proofErr w:type="spellStart"/>
      <w:r w:rsidRPr="00A73761">
        <w:rPr>
          <w:color w:val="000000"/>
          <w:lang w:val="en-GB"/>
        </w:rPr>
        <w:t>Prazzi</w:t>
      </w:r>
      <w:proofErr w:type="spellEnd"/>
      <w:r w:rsidRPr="00A73761">
        <w:rPr>
          <w:color w:val="000000"/>
          <w:lang w:val="en-GB"/>
        </w:rPr>
        <w:t xml:space="preserve">, Angelo </w:t>
      </w:r>
      <w:proofErr w:type="spellStart"/>
      <w:r w:rsidRPr="00A73761">
        <w:rPr>
          <w:color w:val="000000"/>
          <w:lang w:val="en-GB"/>
        </w:rPr>
        <w:t>Dimarca</w:t>
      </w:r>
      <w:proofErr w:type="spellEnd"/>
      <w:r w:rsidRPr="00A73761">
        <w:rPr>
          <w:color w:val="000000"/>
          <w:lang w:val="en-GB"/>
        </w:rPr>
        <w:t>, and the “Isola di Lampedusa” Nature Reserve (</w:t>
      </w:r>
      <w:proofErr w:type="spellStart"/>
      <w:r w:rsidRPr="00A73761">
        <w:rPr>
          <w:color w:val="000000"/>
          <w:lang w:val="en-GB"/>
        </w:rPr>
        <w:t>Legambiente</w:t>
      </w:r>
      <w:proofErr w:type="spellEnd"/>
      <w:r w:rsidRPr="00A73761">
        <w:rPr>
          <w:color w:val="000000"/>
          <w:lang w:val="en-GB"/>
        </w:rPr>
        <w:t xml:space="preserve">) for their generous availability, collaboration, and permits. </w:t>
      </w:r>
      <w:r w:rsidRPr="00913F02">
        <w:rPr>
          <w:color w:val="000000"/>
        </w:rPr>
        <w:t xml:space="preserve">Fabrizio Gili and Pietro Di Bari </w:t>
      </w:r>
      <w:proofErr w:type="spellStart"/>
      <w:r w:rsidRPr="00913F02">
        <w:rPr>
          <w:color w:val="000000"/>
        </w:rPr>
        <w:t>assisted</w:t>
      </w:r>
      <w:proofErr w:type="spellEnd"/>
      <w:r w:rsidRPr="00913F02">
        <w:rPr>
          <w:color w:val="000000"/>
        </w:rPr>
        <w:t xml:space="preserve"> </w:t>
      </w:r>
      <w:proofErr w:type="spellStart"/>
      <w:r w:rsidRPr="00913F02">
        <w:rPr>
          <w:color w:val="000000"/>
        </w:rPr>
        <w:t>us</w:t>
      </w:r>
      <w:proofErr w:type="spellEnd"/>
      <w:r w:rsidRPr="00913F02">
        <w:rPr>
          <w:color w:val="000000"/>
        </w:rPr>
        <w:t xml:space="preserve"> in data </w:t>
      </w:r>
      <w:proofErr w:type="spellStart"/>
      <w:r w:rsidRPr="00913F02">
        <w:rPr>
          <w:color w:val="000000"/>
        </w:rPr>
        <w:t>collection</w:t>
      </w:r>
      <w:proofErr w:type="spellEnd"/>
      <w:r w:rsidRPr="00913F02">
        <w:rPr>
          <w:color w:val="000000"/>
        </w:rPr>
        <w:t xml:space="preserve">. </w:t>
      </w:r>
      <w:r w:rsidRPr="00A73761">
        <w:rPr>
          <w:color w:val="000000"/>
          <w:lang w:val="en-GB"/>
        </w:rPr>
        <w:t xml:space="preserve">Samplings were carried out with permissions from the Italian Environment Ministry and Sicilian Regional Government under the following permit numbers: Prot. </w:t>
      </w:r>
      <w:r w:rsidRPr="00913F02">
        <w:rPr>
          <w:color w:val="000000"/>
        </w:rPr>
        <w:t xml:space="preserve">ISPRA prot. </w:t>
      </w:r>
      <w:r w:rsidRPr="006E2423">
        <w:rPr>
          <w:color w:val="000000"/>
          <w:lang w:val="en-GB"/>
        </w:rPr>
        <w:t xml:space="preserve">N. 10201, 24/03/2021 and </w:t>
      </w:r>
      <w:proofErr w:type="spellStart"/>
      <w:r w:rsidRPr="006E2423">
        <w:rPr>
          <w:color w:val="000000"/>
          <w:lang w:val="en-GB"/>
        </w:rPr>
        <w:t>Regione</w:t>
      </w:r>
      <w:proofErr w:type="spellEnd"/>
      <w:r w:rsidRPr="006E2423">
        <w:rPr>
          <w:color w:val="000000"/>
          <w:lang w:val="en-GB"/>
        </w:rPr>
        <w:t xml:space="preserve"> Siciliana Prot. N. 0039049, 15/04/2021; MASE </w:t>
      </w:r>
      <w:proofErr w:type="spellStart"/>
      <w:r w:rsidRPr="006E2423">
        <w:rPr>
          <w:color w:val="000000"/>
          <w:lang w:val="en-GB"/>
        </w:rPr>
        <w:t>prot</w:t>
      </w:r>
      <w:proofErr w:type="spellEnd"/>
      <w:r w:rsidRPr="006E2423">
        <w:rPr>
          <w:color w:val="000000"/>
          <w:lang w:val="en-GB"/>
        </w:rPr>
        <w:t xml:space="preserve"> N. 0144175, 02/08/2024. </w:t>
      </w:r>
      <w:r w:rsidRPr="00A73761">
        <w:rPr>
          <w:color w:val="000000"/>
          <w:lang w:val="en-GB"/>
        </w:rPr>
        <w:t>LV was supported by the fund “NextGenerationEU” of the European Union (D.M. 737/2021—CUP B79J21038330001).</w:t>
      </w:r>
      <w:r w:rsidR="00AB3526" w:rsidRPr="00913F02">
        <w:rPr>
          <w:lang w:val="en-GB"/>
        </w:rPr>
        <w:t xml:space="preserve"> EM and LA were funded by the National Recovery and Resilience Plan (NRRP), Mission 4 Component 2 Investment 1.4 </w:t>
      </w:r>
      <w:r w:rsidR="00AB3526" w:rsidRPr="00913F02">
        <w:rPr>
          <w:lang w:val="en-GB"/>
        </w:rPr>
        <w:t xml:space="preserve">- Call for tender No. 3138 of 16 December 2021, rectified by Decree n.3175 of 18 December 2021 of Italian Ministry of University and Research funded by the European Union – NextGenerationEU; Project code CN_00000033, Concession Decree No. 1034 of 17 June 2022 adopted by the Italian Ministry of University and Research, CUP B83C22002930006, Project title “National Biodiversity Future </w:t>
      </w:r>
      <w:proofErr w:type="spellStart"/>
      <w:r w:rsidR="00AB3526" w:rsidRPr="00913F02">
        <w:rPr>
          <w:lang w:val="en-GB"/>
        </w:rPr>
        <w:t>Center</w:t>
      </w:r>
      <w:proofErr w:type="spellEnd"/>
      <w:r w:rsidR="00AB3526" w:rsidRPr="00913F02">
        <w:rPr>
          <w:lang w:val="en-GB"/>
        </w:rPr>
        <w:t xml:space="preserve"> - NBFC”.</w:t>
      </w:r>
    </w:p>
    <w:p w14:paraId="757E1E9B" w14:textId="77777777" w:rsidR="00647DEF" w:rsidRDefault="00647DEF" w:rsidP="00CF7BEC">
      <w:pPr>
        <w:spacing w:after="120"/>
        <w:jc w:val="both"/>
        <w:rPr>
          <w:color w:val="000000"/>
          <w:lang w:val="en-GB"/>
        </w:rPr>
      </w:pPr>
    </w:p>
    <w:p w14:paraId="0C1BBB87" w14:textId="279F5403" w:rsidR="003A764E" w:rsidRPr="00F44548" w:rsidRDefault="003A764E" w:rsidP="00CF7BEC">
      <w:pPr>
        <w:snapToGrid w:val="0"/>
        <w:spacing w:after="120"/>
        <w:jc w:val="both"/>
        <w:rPr>
          <w:b/>
          <w:bCs/>
          <w:lang w:val="en-GB"/>
        </w:rPr>
      </w:pPr>
      <w:r w:rsidRPr="00F44548">
        <w:rPr>
          <w:b/>
          <w:bCs/>
          <w:lang w:val="en-GB"/>
        </w:rPr>
        <w:t>REFERENCES</w:t>
      </w:r>
    </w:p>
    <w:p w14:paraId="4E8073F1"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proofErr w:type="spellStart"/>
      <w:r w:rsidRPr="00A73761">
        <w:rPr>
          <w:sz w:val="22"/>
          <w:szCs w:val="22"/>
          <w:shd w:val="clear" w:color="auto" w:fill="FFFFFF"/>
          <w:lang w:val="en-GB"/>
        </w:rPr>
        <w:t>Angelici</w:t>
      </w:r>
      <w:proofErr w:type="spellEnd"/>
      <w:r w:rsidRPr="00A73761">
        <w:rPr>
          <w:sz w:val="22"/>
          <w:szCs w:val="22"/>
          <w:shd w:val="clear" w:color="auto" w:fill="FFFFFF"/>
          <w:lang w:val="en-GB"/>
        </w:rPr>
        <w:t>, F.M., Laurenti, A., Nappi, A. (2009) A checklist of the mammals of small Italian islands. Hystrix, 20, 3–27. DOI: 10.4404/hystrix-20.1-4429</w:t>
      </w:r>
    </w:p>
    <w:p w14:paraId="30ECCB94" w14:textId="77777777" w:rsidR="00A73761" w:rsidRPr="00913F02"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it-IT"/>
        </w:rPr>
      </w:pPr>
      <w:r w:rsidRPr="00A73761">
        <w:rPr>
          <w:sz w:val="22"/>
          <w:szCs w:val="22"/>
          <w:shd w:val="clear" w:color="auto" w:fill="FFFFFF"/>
          <w:lang w:val="en-GB"/>
        </w:rPr>
        <w:t xml:space="preserve">Antinucci, C., </w:t>
      </w:r>
      <w:proofErr w:type="spellStart"/>
      <w:r w:rsidRPr="00A73761">
        <w:rPr>
          <w:sz w:val="22"/>
          <w:szCs w:val="22"/>
          <w:shd w:val="clear" w:color="auto" w:fill="FFFFFF"/>
          <w:lang w:val="en-GB"/>
        </w:rPr>
        <w:t>Gallozzi</w:t>
      </w:r>
      <w:proofErr w:type="spellEnd"/>
      <w:r w:rsidRPr="00A73761">
        <w:rPr>
          <w:sz w:val="22"/>
          <w:szCs w:val="22"/>
          <w:shd w:val="clear" w:color="auto" w:fill="FFFFFF"/>
          <w:lang w:val="en-GB"/>
        </w:rPr>
        <w:t xml:space="preserve">, F., Castiglia, R. (2024) Geckos on the borders: genetic evidence on co-occurrence of two species of wall geckos, genus </w:t>
      </w:r>
      <w:r w:rsidRPr="00A73761">
        <w:rPr>
          <w:i/>
          <w:iCs/>
          <w:sz w:val="22"/>
          <w:szCs w:val="22"/>
          <w:shd w:val="clear" w:color="auto" w:fill="FFFFFF"/>
          <w:lang w:val="en-GB"/>
        </w:rPr>
        <w:t>Tarentola</w:t>
      </w:r>
      <w:r w:rsidRPr="00A73761">
        <w:rPr>
          <w:sz w:val="22"/>
          <w:szCs w:val="22"/>
          <w:shd w:val="clear" w:color="auto" w:fill="FFFFFF"/>
          <w:lang w:val="en-GB"/>
        </w:rPr>
        <w:t xml:space="preserve">, on the island of Pantelleria, Italy. </w:t>
      </w:r>
      <w:proofErr w:type="spellStart"/>
      <w:r w:rsidRPr="00913F02">
        <w:rPr>
          <w:sz w:val="22"/>
          <w:szCs w:val="22"/>
          <w:shd w:val="clear" w:color="auto" w:fill="FFFFFF"/>
          <w:lang w:val="it-IT"/>
        </w:rPr>
        <w:t>Herpetology</w:t>
      </w:r>
      <w:proofErr w:type="spellEnd"/>
      <w:r w:rsidRPr="00913F02">
        <w:rPr>
          <w:sz w:val="22"/>
          <w:szCs w:val="22"/>
          <w:shd w:val="clear" w:color="auto" w:fill="FFFFFF"/>
          <w:lang w:val="it-IT"/>
        </w:rPr>
        <w:t xml:space="preserve"> Notes, 17, 395–402.</w:t>
      </w:r>
    </w:p>
    <w:p w14:paraId="074ABD3E" w14:textId="3CFB78C3" w:rsidR="00A73761" w:rsidRPr="00913F02"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it-IT"/>
        </w:rPr>
      </w:pPr>
      <w:r w:rsidRPr="00913F02">
        <w:rPr>
          <w:sz w:val="22"/>
          <w:szCs w:val="22"/>
          <w:shd w:val="clear" w:color="auto" w:fill="FFFFFF"/>
          <w:lang w:val="it-IT"/>
        </w:rPr>
        <w:t xml:space="preserve">Aprea, G., Lo Cascio, P., Corti, C., Zuffi, M.A.L. (2011) </w:t>
      </w:r>
      <w:proofErr w:type="spellStart"/>
      <w:r w:rsidRPr="00913F02">
        <w:rPr>
          <w:i/>
          <w:iCs/>
          <w:sz w:val="22"/>
          <w:szCs w:val="22"/>
          <w:shd w:val="clear" w:color="auto" w:fill="FFFFFF"/>
          <w:lang w:val="it-IT"/>
        </w:rPr>
        <w:t>Tarentola</w:t>
      </w:r>
      <w:proofErr w:type="spellEnd"/>
      <w:r w:rsidRPr="00913F02">
        <w:rPr>
          <w:i/>
          <w:iCs/>
          <w:sz w:val="22"/>
          <w:szCs w:val="22"/>
          <w:shd w:val="clear" w:color="auto" w:fill="FFFFFF"/>
          <w:lang w:val="it-IT"/>
        </w:rPr>
        <w:t xml:space="preserve"> mauritanica</w:t>
      </w:r>
      <w:r w:rsidRPr="00913F02">
        <w:rPr>
          <w:sz w:val="22"/>
          <w:szCs w:val="22"/>
          <w:shd w:val="clear" w:color="auto" w:fill="FFFFFF"/>
          <w:lang w:val="it-IT"/>
        </w:rPr>
        <w:t xml:space="preserve"> (</w:t>
      </w:r>
      <w:proofErr w:type="spellStart"/>
      <w:r w:rsidRPr="00913F02">
        <w:rPr>
          <w:sz w:val="22"/>
          <w:szCs w:val="22"/>
          <w:shd w:val="clear" w:color="auto" w:fill="FFFFFF"/>
          <w:lang w:val="it-IT"/>
        </w:rPr>
        <w:t>Linnaeus</w:t>
      </w:r>
      <w:proofErr w:type="spellEnd"/>
      <w:r w:rsidRPr="00913F02">
        <w:rPr>
          <w:sz w:val="22"/>
          <w:szCs w:val="22"/>
          <w:shd w:val="clear" w:color="auto" w:fill="FFFFFF"/>
          <w:lang w:val="it-IT"/>
        </w:rPr>
        <w:t xml:space="preserve">, 1758). In: Fauna d’Italia, </w:t>
      </w:r>
      <w:proofErr w:type="spellStart"/>
      <w:r w:rsidRPr="00913F02">
        <w:rPr>
          <w:sz w:val="22"/>
          <w:szCs w:val="22"/>
          <w:shd w:val="clear" w:color="auto" w:fill="FFFFFF"/>
          <w:lang w:val="it-IT"/>
        </w:rPr>
        <w:t>Reptilia</w:t>
      </w:r>
      <w:proofErr w:type="spellEnd"/>
      <w:r w:rsidRPr="00913F02">
        <w:rPr>
          <w:sz w:val="22"/>
          <w:szCs w:val="22"/>
          <w:shd w:val="clear" w:color="auto" w:fill="FFFFFF"/>
          <w:lang w:val="it-IT"/>
        </w:rPr>
        <w:t xml:space="preserve">, vol. XLV. (ed. by C. Corti, M. Capula, L. </w:t>
      </w:r>
      <w:proofErr w:type="spellStart"/>
      <w:r w:rsidRPr="00913F02">
        <w:rPr>
          <w:sz w:val="22"/>
          <w:szCs w:val="22"/>
          <w:shd w:val="clear" w:color="auto" w:fill="FFFFFF"/>
          <w:lang w:val="it-IT"/>
        </w:rPr>
        <w:t>Luiselli</w:t>
      </w:r>
      <w:proofErr w:type="spellEnd"/>
      <w:r w:rsidRPr="00913F02">
        <w:rPr>
          <w:sz w:val="22"/>
          <w:szCs w:val="22"/>
          <w:shd w:val="clear" w:color="auto" w:fill="FFFFFF"/>
          <w:lang w:val="it-IT"/>
        </w:rPr>
        <w:t>, E. Razzetti and R. Sindaco), pp. 277–285. Edizioni Calderini, Bologna.</w:t>
      </w:r>
    </w:p>
    <w:p w14:paraId="594AAA25" w14:textId="77777777" w:rsidR="00A73761" w:rsidRPr="00913F02"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it-IT"/>
        </w:rPr>
      </w:pPr>
      <w:r w:rsidRPr="00913F02">
        <w:rPr>
          <w:sz w:val="22"/>
          <w:szCs w:val="22"/>
          <w:shd w:val="clear" w:color="auto" w:fill="FFFFFF"/>
          <w:lang w:val="it-IT"/>
        </w:rPr>
        <w:t xml:space="preserve">Belluardo, F., Pellitteri‐Rosa, D., Cocca, W., Liuzzi, C., Rato, C., </w:t>
      </w:r>
      <w:proofErr w:type="spellStart"/>
      <w:r w:rsidRPr="00913F02">
        <w:rPr>
          <w:sz w:val="22"/>
          <w:szCs w:val="22"/>
          <w:shd w:val="clear" w:color="auto" w:fill="FFFFFF"/>
          <w:lang w:val="it-IT"/>
        </w:rPr>
        <w:t>Crottini</w:t>
      </w:r>
      <w:proofErr w:type="spellEnd"/>
      <w:r w:rsidRPr="00913F02">
        <w:rPr>
          <w:sz w:val="22"/>
          <w:szCs w:val="22"/>
          <w:shd w:val="clear" w:color="auto" w:fill="FFFFFF"/>
          <w:lang w:val="it-IT"/>
        </w:rPr>
        <w:t xml:space="preserve">, A., Bellati, A. (2024) Multilocus </w:t>
      </w:r>
      <w:proofErr w:type="spellStart"/>
      <w:r w:rsidRPr="00913F02">
        <w:rPr>
          <w:sz w:val="22"/>
          <w:szCs w:val="22"/>
          <w:shd w:val="clear" w:color="auto" w:fill="FFFFFF"/>
          <w:lang w:val="it-IT"/>
        </w:rPr>
        <w:t>phylogeography</w:t>
      </w:r>
      <w:proofErr w:type="spellEnd"/>
      <w:r w:rsidRPr="00913F02">
        <w:rPr>
          <w:sz w:val="22"/>
          <w:szCs w:val="22"/>
          <w:shd w:val="clear" w:color="auto" w:fill="FFFFFF"/>
          <w:lang w:val="it-IT"/>
        </w:rPr>
        <w:t xml:space="preserve"> of </w:t>
      </w:r>
      <w:proofErr w:type="spellStart"/>
      <w:r w:rsidRPr="00913F02">
        <w:rPr>
          <w:sz w:val="22"/>
          <w:szCs w:val="22"/>
          <w:shd w:val="clear" w:color="auto" w:fill="FFFFFF"/>
          <w:lang w:val="it-IT"/>
        </w:rPr>
        <w:t>Italian</w:t>
      </w:r>
      <w:proofErr w:type="spellEnd"/>
      <w:r w:rsidRPr="00913F02">
        <w:rPr>
          <w:sz w:val="22"/>
          <w:szCs w:val="22"/>
          <w:shd w:val="clear" w:color="auto" w:fill="FFFFFF"/>
          <w:lang w:val="it-IT"/>
        </w:rPr>
        <w:t xml:space="preserve"> </w:t>
      </w:r>
      <w:proofErr w:type="spellStart"/>
      <w:r w:rsidRPr="00913F02">
        <w:rPr>
          <w:sz w:val="22"/>
          <w:szCs w:val="22"/>
          <w:shd w:val="clear" w:color="auto" w:fill="FFFFFF"/>
          <w:lang w:val="it-IT"/>
        </w:rPr>
        <w:t>Moorish</w:t>
      </w:r>
      <w:proofErr w:type="spellEnd"/>
      <w:r w:rsidRPr="00913F02">
        <w:rPr>
          <w:sz w:val="22"/>
          <w:szCs w:val="22"/>
          <w:shd w:val="clear" w:color="auto" w:fill="FFFFFF"/>
          <w:lang w:val="it-IT"/>
        </w:rPr>
        <w:t xml:space="preserve"> </w:t>
      </w:r>
      <w:proofErr w:type="spellStart"/>
      <w:r w:rsidRPr="00913F02">
        <w:rPr>
          <w:sz w:val="22"/>
          <w:szCs w:val="22"/>
          <w:shd w:val="clear" w:color="auto" w:fill="FFFFFF"/>
          <w:lang w:val="it-IT"/>
        </w:rPr>
        <w:t>geckos</w:t>
      </w:r>
      <w:proofErr w:type="spellEnd"/>
      <w:r w:rsidRPr="00913F02">
        <w:rPr>
          <w:sz w:val="22"/>
          <w:szCs w:val="22"/>
          <w:shd w:val="clear" w:color="auto" w:fill="FFFFFF"/>
          <w:lang w:val="it-IT"/>
        </w:rPr>
        <w:t xml:space="preserve"> </w:t>
      </w:r>
      <w:proofErr w:type="spellStart"/>
      <w:r w:rsidRPr="00913F02">
        <w:rPr>
          <w:sz w:val="22"/>
          <w:szCs w:val="22"/>
          <w:shd w:val="clear" w:color="auto" w:fill="FFFFFF"/>
          <w:lang w:val="it-IT"/>
        </w:rPr>
        <w:t>adds</w:t>
      </w:r>
      <w:proofErr w:type="spellEnd"/>
      <w:r w:rsidRPr="00913F02">
        <w:rPr>
          <w:sz w:val="22"/>
          <w:szCs w:val="22"/>
          <w:shd w:val="clear" w:color="auto" w:fill="FFFFFF"/>
          <w:lang w:val="it-IT"/>
        </w:rPr>
        <w:t xml:space="preserve"> insights </w:t>
      </w:r>
      <w:proofErr w:type="spellStart"/>
      <w:r w:rsidRPr="00913F02">
        <w:rPr>
          <w:sz w:val="22"/>
          <w:szCs w:val="22"/>
          <w:shd w:val="clear" w:color="auto" w:fill="FFFFFF"/>
          <w:lang w:val="it-IT"/>
        </w:rPr>
        <w:t>into</w:t>
      </w:r>
      <w:proofErr w:type="spellEnd"/>
      <w:r w:rsidRPr="00913F02">
        <w:rPr>
          <w:sz w:val="22"/>
          <w:szCs w:val="22"/>
          <w:shd w:val="clear" w:color="auto" w:fill="FFFFFF"/>
          <w:lang w:val="it-IT"/>
        </w:rPr>
        <w:t xml:space="preserve"> the </w:t>
      </w:r>
      <w:proofErr w:type="spellStart"/>
      <w:r w:rsidRPr="00913F02">
        <w:rPr>
          <w:sz w:val="22"/>
          <w:szCs w:val="22"/>
          <w:shd w:val="clear" w:color="auto" w:fill="FFFFFF"/>
          <w:lang w:val="it-IT"/>
        </w:rPr>
        <w:t>evolutionary</w:t>
      </w:r>
      <w:proofErr w:type="spellEnd"/>
      <w:r w:rsidRPr="00913F02">
        <w:rPr>
          <w:sz w:val="22"/>
          <w:szCs w:val="22"/>
          <w:shd w:val="clear" w:color="auto" w:fill="FFFFFF"/>
          <w:lang w:val="it-IT"/>
        </w:rPr>
        <w:t xml:space="preserve"> history of </w:t>
      </w:r>
      <w:proofErr w:type="spellStart"/>
      <w:r w:rsidRPr="00913F02">
        <w:rPr>
          <w:sz w:val="22"/>
          <w:szCs w:val="22"/>
          <w:shd w:val="clear" w:color="auto" w:fill="FFFFFF"/>
          <w:lang w:val="it-IT"/>
        </w:rPr>
        <w:t>European</w:t>
      </w:r>
      <w:proofErr w:type="spellEnd"/>
      <w:r w:rsidRPr="00913F02">
        <w:rPr>
          <w:sz w:val="22"/>
          <w:szCs w:val="22"/>
          <w:shd w:val="clear" w:color="auto" w:fill="FFFFFF"/>
          <w:lang w:val="it-IT"/>
        </w:rPr>
        <w:t xml:space="preserve"> </w:t>
      </w:r>
      <w:proofErr w:type="spellStart"/>
      <w:r w:rsidRPr="00913F02">
        <w:rPr>
          <w:sz w:val="22"/>
          <w:szCs w:val="22"/>
          <w:shd w:val="clear" w:color="auto" w:fill="FFFFFF"/>
          <w:lang w:val="it-IT"/>
        </w:rPr>
        <w:t>populations</w:t>
      </w:r>
      <w:proofErr w:type="spellEnd"/>
      <w:r w:rsidRPr="00913F02">
        <w:rPr>
          <w:sz w:val="22"/>
          <w:szCs w:val="22"/>
          <w:shd w:val="clear" w:color="auto" w:fill="FFFFFF"/>
          <w:lang w:val="it-IT"/>
        </w:rPr>
        <w:t>. Zoologica Scripta, 53, 129–141. DOI: 10.1111/zsc.12642</w:t>
      </w:r>
    </w:p>
    <w:p w14:paraId="206E373E" w14:textId="101C5754" w:rsidR="00A73761" w:rsidRPr="00913F02"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it-IT"/>
        </w:rPr>
      </w:pPr>
      <w:r w:rsidRPr="00913F02">
        <w:rPr>
          <w:sz w:val="22"/>
          <w:szCs w:val="22"/>
          <w:shd w:val="clear" w:color="auto" w:fill="FFFFFF"/>
          <w:lang w:val="it-IT"/>
        </w:rPr>
        <w:t xml:space="preserve">Di Nicola, M.R., </w:t>
      </w:r>
      <w:proofErr w:type="spellStart"/>
      <w:r w:rsidRPr="00913F02">
        <w:rPr>
          <w:sz w:val="22"/>
          <w:szCs w:val="22"/>
          <w:shd w:val="clear" w:color="auto" w:fill="FFFFFF"/>
          <w:lang w:val="it-IT"/>
        </w:rPr>
        <w:t>Cavigioli</w:t>
      </w:r>
      <w:proofErr w:type="spellEnd"/>
      <w:r w:rsidRPr="00913F02">
        <w:rPr>
          <w:sz w:val="22"/>
          <w:szCs w:val="22"/>
          <w:shd w:val="clear" w:color="auto" w:fill="FFFFFF"/>
          <w:lang w:val="it-IT"/>
        </w:rPr>
        <w:t xml:space="preserve">, L., </w:t>
      </w:r>
      <w:proofErr w:type="spellStart"/>
      <w:r w:rsidRPr="00913F02">
        <w:rPr>
          <w:sz w:val="22"/>
          <w:szCs w:val="22"/>
          <w:shd w:val="clear" w:color="auto" w:fill="FFFFFF"/>
          <w:lang w:val="it-IT"/>
        </w:rPr>
        <w:t>Luiselli</w:t>
      </w:r>
      <w:proofErr w:type="spellEnd"/>
      <w:r w:rsidRPr="00913F02">
        <w:rPr>
          <w:sz w:val="22"/>
          <w:szCs w:val="22"/>
          <w:shd w:val="clear" w:color="auto" w:fill="FFFFFF"/>
          <w:lang w:val="it-IT"/>
        </w:rPr>
        <w:t xml:space="preserve">, L., </w:t>
      </w:r>
      <w:proofErr w:type="spellStart"/>
      <w:r w:rsidRPr="00913F02">
        <w:rPr>
          <w:sz w:val="22"/>
          <w:szCs w:val="22"/>
          <w:shd w:val="clear" w:color="auto" w:fill="FFFFFF"/>
          <w:lang w:val="it-IT"/>
        </w:rPr>
        <w:t>Andreone</w:t>
      </w:r>
      <w:proofErr w:type="spellEnd"/>
      <w:r w:rsidRPr="00913F02">
        <w:rPr>
          <w:sz w:val="22"/>
          <w:szCs w:val="22"/>
          <w:shd w:val="clear" w:color="auto" w:fill="FFFFFF"/>
          <w:lang w:val="it-IT"/>
        </w:rPr>
        <w:t>, F. (2021) Anfibi &amp; Rettili d’Italia. Edizione aggiornata. Edizioni Belvedere, Latina.</w:t>
      </w:r>
    </w:p>
    <w:p w14:paraId="3F4A0B48"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913F02">
        <w:rPr>
          <w:sz w:val="22"/>
          <w:szCs w:val="22"/>
          <w:shd w:val="clear" w:color="auto" w:fill="FFFFFF"/>
          <w:lang w:val="it-IT"/>
        </w:rPr>
        <w:t xml:space="preserve">Faraone, F.P., Barraco, L., Giacalone, G., </w:t>
      </w:r>
      <w:proofErr w:type="spellStart"/>
      <w:r w:rsidRPr="00913F02">
        <w:rPr>
          <w:sz w:val="22"/>
          <w:szCs w:val="22"/>
          <w:shd w:val="clear" w:color="auto" w:fill="FFFFFF"/>
          <w:lang w:val="it-IT"/>
        </w:rPr>
        <w:t>Muscarella</w:t>
      </w:r>
      <w:proofErr w:type="spellEnd"/>
      <w:r w:rsidRPr="00913F02">
        <w:rPr>
          <w:sz w:val="22"/>
          <w:szCs w:val="22"/>
          <w:shd w:val="clear" w:color="auto" w:fill="FFFFFF"/>
          <w:lang w:val="it-IT"/>
        </w:rPr>
        <w:t xml:space="preserve">, C., Schifani, E., Vecchioni, E. (2019) First </w:t>
      </w:r>
      <w:proofErr w:type="spellStart"/>
      <w:r w:rsidRPr="00913F02">
        <w:rPr>
          <w:sz w:val="22"/>
          <w:szCs w:val="22"/>
          <w:shd w:val="clear" w:color="auto" w:fill="FFFFFF"/>
          <w:lang w:val="it-IT"/>
        </w:rPr>
        <w:t>records</w:t>
      </w:r>
      <w:proofErr w:type="spellEnd"/>
      <w:r w:rsidRPr="00913F02">
        <w:rPr>
          <w:sz w:val="22"/>
          <w:szCs w:val="22"/>
          <w:shd w:val="clear" w:color="auto" w:fill="FFFFFF"/>
          <w:lang w:val="it-IT"/>
        </w:rPr>
        <w:t xml:space="preserve"> of the </w:t>
      </w:r>
      <w:proofErr w:type="spellStart"/>
      <w:r w:rsidRPr="00913F02">
        <w:rPr>
          <w:sz w:val="22"/>
          <w:szCs w:val="22"/>
          <w:shd w:val="clear" w:color="auto" w:fill="FFFFFF"/>
          <w:lang w:val="it-IT"/>
        </w:rPr>
        <w:t>Brahminy</w:t>
      </w:r>
      <w:proofErr w:type="spellEnd"/>
      <w:r w:rsidRPr="00913F02">
        <w:rPr>
          <w:sz w:val="22"/>
          <w:szCs w:val="22"/>
          <w:shd w:val="clear" w:color="auto" w:fill="FFFFFF"/>
          <w:lang w:val="it-IT"/>
        </w:rPr>
        <w:t xml:space="preserve"> blind </w:t>
      </w:r>
      <w:proofErr w:type="spellStart"/>
      <w:r w:rsidRPr="00913F02">
        <w:rPr>
          <w:sz w:val="22"/>
          <w:szCs w:val="22"/>
          <w:shd w:val="clear" w:color="auto" w:fill="FFFFFF"/>
          <w:lang w:val="it-IT"/>
        </w:rPr>
        <w:t>snake</w:t>
      </w:r>
      <w:proofErr w:type="spellEnd"/>
      <w:r w:rsidRPr="00913F02">
        <w:rPr>
          <w:sz w:val="22"/>
          <w:szCs w:val="22"/>
          <w:shd w:val="clear" w:color="auto" w:fill="FFFFFF"/>
          <w:lang w:val="it-IT"/>
        </w:rPr>
        <w:t xml:space="preserve">, </w:t>
      </w:r>
      <w:proofErr w:type="spellStart"/>
      <w:r w:rsidRPr="00913F02">
        <w:rPr>
          <w:i/>
          <w:iCs/>
          <w:sz w:val="22"/>
          <w:szCs w:val="22"/>
          <w:shd w:val="clear" w:color="auto" w:fill="FFFFFF"/>
          <w:lang w:val="it-IT"/>
        </w:rPr>
        <w:t>Indotyphlops</w:t>
      </w:r>
      <w:proofErr w:type="spellEnd"/>
      <w:r w:rsidRPr="00913F02">
        <w:rPr>
          <w:i/>
          <w:iCs/>
          <w:sz w:val="22"/>
          <w:szCs w:val="22"/>
          <w:shd w:val="clear" w:color="auto" w:fill="FFFFFF"/>
          <w:lang w:val="it-IT"/>
        </w:rPr>
        <w:t xml:space="preserve"> </w:t>
      </w:r>
      <w:proofErr w:type="spellStart"/>
      <w:r w:rsidRPr="00913F02">
        <w:rPr>
          <w:i/>
          <w:iCs/>
          <w:sz w:val="22"/>
          <w:szCs w:val="22"/>
          <w:shd w:val="clear" w:color="auto" w:fill="FFFFFF"/>
          <w:lang w:val="it-IT"/>
        </w:rPr>
        <w:t>braminus</w:t>
      </w:r>
      <w:proofErr w:type="spellEnd"/>
      <w:r w:rsidRPr="00913F02">
        <w:rPr>
          <w:sz w:val="22"/>
          <w:szCs w:val="22"/>
          <w:shd w:val="clear" w:color="auto" w:fill="FFFFFF"/>
          <w:lang w:val="it-IT"/>
        </w:rPr>
        <w:t xml:space="preserve"> (</w:t>
      </w:r>
      <w:proofErr w:type="spellStart"/>
      <w:r w:rsidRPr="00913F02">
        <w:rPr>
          <w:sz w:val="22"/>
          <w:szCs w:val="22"/>
          <w:shd w:val="clear" w:color="auto" w:fill="FFFFFF"/>
          <w:lang w:val="it-IT"/>
        </w:rPr>
        <w:t>Daudin</w:t>
      </w:r>
      <w:proofErr w:type="spellEnd"/>
      <w:r w:rsidRPr="00913F02">
        <w:rPr>
          <w:sz w:val="22"/>
          <w:szCs w:val="22"/>
          <w:shd w:val="clear" w:color="auto" w:fill="FFFFFF"/>
          <w:lang w:val="it-IT"/>
        </w:rPr>
        <w:t xml:space="preserve">, 1803) (Squamata: </w:t>
      </w:r>
      <w:proofErr w:type="spellStart"/>
      <w:r w:rsidRPr="00913F02">
        <w:rPr>
          <w:sz w:val="22"/>
          <w:szCs w:val="22"/>
          <w:shd w:val="clear" w:color="auto" w:fill="FFFFFF"/>
          <w:lang w:val="it-IT"/>
        </w:rPr>
        <w:t>Typhlopidae</w:t>
      </w:r>
      <w:proofErr w:type="spellEnd"/>
      <w:r w:rsidRPr="00913F02">
        <w:rPr>
          <w:sz w:val="22"/>
          <w:szCs w:val="22"/>
          <w:shd w:val="clear" w:color="auto" w:fill="FFFFFF"/>
          <w:lang w:val="it-IT"/>
        </w:rPr>
        <w:t xml:space="preserve">), in </w:t>
      </w:r>
      <w:proofErr w:type="spellStart"/>
      <w:r w:rsidRPr="00913F02">
        <w:rPr>
          <w:sz w:val="22"/>
          <w:szCs w:val="22"/>
          <w:shd w:val="clear" w:color="auto" w:fill="FFFFFF"/>
          <w:lang w:val="it-IT"/>
        </w:rPr>
        <w:t>Italy</w:t>
      </w:r>
      <w:proofErr w:type="spellEnd"/>
      <w:r w:rsidRPr="00913F02">
        <w:rPr>
          <w:sz w:val="22"/>
          <w:szCs w:val="22"/>
          <w:shd w:val="clear" w:color="auto" w:fill="FFFFFF"/>
          <w:lang w:val="it-IT"/>
        </w:rPr>
        <w:t xml:space="preserve">. </w:t>
      </w:r>
      <w:r w:rsidRPr="00A73761">
        <w:rPr>
          <w:sz w:val="22"/>
          <w:szCs w:val="22"/>
          <w:shd w:val="clear" w:color="auto" w:fill="FFFFFF"/>
          <w:lang w:val="en-GB"/>
        </w:rPr>
        <w:t>Herpetology Notes, 12, 1225–1229.</w:t>
      </w:r>
    </w:p>
    <w:p w14:paraId="169FA71F"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Faraone, F.P., Melfi, R., Di Nicola, M.R., Giacalone, G., Lo Valvo, M. (2020a) The genetic identity of the only Italian population of the genus </w:t>
      </w:r>
      <w:proofErr w:type="spellStart"/>
      <w:r w:rsidRPr="00A73761">
        <w:rPr>
          <w:i/>
          <w:iCs/>
          <w:sz w:val="22"/>
          <w:szCs w:val="22"/>
          <w:shd w:val="clear" w:color="auto" w:fill="FFFFFF"/>
          <w:lang w:val="en-GB"/>
        </w:rPr>
        <w:t>Macroprotodon</w:t>
      </w:r>
      <w:proofErr w:type="spellEnd"/>
      <w:r w:rsidRPr="00A73761">
        <w:rPr>
          <w:sz w:val="22"/>
          <w:szCs w:val="22"/>
          <w:shd w:val="clear" w:color="auto" w:fill="FFFFFF"/>
          <w:lang w:val="en-GB"/>
        </w:rPr>
        <w:t xml:space="preserve"> </w:t>
      </w:r>
      <w:proofErr w:type="spellStart"/>
      <w:r w:rsidRPr="00A73761">
        <w:rPr>
          <w:sz w:val="22"/>
          <w:szCs w:val="22"/>
          <w:shd w:val="clear" w:color="auto" w:fill="FFFFFF"/>
          <w:lang w:val="en-GB"/>
        </w:rPr>
        <w:t>Guichenot</w:t>
      </w:r>
      <w:proofErr w:type="spellEnd"/>
      <w:r w:rsidRPr="00A73761">
        <w:rPr>
          <w:sz w:val="22"/>
          <w:szCs w:val="22"/>
          <w:shd w:val="clear" w:color="auto" w:fill="FFFFFF"/>
          <w:lang w:val="en-GB"/>
        </w:rPr>
        <w:t xml:space="preserve">, 1850 on the island of </w:t>
      </w:r>
      <w:r w:rsidRPr="00A73761">
        <w:rPr>
          <w:sz w:val="22"/>
          <w:szCs w:val="22"/>
          <w:shd w:val="clear" w:color="auto" w:fill="FFFFFF"/>
          <w:lang w:val="en-GB"/>
        </w:rPr>
        <w:lastRenderedPageBreak/>
        <w:t>Lampedusa, Sicily. Vertebrate Zoology, 70, 235–240. DOI: 10.26049/VZ70-2-2020-09</w:t>
      </w:r>
    </w:p>
    <w:p w14:paraId="05DAFB33"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Faraone, F.P., Melfi, R., Di Nicola, M.R., Giacalone, G., Lo Valvo, M. (2020) Phylogenetic relationships of the Italian populations of Horseshoe Whip Snake </w:t>
      </w:r>
      <w:proofErr w:type="spellStart"/>
      <w:r w:rsidRPr="00A73761">
        <w:rPr>
          <w:i/>
          <w:iCs/>
          <w:sz w:val="22"/>
          <w:szCs w:val="22"/>
          <w:shd w:val="clear" w:color="auto" w:fill="FFFFFF"/>
          <w:lang w:val="en-GB"/>
        </w:rPr>
        <w:t>Hemorrhois</w:t>
      </w:r>
      <w:proofErr w:type="spellEnd"/>
      <w:r w:rsidRPr="00A73761">
        <w:rPr>
          <w:i/>
          <w:iCs/>
          <w:sz w:val="22"/>
          <w:szCs w:val="22"/>
          <w:shd w:val="clear" w:color="auto" w:fill="FFFFFF"/>
          <w:lang w:val="en-GB"/>
        </w:rPr>
        <w:t xml:space="preserve"> </w:t>
      </w:r>
      <w:proofErr w:type="spellStart"/>
      <w:r w:rsidRPr="00A73761">
        <w:rPr>
          <w:i/>
          <w:iCs/>
          <w:sz w:val="22"/>
          <w:szCs w:val="22"/>
          <w:shd w:val="clear" w:color="auto" w:fill="FFFFFF"/>
          <w:lang w:val="en-GB"/>
        </w:rPr>
        <w:t>hippocrepis</w:t>
      </w:r>
      <w:proofErr w:type="spellEnd"/>
      <w:r w:rsidRPr="00A73761">
        <w:rPr>
          <w:sz w:val="22"/>
          <w:szCs w:val="22"/>
          <w:shd w:val="clear" w:color="auto" w:fill="FFFFFF"/>
          <w:lang w:val="en-GB"/>
        </w:rPr>
        <w:t xml:space="preserve"> (Serpentes, Colubridae). Acta </w:t>
      </w:r>
      <w:proofErr w:type="spellStart"/>
      <w:r w:rsidRPr="00A73761">
        <w:rPr>
          <w:sz w:val="22"/>
          <w:szCs w:val="22"/>
          <w:shd w:val="clear" w:color="auto" w:fill="FFFFFF"/>
          <w:lang w:val="en-GB"/>
        </w:rPr>
        <w:t>Herpetologica</w:t>
      </w:r>
      <w:proofErr w:type="spellEnd"/>
      <w:r w:rsidRPr="00A73761">
        <w:rPr>
          <w:sz w:val="22"/>
          <w:szCs w:val="22"/>
          <w:shd w:val="clear" w:color="auto" w:fill="FFFFFF"/>
          <w:lang w:val="en-GB"/>
        </w:rPr>
        <w:t>, 15, 129–135. DOI: 10.13128/a_h-9058</w:t>
      </w:r>
    </w:p>
    <w:p w14:paraId="3CE38A13"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Faraone, F.P., Melfi, R., Di Nicola, M.R., Giacalone, G., Lo Valvo, M. (2022) Phylogenetic affinities of the Italian population of Eastern Montpellier snake, </w:t>
      </w:r>
      <w:proofErr w:type="spellStart"/>
      <w:r w:rsidRPr="00A73761">
        <w:rPr>
          <w:i/>
          <w:iCs/>
          <w:sz w:val="22"/>
          <w:szCs w:val="22"/>
          <w:shd w:val="clear" w:color="auto" w:fill="FFFFFF"/>
          <w:lang w:val="en-GB"/>
        </w:rPr>
        <w:t>Malpolon</w:t>
      </w:r>
      <w:proofErr w:type="spellEnd"/>
      <w:r w:rsidRPr="00A73761">
        <w:rPr>
          <w:i/>
          <w:iCs/>
          <w:sz w:val="22"/>
          <w:szCs w:val="22"/>
          <w:shd w:val="clear" w:color="auto" w:fill="FFFFFF"/>
          <w:lang w:val="en-GB"/>
        </w:rPr>
        <w:t xml:space="preserve"> </w:t>
      </w:r>
      <w:proofErr w:type="spellStart"/>
      <w:r w:rsidRPr="00A73761">
        <w:rPr>
          <w:i/>
          <w:iCs/>
          <w:sz w:val="22"/>
          <w:szCs w:val="22"/>
          <w:shd w:val="clear" w:color="auto" w:fill="FFFFFF"/>
          <w:lang w:val="en-GB"/>
        </w:rPr>
        <w:t>insignitus</w:t>
      </w:r>
      <w:proofErr w:type="spellEnd"/>
      <w:r w:rsidRPr="00A73761">
        <w:rPr>
          <w:sz w:val="22"/>
          <w:szCs w:val="22"/>
          <w:shd w:val="clear" w:color="auto" w:fill="FFFFFF"/>
          <w:lang w:val="en-GB"/>
        </w:rPr>
        <w:t xml:space="preserve"> (Serpentes: </w:t>
      </w:r>
      <w:proofErr w:type="spellStart"/>
      <w:r w:rsidRPr="00A73761">
        <w:rPr>
          <w:sz w:val="22"/>
          <w:szCs w:val="22"/>
          <w:shd w:val="clear" w:color="auto" w:fill="FFFFFF"/>
          <w:lang w:val="en-GB"/>
        </w:rPr>
        <w:t>Lamprophiidae</w:t>
      </w:r>
      <w:proofErr w:type="spellEnd"/>
      <w:r w:rsidRPr="00A73761">
        <w:rPr>
          <w:sz w:val="22"/>
          <w:szCs w:val="22"/>
          <w:shd w:val="clear" w:color="auto" w:fill="FFFFFF"/>
          <w:lang w:val="en-GB"/>
        </w:rPr>
        <w:t xml:space="preserve">): Phylogenetic relationship of the Italian population of </w:t>
      </w:r>
      <w:proofErr w:type="spellStart"/>
      <w:r w:rsidRPr="00A73761">
        <w:rPr>
          <w:i/>
          <w:iCs/>
          <w:sz w:val="22"/>
          <w:szCs w:val="22"/>
          <w:shd w:val="clear" w:color="auto" w:fill="FFFFFF"/>
          <w:lang w:val="en-GB"/>
        </w:rPr>
        <w:t>Malpolon</w:t>
      </w:r>
      <w:proofErr w:type="spellEnd"/>
      <w:r w:rsidRPr="00A73761">
        <w:rPr>
          <w:i/>
          <w:iCs/>
          <w:sz w:val="22"/>
          <w:szCs w:val="22"/>
          <w:shd w:val="clear" w:color="auto" w:fill="FFFFFF"/>
          <w:lang w:val="en-GB"/>
        </w:rPr>
        <w:t xml:space="preserve"> </w:t>
      </w:r>
      <w:proofErr w:type="spellStart"/>
      <w:r w:rsidRPr="00A73761">
        <w:rPr>
          <w:i/>
          <w:iCs/>
          <w:sz w:val="22"/>
          <w:szCs w:val="22"/>
          <w:shd w:val="clear" w:color="auto" w:fill="FFFFFF"/>
          <w:lang w:val="en-GB"/>
        </w:rPr>
        <w:t>insignitus</w:t>
      </w:r>
      <w:proofErr w:type="spellEnd"/>
      <w:r w:rsidRPr="00A73761">
        <w:rPr>
          <w:sz w:val="22"/>
          <w:szCs w:val="22"/>
          <w:shd w:val="clear" w:color="auto" w:fill="FFFFFF"/>
          <w:lang w:val="en-GB"/>
        </w:rPr>
        <w:t>. Herpetology Notes, 15, 711–715.</w:t>
      </w:r>
    </w:p>
    <w:p w14:paraId="0034DDBD"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Felsenstein, J. (1985) Confidence limits on phylogenies: an approach using the bootstrap. Evolution, 39, 783–91. DOI: 10.2307/2408678</w:t>
      </w:r>
    </w:p>
    <w:p w14:paraId="072B3F2E"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Fichera, G., </w:t>
      </w:r>
      <w:proofErr w:type="spellStart"/>
      <w:r w:rsidRPr="00A73761">
        <w:rPr>
          <w:sz w:val="22"/>
          <w:szCs w:val="22"/>
          <w:shd w:val="clear" w:color="auto" w:fill="FFFFFF"/>
          <w:lang w:val="en-GB"/>
        </w:rPr>
        <w:t>Mucedda</w:t>
      </w:r>
      <w:proofErr w:type="spellEnd"/>
      <w:r w:rsidRPr="00A73761">
        <w:rPr>
          <w:sz w:val="22"/>
          <w:szCs w:val="22"/>
          <w:shd w:val="clear" w:color="auto" w:fill="FFFFFF"/>
          <w:lang w:val="en-GB"/>
        </w:rPr>
        <w:t xml:space="preserve">, M., Russo, D., Tomassini, A., Kiefer, A., Veith, M., </w:t>
      </w:r>
      <w:proofErr w:type="spellStart"/>
      <w:r w:rsidRPr="00A73761">
        <w:rPr>
          <w:sz w:val="22"/>
          <w:szCs w:val="22"/>
          <w:shd w:val="clear" w:color="auto" w:fill="FFFFFF"/>
          <w:lang w:val="en-GB"/>
        </w:rPr>
        <w:t>Ancillotto</w:t>
      </w:r>
      <w:proofErr w:type="spellEnd"/>
      <w:r w:rsidRPr="00A73761">
        <w:rPr>
          <w:sz w:val="22"/>
          <w:szCs w:val="22"/>
          <w:shd w:val="clear" w:color="auto" w:fill="FFFFFF"/>
          <w:lang w:val="en-GB"/>
        </w:rPr>
        <w:t>, L. (2022) Pantelleria island (Sicily, Italy): a biogeographic crossroad for bats between Africa and Europe. Hystrix, 33, 135–138. DOI: 10.4404/hystrix-00503-2021</w:t>
      </w:r>
    </w:p>
    <w:p w14:paraId="21237EF0"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Giacalone, G., Faraone, F.P., Pecoraro, M., Sarà, M. (2024) Hidden in the bark: the unexpected presence of the leaf-toed gecko, </w:t>
      </w:r>
      <w:proofErr w:type="spellStart"/>
      <w:r w:rsidRPr="00A73761">
        <w:rPr>
          <w:i/>
          <w:iCs/>
          <w:sz w:val="22"/>
          <w:szCs w:val="22"/>
          <w:shd w:val="clear" w:color="auto" w:fill="FFFFFF"/>
          <w:lang w:val="en-GB"/>
        </w:rPr>
        <w:t>Euleptes</w:t>
      </w:r>
      <w:proofErr w:type="spellEnd"/>
      <w:r w:rsidRPr="00A73761">
        <w:rPr>
          <w:i/>
          <w:iCs/>
          <w:sz w:val="22"/>
          <w:szCs w:val="22"/>
          <w:shd w:val="clear" w:color="auto" w:fill="FFFFFF"/>
          <w:lang w:val="en-GB"/>
        </w:rPr>
        <w:t xml:space="preserve"> europaea</w:t>
      </w:r>
      <w:r w:rsidRPr="00A73761">
        <w:rPr>
          <w:sz w:val="22"/>
          <w:szCs w:val="22"/>
          <w:shd w:val="clear" w:color="auto" w:fill="FFFFFF"/>
          <w:lang w:val="en-GB"/>
        </w:rPr>
        <w:t xml:space="preserve"> (</w:t>
      </w:r>
      <w:proofErr w:type="spellStart"/>
      <w:r w:rsidRPr="00A73761">
        <w:rPr>
          <w:sz w:val="22"/>
          <w:szCs w:val="22"/>
          <w:shd w:val="clear" w:color="auto" w:fill="FFFFFF"/>
          <w:lang w:val="en-GB"/>
        </w:rPr>
        <w:t>Gené</w:t>
      </w:r>
      <w:proofErr w:type="spellEnd"/>
      <w:r w:rsidRPr="00A73761">
        <w:rPr>
          <w:sz w:val="22"/>
          <w:szCs w:val="22"/>
          <w:shd w:val="clear" w:color="auto" w:fill="FFFFFF"/>
          <w:lang w:val="en-GB"/>
        </w:rPr>
        <w:t xml:space="preserve">, 1839) (Squamata, Sphaerodactylidae), in Sicily. </w:t>
      </w:r>
      <w:proofErr w:type="spellStart"/>
      <w:r w:rsidRPr="00A73761">
        <w:rPr>
          <w:sz w:val="22"/>
          <w:szCs w:val="22"/>
          <w:shd w:val="clear" w:color="auto" w:fill="FFFFFF"/>
          <w:lang w:val="en-GB"/>
        </w:rPr>
        <w:t>Biogeographia</w:t>
      </w:r>
      <w:proofErr w:type="spellEnd"/>
      <w:r w:rsidRPr="00A73761">
        <w:rPr>
          <w:sz w:val="22"/>
          <w:szCs w:val="22"/>
          <w:shd w:val="clear" w:color="auto" w:fill="FFFFFF"/>
          <w:lang w:val="en-GB"/>
        </w:rPr>
        <w:t xml:space="preserve"> - The Journal of Integrative Biogeography, 39, a036. DOI: 10.21426/B639263791</w:t>
      </w:r>
    </w:p>
    <w:p w14:paraId="69C97A05" w14:textId="3F585E8E"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Guindon, S., </w:t>
      </w:r>
      <w:proofErr w:type="spellStart"/>
      <w:r w:rsidRPr="00A73761">
        <w:rPr>
          <w:sz w:val="22"/>
          <w:szCs w:val="22"/>
          <w:shd w:val="clear" w:color="auto" w:fill="FFFFFF"/>
          <w:lang w:val="en-GB"/>
        </w:rPr>
        <w:t>Dufayard</w:t>
      </w:r>
      <w:proofErr w:type="spellEnd"/>
      <w:r w:rsidRPr="00A73761">
        <w:rPr>
          <w:sz w:val="22"/>
          <w:szCs w:val="22"/>
          <w:shd w:val="clear" w:color="auto" w:fill="FFFFFF"/>
          <w:lang w:val="en-GB"/>
        </w:rPr>
        <w:t xml:space="preserve">, J.F., Lefort, V., Anisimova, M., </w:t>
      </w:r>
      <w:proofErr w:type="spellStart"/>
      <w:r w:rsidRPr="00A73761">
        <w:rPr>
          <w:sz w:val="22"/>
          <w:szCs w:val="22"/>
          <w:shd w:val="clear" w:color="auto" w:fill="FFFFFF"/>
          <w:lang w:val="en-GB"/>
        </w:rPr>
        <w:t>Hordijk</w:t>
      </w:r>
      <w:proofErr w:type="spellEnd"/>
      <w:r w:rsidRPr="00A73761">
        <w:rPr>
          <w:sz w:val="22"/>
          <w:szCs w:val="22"/>
          <w:shd w:val="clear" w:color="auto" w:fill="FFFFFF"/>
          <w:lang w:val="en-GB"/>
        </w:rPr>
        <w:t xml:space="preserve">, W., </w:t>
      </w:r>
      <w:proofErr w:type="spellStart"/>
      <w:r w:rsidRPr="00A73761">
        <w:rPr>
          <w:sz w:val="22"/>
          <w:szCs w:val="22"/>
          <w:shd w:val="clear" w:color="auto" w:fill="FFFFFF"/>
          <w:lang w:val="en-GB"/>
        </w:rPr>
        <w:t>Gascuel</w:t>
      </w:r>
      <w:proofErr w:type="spellEnd"/>
      <w:r w:rsidRPr="00A73761">
        <w:rPr>
          <w:sz w:val="22"/>
          <w:szCs w:val="22"/>
          <w:shd w:val="clear" w:color="auto" w:fill="FFFFFF"/>
          <w:lang w:val="en-GB"/>
        </w:rPr>
        <w:t xml:space="preserve">, O. (2010) New </w:t>
      </w:r>
      <w:r>
        <w:rPr>
          <w:sz w:val="22"/>
          <w:szCs w:val="22"/>
          <w:shd w:val="clear" w:color="auto" w:fill="FFFFFF"/>
          <w:lang w:val="en-GB"/>
        </w:rPr>
        <w:t>a</w:t>
      </w:r>
      <w:r w:rsidRPr="00A73761">
        <w:rPr>
          <w:sz w:val="22"/>
          <w:szCs w:val="22"/>
          <w:shd w:val="clear" w:color="auto" w:fill="FFFFFF"/>
          <w:lang w:val="en-GB"/>
        </w:rPr>
        <w:t xml:space="preserve">lgorithms and </w:t>
      </w:r>
      <w:r>
        <w:rPr>
          <w:sz w:val="22"/>
          <w:szCs w:val="22"/>
          <w:shd w:val="clear" w:color="auto" w:fill="FFFFFF"/>
          <w:lang w:val="en-GB"/>
        </w:rPr>
        <w:t>m</w:t>
      </w:r>
      <w:r w:rsidRPr="00A73761">
        <w:rPr>
          <w:sz w:val="22"/>
          <w:szCs w:val="22"/>
          <w:shd w:val="clear" w:color="auto" w:fill="FFFFFF"/>
          <w:lang w:val="en-GB"/>
        </w:rPr>
        <w:t xml:space="preserve">ethods to </w:t>
      </w:r>
      <w:r>
        <w:rPr>
          <w:sz w:val="22"/>
          <w:szCs w:val="22"/>
          <w:shd w:val="clear" w:color="auto" w:fill="FFFFFF"/>
          <w:lang w:val="en-GB"/>
        </w:rPr>
        <w:t>e</w:t>
      </w:r>
      <w:r w:rsidRPr="00A73761">
        <w:rPr>
          <w:sz w:val="22"/>
          <w:szCs w:val="22"/>
          <w:shd w:val="clear" w:color="auto" w:fill="FFFFFF"/>
          <w:lang w:val="en-GB"/>
        </w:rPr>
        <w:t xml:space="preserve">stimate Maximum-Likelihood </w:t>
      </w:r>
      <w:r>
        <w:rPr>
          <w:sz w:val="22"/>
          <w:szCs w:val="22"/>
          <w:shd w:val="clear" w:color="auto" w:fill="FFFFFF"/>
          <w:lang w:val="en-GB"/>
        </w:rPr>
        <w:t>p</w:t>
      </w:r>
      <w:r w:rsidRPr="00A73761">
        <w:rPr>
          <w:sz w:val="22"/>
          <w:szCs w:val="22"/>
          <w:shd w:val="clear" w:color="auto" w:fill="FFFFFF"/>
          <w:lang w:val="en-GB"/>
        </w:rPr>
        <w:t xml:space="preserve">hylogenies: </w:t>
      </w:r>
      <w:r>
        <w:rPr>
          <w:sz w:val="22"/>
          <w:szCs w:val="22"/>
          <w:shd w:val="clear" w:color="auto" w:fill="FFFFFF"/>
          <w:lang w:val="en-GB"/>
        </w:rPr>
        <w:t>a</w:t>
      </w:r>
      <w:r w:rsidRPr="00A73761">
        <w:rPr>
          <w:sz w:val="22"/>
          <w:szCs w:val="22"/>
          <w:shd w:val="clear" w:color="auto" w:fill="FFFFFF"/>
          <w:lang w:val="en-GB"/>
        </w:rPr>
        <w:t xml:space="preserve">ssessing the </w:t>
      </w:r>
      <w:r>
        <w:rPr>
          <w:sz w:val="22"/>
          <w:szCs w:val="22"/>
          <w:shd w:val="clear" w:color="auto" w:fill="FFFFFF"/>
          <w:lang w:val="en-GB"/>
        </w:rPr>
        <w:t>p</w:t>
      </w:r>
      <w:r w:rsidRPr="00A73761">
        <w:rPr>
          <w:sz w:val="22"/>
          <w:szCs w:val="22"/>
          <w:shd w:val="clear" w:color="auto" w:fill="FFFFFF"/>
          <w:lang w:val="en-GB"/>
        </w:rPr>
        <w:t xml:space="preserve">erformance of </w:t>
      </w:r>
      <w:proofErr w:type="spellStart"/>
      <w:r w:rsidRPr="00A73761">
        <w:rPr>
          <w:sz w:val="22"/>
          <w:szCs w:val="22"/>
          <w:shd w:val="clear" w:color="auto" w:fill="FFFFFF"/>
          <w:lang w:val="en-GB"/>
        </w:rPr>
        <w:t>PhyML</w:t>
      </w:r>
      <w:proofErr w:type="spellEnd"/>
      <w:r w:rsidRPr="00A73761">
        <w:rPr>
          <w:sz w:val="22"/>
          <w:szCs w:val="22"/>
          <w:shd w:val="clear" w:color="auto" w:fill="FFFFFF"/>
          <w:lang w:val="en-GB"/>
        </w:rPr>
        <w:t xml:space="preserve"> 3.0. Systematic Biology, 59, 307–321. DOI: 10.1093/</w:t>
      </w:r>
      <w:proofErr w:type="spellStart"/>
      <w:r w:rsidRPr="00A73761">
        <w:rPr>
          <w:sz w:val="22"/>
          <w:szCs w:val="22"/>
          <w:shd w:val="clear" w:color="auto" w:fill="FFFFFF"/>
          <w:lang w:val="en-GB"/>
        </w:rPr>
        <w:t>sysbio</w:t>
      </w:r>
      <w:proofErr w:type="spellEnd"/>
      <w:r w:rsidRPr="00A73761">
        <w:rPr>
          <w:sz w:val="22"/>
          <w:szCs w:val="22"/>
          <w:shd w:val="clear" w:color="auto" w:fill="FFFFFF"/>
          <w:lang w:val="en-GB"/>
        </w:rPr>
        <w:t>/syq010</w:t>
      </w:r>
    </w:p>
    <w:p w14:paraId="715AEF49"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Harris, D.J., Batista, V., </w:t>
      </w:r>
      <w:proofErr w:type="spellStart"/>
      <w:r w:rsidRPr="00A73761">
        <w:rPr>
          <w:sz w:val="22"/>
          <w:szCs w:val="22"/>
          <w:shd w:val="clear" w:color="auto" w:fill="FFFFFF"/>
          <w:lang w:val="en-GB"/>
        </w:rPr>
        <w:t>Lymberakis</w:t>
      </w:r>
      <w:proofErr w:type="spellEnd"/>
      <w:r w:rsidRPr="00A73761">
        <w:rPr>
          <w:sz w:val="22"/>
          <w:szCs w:val="22"/>
          <w:shd w:val="clear" w:color="auto" w:fill="FFFFFF"/>
          <w:lang w:val="en-GB"/>
        </w:rPr>
        <w:t xml:space="preserve">, P., Carretero, M.A. (2004) Complex estimates of evolutionary relationships in </w:t>
      </w:r>
      <w:r w:rsidRPr="00A73761">
        <w:rPr>
          <w:i/>
          <w:iCs/>
          <w:sz w:val="22"/>
          <w:szCs w:val="22"/>
          <w:shd w:val="clear" w:color="auto" w:fill="FFFFFF"/>
          <w:lang w:val="en-GB"/>
        </w:rPr>
        <w:t>Tarentola mauritanica</w:t>
      </w:r>
      <w:r w:rsidRPr="00A73761">
        <w:rPr>
          <w:sz w:val="22"/>
          <w:szCs w:val="22"/>
          <w:shd w:val="clear" w:color="auto" w:fill="FFFFFF"/>
          <w:lang w:val="en-GB"/>
        </w:rPr>
        <w:t xml:space="preserve"> (Reptilia: Gekkonidae) derived from mitochondrial DNA sequences. Molecular Phylogenetics and Evolution, 30, 855–859. DOI: 10.1016/S1055-7903(03)00260-4</w:t>
      </w:r>
    </w:p>
    <w:p w14:paraId="489AC778" w14:textId="3C3041CE"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Harris, D.J., Corti, C., Carretero, M.A., Perera, A., Lo Cascio, P. (2009a) Unexpected phylogeographic affinities of </w:t>
      </w:r>
      <w:proofErr w:type="spellStart"/>
      <w:r w:rsidRPr="00A73761">
        <w:rPr>
          <w:i/>
          <w:iCs/>
          <w:sz w:val="22"/>
          <w:szCs w:val="22"/>
          <w:shd w:val="clear" w:color="auto" w:fill="FFFFFF"/>
          <w:lang w:val="en-GB"/>
        </w:rPr>
        <w:t>Psammodromus</w:t>
      </w:r>
      <w:proofErr w:type="spellEnd"/>
      <w:r w:rsidRPr="00A73761">
        <w:rPr>
          <w:i/>
          <w:iCs/>
          <w:sz w:val="22"/>
          <w:szCs w:val="22"/>
          <w:shd w:val="clear" w:color="auto" w:fill="FFFFFF"/>
          <w:lang w:val="en-GB"/>
        </w:rPr>
        <w:t xml:space="preserve"> </w:t>
      </w:r>
      <w:proofErr w:type="spellStart"/>
      <w:r w:rsidRPr="00A73761">
        <w:rPr>
          <w:i/>
          <w:iCs/>
          <w:sz w:val="22"/>
          <w:szCs w:val="22"/>
          <w:shd w:val="clear" w:color="auto" w:fill="FFFFFF"/>
          <w:lang w:val="en-GB"/>
        </w:rPr>
        <w:t>algirus</w:t>
      </w:r>
      <w:proofErr w:type="spellEnd"/>
      <w:r w:rsidRPr="00A73761">
        <w:rPr>
          <w:sz w:val="22"/>
          <w:szCs w:val="22"/>
          <w:shd w:val="clear" w:color="auto" w:fill="FFFFFF"/>
          <w:lang w:val="en-GB"/>
        </w:rPr>
        <w:t xml:space="preserve"> from </w:t>
      </w:r>
      <w:proofErr w:type="spellStart"/>
      <w:r w:rsidRPr="00A73761">
        <w:rPr>
          <w:sz w:val="22"/>
          <w:szCs w:val="22"/>
          <w:shd w:val="clear" w:color="auto" w:fill="FFFFFF"/>
          <w:lang w:val="en-GB"/>
        </w:rPr>
        <w:t>Conigli</w:t>
      </w:r>
      <w:proofErr w:type="spellEnd"/>
      <w:r w:rsidRPr="00A73761">
        <w:rPr>
          <w:sz w:val="22"/>
          <w:szCs w:val="22"/>
          <w:shd w:val="clear" w:color="auto" w:fill="FFFFFF"/>
          <w:lang w:val="en-GB"/>
        </w:rPr>
        <w:t xml:space="preserve"> islet, Lampedusa. Acta </w:t>
      </w:r>
      <w:proofErr w:type="spellStart"/>
      <w:r w:rsidRPr="00A73761">
        <w:rPr>
          <w:sz w:val="22"/>
          <w:szCs w:val="22"/>
          <w:shd w:val="clear" w:color="auto" w:fill="FFFFFF"/>
          <w:lang w:val="en-GB"/>
        </w:rPr>
        <w:t>Herpetologica</w:t>
      </w:r>
      <w:proofErr w:type="spellEnd"/>
      <w:r w:rsidRPr="00A73761">
        <w:rPr>
          <w:sz w:val="22"/>
          <w:szCs w:val="22"/>
          <w:shd w:val="clear" w:color="auto" w:fill="FFFFFF"/>
          <w:lang w:val="en-GB"/>
        </w:rPr>
        <w:t>, 4, 1–6. DOI: 10.1312</w:t>
      </w:r>
      <w:r>
        <w:rPr>
          <w:sz w:val="22"/>
          <w:szCs w:val="22"/>
          <w:shd w:val="clear" w:color="auto" w:fill="FFFFFF"/>
          <w:lang w:val="en-GB"/>
        </w:rPr>
        <w:br/>
      </w:r>
      <w:r w:rsidRPr="00A73761">
        <w:rPr>
          <w:sz w:val="22"/>
          <w:szCs w:val="22"/>
          <w:shd w:val="clear" w:color="auto" w:fill="FFFFFF"/>
          <w:lang w:val="en-GB"/>
        </w:rPr>
        <w:t>8/Acta_Herpetol-2949</w:t>
      </w:r>
    </w:p>
    <w:p w14:paraId="74E31B7C"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Harris, D.J., Carretero, M.A., Corti, C., Lo Cascio, P. (2009b) Genetic affinities of </w:t>
      </w:r>
      <w:r w:rsidRPr="00A73761">
        <w:rPr>
          <w:i/>
          <w:iCs/>
          <w:sz w:val="22"/>
          <w:szCs w:val="22"/>
          <w:shd w:val="clear" w:color="auto" w:fill="FFFFFF"/>
          <w:lang w:val="en-GB"/>
        </w:rPr>
        <w:t>Tarentola mauritanica</w:t>
      </w:r>
      <w:r w:rsidRPr="00A73761">
        <w:rPr>
          <w:sz w:val="22"/>
          <w:szCs w:val="22"/>
          <w:shd w:val="clear" w:color="auto" w:fill="FFFFFF"/>
          <w:lang w:val="en-GB"/>
        </w:rPr>
        <w:t xml:space="preserve"> (Reptilia: Gekkonidae) from Lampedusa and </w:t>
      </w:r>
      <w:proofErr w:type="spellStart"/>
      <w:r w:rsidRPr="00A73761">
        <w:rPr>
          <w:sz w:val="22"/>
          <w:szCs w:val="22"/>
          <w:shd w:val="clear" w:color="auto" w:fill="FFFFFF"/>
          <w:lang w:val="en-GB"/>
        </w:rPr>
        <w:t>Conigli</w:t>
      </w:r>
      <w:proofErr w:type="spellEnd"/>
      <w:r w:rsidRPr="00A73761">
        <w:rPr>
          <w:sz w:val="22"/>
          <w:szCs w:val="22"/>
          <w:shd w:val="clear" w:color="auto" w:fill="FFFFFF"/>
          <w:lang w:val="en-GB"/>
        </w:rPr>
        <w:t xml:space="preserve"> Islet (SW Italy). NW Journal of Zoology, 5, 197–205.</w:t>
      </w:r>
    </w:p>
    <w:p w14:paraId="47A25C88"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Joger, U., Bshaenia, I. (2010) A new </w:t>
      </w:r>
      <w:r w:rsidRPr="00A73761">
        <w:rPr>
          <w:i/>
          <w:iCs/>
          <w:sz w:val="22"/>
          <w:szCs w:val="22"/>
          <w:shd w:val="clear" w:color="auto" w:fill="FFFFFF"/>
          <w:lang w:val="en-GB"/>
        </w:rPr>
        <w:t>Tarentola</w:t>
      </w:r>
      <w:r w:rsidRPr="00A73761">
        <w:rPr>
          <w:sz w:val="22"/>
          <w:szCs w:val="22"/>
          <w:shd w:val="clear" w:color="auto" w:fill="FFFFFF"/>
          <w:lang w:val="en-GB"/>
        </w:rPr>
        <w:t xml:space="preserve"> subspecies (Reptilia: Gekkonidae) endemic to Tunisia. Bonn Zoological Bulletin, 57, 267–274.</w:t>
      </w:r>
    </w:p>
    <w:p w14:paraId="3AC4AA3E"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Kelman, I., West, J.J. (2009) Climate change and small island developing states: a critical review. Ecological and Environmental Anthropology, 5, 1–16. DOI: 10.1146/annurev-environ-012320-083355</w:t>
      </w:r>
    </w:p>
    <w:p w14:paraId="25C3E863"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Kumar, S., Stecher, G., Suleski, M., Sanderford, M., Sharma, S., Tamura, K. (2024) MEGA12: molecular evolutionary genetic analysis version 12 for adaptive and green computing. Molecular Biology and Evolution, 41, 1–9. DOI: 10.1093/MOLBEV/MSAE263</w:t>
      </w:r>
    </w:p>
    <w:p w14:paraId="67B6EBF7" w14:textId="77777777" w:rsidR="00A73761" w:rsidRPr="00913F02"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it-IT"/>
        </w:rPr>
      </w:pPr>
      <w:r w:rsidRPr="00A73761">
        <w:rPr>
          <w:sz w:val="22"/>
          <w:szCs w:val="22"/>
          <w:shd w:val="clear" w:color="auto" w:fill="FFFFFF"/>
          <w:lang w:val="en-GB"/>
        </w:rPr>
        <w:t xml:space="preserve">Lo Cascio, P., Corti, C., Billeci, V., Nicolini, G. (2005) “First came, first served”, or recent introduced lizard populations of Lampedusa Island (S Italy). </w:t>
      </w:r>
      <w:r w:rsidRPr="00913F02">
        <w:rPr>
          <w:sz w:val="22"/>
          <w:szCs w:val="22"/>
          <w:shd w:val="clear" w:color="auto" w:fill="FFFFFF"/>
          <w:lang w:val="it-IT"/>
        </w:rPr>
        <w:t xml:space="preserve">In: 13th </w:t>
      </w:r>
      <w:proofErr w:type="spellStart"/>
      <w:r w:rsidRPr="00913F02">
        <w:rPr>
          <w:sz w:val="22"/>
          <w:szCs w:val="22"/>
          <w:shd w:val="clear" w:color="auto" w:fill="FFFFFF"/>
          <w:lang w:val="it-IT"/>
        </w:rPr>
        <w:t>Ordinary</w:t>
      </w:r>
      <w:proofErr w:type="spellEnd"/>
      <w:r w:rsidRPr="00913F02">
        <w:rPr>
          <w:sz w:val="22"/>
          <w:szCs w:val="22"/>
          <w:shd w:val="clear" w:color="auto" w:fill="FFFFFF"/>
          <w:lang w:val="it-IT"/>
        </w:rPr>
        <w:t xml:space="preserve"> General Meeting, Bonn (2005), </w:t>
      </w:r>
      <w:proofErr w:type="spellStart"/>
      <w:r w:rsidRPr="00913F02">
        <w:rPr>
          <w:sz w:val="22"/>
          <w:szCs w:val="22"/>
          <w:shd w:val="clear" w:color="auto" w:fill="FFFFFF"/>
          <w:lang w:val="it-IT"/>
        </w:rPr>
        <w:t>Programme</w:t>
      </w:r>
      <w:proofErr w:type="spellEnd"/>
      <w:r w:rsidRPr="00913F02">
        <w:rPr>
          <w:sz w:val="22"/>
          <w:szCs w:val="22"/>
          <w:shd w:val="clear" w:color="auto" w:fill="FFFFFF"/>
          <w:lang w:val="it-IT"/>
        </w:rPr>
        <w:t xml:space="preserve"> and Abstracts.</w:t>
      </w:r>
    </w:p>
    <w:p w14:paraId="6F873FF0"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913F02">
        <w:rPr>
          <w:sz w:val="22"/>
          <w:szCs w:val="22"/>
          <w:shd w:val="clear" w:color="auto" w:fill="FFFFFF"/>
          <w:lang w:val="it-IT"/>
        </w:rPr>
        <w:t xml:space="preserve">Lo Valvo, M., Nicolini, G. (2001) Presenza di una piccola popolazione di Lucertola campestre </w:t>
      </w:r>
      <w:proofErr w:type="spellStart"/>
      <w:r w:rsidRPr="00913F02">
        <w:rPr>
          <w:i/>
          <w:iCs/>
          <w:sz w:val="22"/>
          <w:szCs w:val="22"/>
          <w:shd w:val="clear" w:color="auto" w:fill="FFFFFF"/>
          <w:lang w:val="it-IT"/>
        </w:rPr>
        <w:t>Podarcis</w:t>
      </w:r>
      <w:proofErr w:type="spellEnd"/>
      <w:r w:rsidRPr="00913F02">
        <w:rPr>
          <w:i/>
          <w:iCs/>
          <w:sz w:val="22"/>
          <w:szCs w:val="22"/>
          <w:shd w:val="clear" w:color="auto" w:fill="FFFFFF"/>
          <w:lang w:val="it-IT"/>
        </w:rPr>
        <w:t xml:space="preserve"> sicula</w:t>
      </w:r>
      <w:r w:rsidRPr="00913F02">
        <w:rPr>
          <w:sz w:val="22"/>
          <w:szCs w:val="22"/>
          <w:shd w:val="clear" w:color="auto" w:fill="FFFFFF"/>
          <w:lang w:val="it-IT"/>
        </w:rPr>
        <w:t xml:space="preserve"> (</w:t>
      </w:r>
      <w:proofErr w:type="spellStart"/>
      <w:r w:rsidRPr="00913F02">
        <w:rPr>
          <w:sz w:val="22"/>
          <w:szCs w:val="22"/>
          <w:shd w:val="clear" w:color="auto" w:fill="FFFFFF"/>
          <w:lang w:val="it-IT"/>
        </w:rPr>
        <w:t>Rafinesque</w:t>
      </w:r>
      <w:proofErr w:type="spellEnd"/>
      <w:r w:rsidRPr="00913F02">
        <w:rPr>
          <w:sz w:val="22"/>
          <w:szCs w:val="22"/>
          <w:shd w:val="clear" w:color="auto" w:fill="FFFFFF"/>
          <w:lang w:val="it-IT"/>
        </w:rPr>
        <w:t xml:space="preserve"> </w:t>
      </w:r>
      <w:proofErr w:type="spellStart"/>
      <w:r w:rsidRPr="00913F02">
        <w:rPr>
          <w:sz w:val="22"/>
          <w:szCs w:val="22"/>
          <w:shd w:val="clear" w:color="auto" w:fill="FFFFFF"/>
          <w:lang w:val="it-IT"/>
        </w:rPr>
        <w:t>Schmaltz</w:t>
      </w:r>
      <w:proofErr w:type="spellEnd"/>
      <w:r w:rsidRPr="00913F02">
        <w:rPr>
          <w:sz w:val="22"/>
          <w:szCs w:val="22"/>
          <w:shd w:val="clear" w:color="auto" w:fill="FFFFFF"/>
          <w:lang w:val="it-IT"/>
        </w:rPr>
        <w:t xml:space="preserve">, 1810) sull’isola di Lampedusa (Isole Pelagie). </w:t>
      </w:r>
      <w:r w:rsidRPr="00A73761">
        <w:rPr>
          <w:sz w:val="22"/>
          <w:szCs w:val="22"/>
          <w:shd w:val="clear" w:color="auto" w:fill="FFFFFF"/>
          <w:lang w:val="en-GB"/>
        </w:rPr>
        <w:t>Naturalista siciliano, 25, 95–97.</w:t>
      </w:r>
    </w:p>
    <w:p w14:paraId="32ACD8E4"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Matthews, T.J., Triantis, K. (2021) Island biogeography. Current Biology, 31, 1201–1207. DOI: 10.1016/j.cub.2021.07.033</w:t>
      </w:r>
    </w:p>
    <w:p w14:paraId="2C0982AA"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Moore, F.R., Kerlinger, P., Simons, T.R. (1990) Stopover on a Gulf coast barrier island by spring trans-Gulf migrants. The Wilson Bulletin, 2, 487–500.</w:t>
      </w:r>
    </w:p>
    <w:p w14:paraId="03E67373" w14:textId="77777777" w:rsidR="00A73761" w:rsidRPr="00913F02"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it-IT"/>
        </w:rPr>
      </w:pPr>
      <w:r w:rsidRPr="00A73761">
        <w:rPr>
          <w:sz w:val="22"/>
          <w:szCs w:val="22"/>
          <w:shd w:val="clear" w:color="auto" w:fill="FFFFFF"/>
          <w:lang w:val="en-GB"/>
        </w:rPr>
        <w:t xml:space="preserve">Mori, E., Plebani, M. (2012) First records of Moorish gecko </w:t>
      </w:r>
      <w:r w:rsidRPr="00F46AC8">
        <w:rPr>
          <w:i/>
          <w:iCs/>
          <w:sz w:val="22"/>
          <w:szCs w:val="22"/>
          <w:shd w:val="clear" w:color="auto" w:fill="FFFFFF"/>
          <w:lang w:val="en-GB"/>
        </w:rPr>
        <w:t>Tarentola mauritanica</w:t>
      </w:r>
      <w:r w:rsidRPr="00A73761">
        <w:rPr>
          <w:sz w:val="22"/>
          <w:szCs w:val="22"/>
          <w:shd w:val="clear" w:color="auto" w:fill="FFFFFF"/>
          <w:lang w:val="en-GB"/>
        </w:rPr>
        <w:t xml:space="preserve"> and Turkish gecko </w:t>
      </w:r>
      <w:r w:rsidRPr="00F46AC8">
        <w:rPr>
          <w:i/>
          <w:iCs/>
          <w:sz w:val="22"/>
          <w:szCs w:val="22"/>
          <w:shd w:val="clear" w:color="auto" w:fill="FFFFFF"/>
          <w:lang w:val="en-GB"/>
        </w:rPr>
        <w:t xml:space="preserve">Hemidactylus </w:t>
      </w:r>
      <w:proofErr w:type="spellStart"/>
      <w:r w:rsidRPr="00F46AC8">
        <w:rPr>
          <w:i/>
          <w:iCs/>
          <w:sz w:val="22"/>
          <w:szCs w:val="22"/>
          <w:shd w:val="clear" w:color="auto" w:fill="FFFFFF"/>
          <w:lang w:val="en-GB"/>
        </w:rPr>
        <w:t>turcicus</w:t>
      </w:r>
      <w:proofErr w:type="spellEnd"/>
      <w:r w:rsidRPr="00A73761">
        <w:rPr>
          <w:sz w:val="22"/>
          <w:szCs w:val="22"/>
          <w:shd w:val="clear" w:color="auto" w:fill="FFFFFF"/>
          <w:lang w:val="en-GB"/>
        </w:rPr>
        <w:t xml:space="preserve"> (Squamata, Gekkonidae) in the Southern Metalliferous Hills, Tuscany, Italy. </w:t>
      </w:r>
      <w:r w:rsidRPr="00913F02">
        <w:rPr>
          <w:sz w:val="22"/>
          <w:szCs w:val="22"/>
          <w:shd w:val="clear" w:color="auto" w:fill="FFFFFF"/>
          <w:lang w:val="it-IT"/>
        </w:rPr>
        <w:t>Atti della Società Toscana di Scienze Naturali, Memorie, 119, 51–54. DOI: 10.2424/ASTSN.M.2012.07</w:t>
      </w:r>
    </w:p>
    <w:p w14:paraId="3AE7C564" w14:textId="4F2270C6"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913F02">
        <w:rPr>
          <w:sz w:val="22"/>
          <w:szCs w:val="22"/>
          <w:shd w:val="clear" w:color="auto" w:fill="FFFFFF"/>
          <w:lang w:val="it-IT"/>
        </w:rPr>
        <w:t xml:space="preserve">Mori, E., </w:t>
      </w:r>
      <w:proofErr w:type="spellStart"/>
      <w:r w:rsidRPr="00913F02">
        <w:rPr>
          <w:sz w:val="22"/>
          <w:szCs w:val="22"/>
          <w:shd w:val="clear" w:color="auto" w:fill="FFFFFF"/>
          <w:lang w:val="it-IT"/>
        </w:rPr>
        <w:t>Andreone</w:t>
      </w:r>
      <w:proofErr w:type="spellEnd"/>
      <w:r w:rsidRPr="00913F02">
        <w:rPr>
          <w:sz w:val="22"/>
          <w:szCs w:val="22"/>
          <w:shd w:val="clear" w:color="auto" w:fill="FFFFFF"/>
          <w:lang w:val="it-IT"/>
        </w:rPr>
        <w:t xml:space="preserve">, F., Viviano, A. et al. </w:t>
      </w:r>
      <w:r w:rsidRPr="00A73761">
        <w:rPr>
          <w:sz w:val="22"/>
          <w:szCs w:val="22"/>
          <w:shd w:val="clear" w:color="auto" w:fill="FFFFFF"/>
          <w:lang w:val="en-GB"/>
        </w:rPr>
        <w:t xml:space="preserve">(2022) Aliens </w:t>
      </w:r>
      <w:r w:rsidR="00F46AC8">
        <w:rPr>
          <w:sz w:val="22"/>
          <w:szCs w:val="22"/>
          <w:shd w:val="clear" w:color="auto" w:fill="FFFFFF"/>
          <w:lang w:val="en-GB"/>
        </w:rPr>
        <w:t>c</w:t>
      </w:r>
      <w:r w:rsidRPr="00A73761">
        <w:rPr>
          <w:sz w:val="22"/>
          <w:szCs w:val="22"/>
          <w:shd w:val="clear" w:color="auto" w:fill="FFFFFF"/>
          <w:lang w:val="en-GB"/>
        </w:rPr>
        <w:t xml:space="preserve">oming by </w:t>
      </w:r>
      <w:r w:rsidR="00F46AC8">
        <w:rPr>
          <w:sz w:val="22"/>
          <w:szCs w:val="22"/>
          <w:shd w:val="clear" w:color="auto" w:fill="FFFFFF"/>
          <w:lang w:val="en-GB"/>
        </w:rPr>
        <w:t>s</w:t>
      </w:r>
      <w:r w:rsidRPr="00A73761">
        <w:rPr>
          <w:sz w:val="22"/>
          <w:szCs w:val="22"/>
          <w:shd w:val="clear" w:color="auto" w:fill="FFFFFF"/>
          <w:lang w:val="en-GB"/>
        </w:rPr>
        <w:t xml:space="preserve">hips: </w:t>
      </w:r>
      <w:r w:rsidR="00F46AC8">
        <w:rPr>
          <w:sz w:val="22"/>
          <w:szCs w:val="22"/>
          <w:shd w:val="clear" w:color="auto" w:fill="FFFFFF"/>
          <w:lang w:val="en-GB"/>
        </w:rPr>
        <w:t>d</w:t>
      </w:r>
      <w:r w:rsidRPr="00A73761">
        <w:rPr>
          <w:sz w:val="22"/>
          <w:szCs w:val="22"/>
          <w:shd w:val="clear" w:color="auto" w:fill="FFFFFF"/>
          <w:lang w:val="en-GB"/>
        </w:rPr>
        <w:t xml:space="preserve">istribution and </w:t>
      </w:r>
      <w:r w:rsidR="00F46AC8">
        <w:rPr>
          <w:sz w:val="22"/>
          <w:szCs w:val="22"/>
          <w:shd w:val="clear" w:color="auto" w:fill="FFFFFF"/>
          <w:lang w:val="en-GB"/>
        </w:rPr>
        <w:t>o</w:t>
      </w:r>
      <w:r w:rsidRPr="00A73761">
        <w:rPr>
          <w:sz w:val="22"/>
          <w:szCs w:val="22"/>
          <w:shd w:val="clear" w:color="auto" w:fill="FFFFFF"/>
          <w:lang w:val="en-GB"/>
        </w:rPr>
        <w:t xml:space="preserve">rigins </w:t>
      </w:r>
      <w:r w:rsidRPr="00A73761">
        <w:rPr>
          <w:sz w:val="22"/>
          <w:szCs w:val="22"/>
          <w:shd w:val="clear" w:color="auto" w:fill="FFFFFF"/>
          <w:lang w:val="en-GB"/>
        </w:rPr>
        <w:lastRenderedPageBreak/>
        <w:t xml:space="preserve">of the </w:t>
      </w:r>
      <w:r w:rsidR="00F46AC8">
        <w:rPr>
          <w:sz w:val="22"/>
          <w:szCs w:val="22"/>
          <w:shd w:val="clear" w:color="auto" w:fill="FFFFFF"/>
          <w:lang w:val="en-GB"/>
        </w:rPr>
        <w:t>o</w:t>
      </w:r>
      <w:r w:rsidRPr="00A73761">
        <w:rPr>
          <w:sz w:val="22"/>
          <w:szCs w:val="22"/>
          <w:shd w:val="clear" w:color="auto" w:fill="FFFFFF"/>
          <w:lang w:val="en-GB"/>
        </w:rPr>
        <w:t xml:space="preserve">cellated </w:t>
      </w:r>
      <w:r w:rsidR="00F46AC8">
        <w:rPr>
          <w:sz w:val="22"/>
          <w:szCs w:val="22"/>
          <w:shd w:val="clear" w:color="auto" w:fill="FFFFFF"/>
          <w:lang w:val="en-GB"/>
        </w:rPr>
        <w:t>s</w:t>
      </w:r>
      <w:r w:rsidRPr="00A73761">
        <w:rPr>
          <w:sz w:val="22"/>
          <w:szCs w:val="22"/>
          <w:shd w:val="clear" w:color="auto" w:fill="FFFFFF"/>
          <w:lang w:val="en-GB"/>
        </w:rPr>
        <w:t xml:space="preserve">kink </w:t>
      </w:r>
      <w:r w:rsidR="00F46AC8">
        <w:rPr>
          <w:sz w:val="22"/>
          <w:szCs w:val="22"/>
          <w:shd w:val="clear" w:color="auto" w:fill="FFFFFF"/>
          <w:lang w:val="en-GB"/>
        </w:rPr>
        <w:t>p</w:t>
      </w:r>
      <w:r w:rsidRPr="00A73761">
        <w:rPr>
          <w:sz w:val="22"/>
          <w:szCs w:val="22"/>
          <w:shd w:val="clear" w:color="auto" w:fill="FFFFFF"/>
          <w:lang w:val="en-GB"/>
        </w:rPr>
        <w:t xml:space="preserve">opulations in </w:t>
      </w:r>
      <w:r w:rsidR="00F46AC8">
        <w:rPr>
          <w:sz w:val="22"/>
          <w:szCs w:val="22"/>
          <w:shd w:val="clear" w:color="auto" w:fill="FFFFFF"/>
          <w:lang w:val="en-GB"/>
        </w:rPr>
        <w:t>p</w:t>
      </w:r>
      <w:r w:rsidRPr="00A73761">
        <w:rPr>
          <w:sz w:val="22"/>
          <w:szCs w:val="22"/>
          <w:shd w:val="clear" w:color="auto" w:fill="FFFFFF"/>
          <w:lang w:val="en-GB"/>
        </w:rPr>
        <w:t>eninsular Italy. Animals, 12, 1709. DOI: 10.3390/ani12131709</w:t>
      </w:r>
    </w:p>
    <w:p w14:paraId="688C5329"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Nicolas, V., </w:t>
      </w:r>
      <w:proofErr w:type="spellStart"/>
      <w:r w:rsidRPr="00A73761">
        <w:rPr>
          <w:sz w:val="22"/>
          <w:szCs w:val="22"/>
          <w:shd w:val="clear" w:color="auto" w:fill="FFFFFF"/>
          <w:lang w:val="en-GB"/>
        </w:rPr>
        <w:t>Mataame</w:t>
      </w:r>
      <w:proofErr w:type="spellEnd"/>
      <w:r w:rsidRPr="00A73761">
        <w:rPr>
          <w:sz w:val="22"/>
          <w:szCs w:val="22"/>
          <w:shd w:val="clear" w:color="auto" w:fill="FFFFFF"/>
          <w:lang w:val="en-GB"/>
        </w:rPr>
        <w:t xml:space="preserve">, A., Crochet, P.A., </w:t>
      </w:r>
      <w:proofErr w:type="spellStart"/>
      <w:r w:rsidRPr="00A73761">
        <w:rPr>
          <w:sz w:val="22"/>
          <w:szCs w:val="22"/>
          <w:shd w:val="clear" w:color="auto" w:fill="FFFFFF"/>
          <w:lang w:val="en-GB"/>
        </w:rPr>
        <w:t>Geniez</w:t>
      </w:r>
      <w:proofErr w:type="spellEnd"/>
      <w:r w:rsidRPr="00A73761">
        <w:rPr>
          <w:sz w:val="22"/>
          <w:szCs w:val="22"/>
          <w:shd w:val="clear" w:color="auto" w:fill="FFFFFF"/>
          <w:lang w:val="en-GB"/>
        </w:rPr>
        <w:t xml:space="preserve">, P., Fahd, S., Ohler, A. (2018) Phylogeography and ecological niche </w:t>
      </w:r>
      <w:proofErr w:type="spellStart"/>
      <w:r w:rsidRPr="00A73761">
        <w:rPr>
          <w:sz w:val="22"/>
          <w:szCs w:val="22"/>
          <w:shd w:val="clear" w:color="auto" w:fill="FFFFFF"/>
          <w:lang w:val="en-GB"/>
        </w:rPr>
        <w:t>modeling</w:t>
      </w:r>
      <w:proofErr w:type="spellEnd"/>
      <w:r w:rsidRPr="00A73761">
        <w:rPr>
          <w:sz w:val="22"/>
          <w:szCs w:val="22"/>
          <w:shd w:val="clear" w:color="auto" w:fill="FFFFFF"/>
          <w:lang w:val="en-GB"/>
        </w:rPr>
        <w:t xml:space="preserve"> unravel the evolutionary history of the African green toad, </w:t>
      </w:r>
      <w:proofErr w:type="spellStart"/>
      <w:r w:rsidRPr="00F46AC8">
        <w:rPr>
          <w:i/>
          <w:iCs/>
          <w:sz w:val="22"/>
          <w:szCs w:val="22"/>
          <w:shd w:val="clear" w:color="auto" w:fill="FFFFFF"/>
          <w:lang w:val="en-GB"/>
        </w:rPr>
        <w:t>Bufotes</w:t>
      </w:r>
      <w:proofErr w:type="spellEnd"/>
      <w:r w:rsidRPr="00F46AC8">
        <w:rPr>
          <w:i/>
          <w:iCs/>
          <w:sz w:val="22"/>
          <w:szCs w:val="22"/>
          <w:shd w:val="clear" w:color="auto" w:fill="FFFFFF"/>
          <w:lang w:val="en-GB"/>
        </w:rPr>
        <w:t xml:space="preserve"> </w:t>
      </w:r>
      <w:proofErr w:type="spellStart"/>
      <w:r w:rsidRPr="00F46AC8">
        <w:rPr>
          <w:i/>
          <w:iCs/>
          <w:sz w:val="22"/>
          <w:szCs w:val="22"/>
          <w:shd w:val="clear" w:color="auto" w:fill="FFFFFF"/>
          <w:lang w:val="en-GB"/>
        </w:rPr>
        <w:t>boulengeri</w:t>
      </w:r>
      <w:proofErr w:type="spellEnd"/>
      <w:r w:rsidRPr="00F46AC8">
        <w:rPr>
          <w:i/>
          <w:iCs/>
          <w:sz w:val="22"/>
          <w:szCs w:val="22"/>
          <w:shd w:val="clear" w:color="auto" w:fill="FFFFFF"/>
          <w:lang w:val="en-GB"/>
        </w:rPr>
        <w:t xml:space="preserve"> </w:t>
      </w:r>
      <w:proofErr w:type="spellStart"/>
      <w:r w:rsidRPr="00F46AC8">
        <w:rPr>
          <w:i/>
          <w:iCs/>
          <w:sz w:val="22"/>
          <w:szCs w:val="22"/>
          <w:shd w:val="clear" w:color="auto" w:fill="FFFFFF"/>
          <w:lang w:val="en-GB"/>
        </w:rPr>
        <w:t>boulengeri</w:t>
      </w:r>
      <w:proofErr w:type="spellEnd"/>
      <w:r w:rsidRPr="00A73761">
        <w:rPr>
          <w:sz w:val="22"/>
          <w:szCs w:val="22"/>
          <w:shd w:val="clear" w:color="auto" w:fill="FFFFFF"/>
          <w:lang w:val="en-GB"/>
        </w:rPr>
        <w:t xml:space="preserve"> (Amphibia: </w:t>
      </w:r>
      <w:proofErr w:type="spellStart"/>
      <w:r w:rsidRPr="00A73761">
        <w:rPr>
          <w:sz w:val="22"/>
          <w:szCs w:val="22"/>
          <w:shd w:val="clear" w:color="auto" w:fill="FFFFFF"/>
          <w:lang w:val="en-GB"/>
        </w:rPr>
        <w:t>Bufonidae</w:t>
      </w:r>
      <w:proofErr w:type="spellEnd"/>
      <w:r w:rsidRPr="00A73761">
        <w:rPr>
          <w:sz w:val="22"/>
          <w:szCs w:val="22"/>
          <w:shd w:val="clear" w:color="auto" w:fill="FFFFFF"/>
          <w:lang w:val="en-GB"/>
        </w:rPr>
        <w:t>), through the Quaternary. Journal of Zoological Systematics and Evolutionary Research, 56, 102–116. DOI: 10.1111/jzs.12185</w:t>
      </w:r>
    </w:p>
    <w:p w14:paraId="6A5F30D2"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proofErr w:type="spellStart"/>
      <w:r w:rsidRPr="00A73761">
        <w:rPr>
          <w:sz w:val="22"/>
          <w:szCs w:val="22"/>
          <w:shd w:val="clear" w:color="auto" w:fill="FFFFFF"/>
          <w:lang w:val="en-GB"/>
        </w:rPr>
        <w:t>Palumbi</w:t>
      </w:r>
      <w:proofErr w:type="spellEnd"/>
      <w:r w:rsidRPr="00A73761">
        <w:rPr>
          <w:sz w:val="22"/>
          <w:szCs w:val="22"/>
          <w:shd w:val="clear" w:color="auto" w:fill="FFFFFF"/>
          <w:lang w:val="en-GB"/>
        </w:rPr>
        <w:t>, S.R., Martin, A.P., Romano, S.L., McMillan, W.O., Stice, L., Grabowski, G. (1991) The Simple Fool’s Guide to PCR. University of Hawaii, Honolulu.</w:t>
      </w:r>
    </w:p>
    <w:p w14:paraId="60E0DBD4"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Rato, C., Carranza, S., Perera, A., Carretero, M.A., Harris, D.J. (2010) Conflicting patterns of nucleotide diversity between </w:t>
      </w:r>
      <w:proofErr w:type="spellStart"/>
      <w:r w:rsidRPr="00A73761">
        <w:rPr>
          <w:sz w:val="22"/>
          <w:szCs w:val="22"/>
          <w:shd w:val="clear" w:color="auto" w:fill="FFFFFF"/>
          <w:lang w:val="en-GB"/>
        </w:rPr>
        <w:t>mtDNA</w:t>
      </w:r>
      <w:proofErr w:type="spellEnd"/>
      <w:r w:rsidRPr="00A73761">
        <w:rPr>
          <w:sz w:val="22"/>
          <w:szCs w:val="22"/>
          <w:shd w:val="clear" w:color="auto" w:fill="FFFFFF"/>
          <w:lang w:val="en-GB"/>
        </w:rPr>
        <w:t xml:space="preserve"> and </w:t>
      </w:r>
      <w:proofErr w:type="spellStart"/>
      <w:r w:rsidRPr="00A73761">
        <w:rPr>
          <w:sz w:val="22"/>
          <w:szCs w:val="22"/>
          <w:shd w:val="clear" w:color="auto" w:fill="FFFFFF"/>
          <w:lang w:val="en-GB"/>
        </w:rPr>
        <w:t>nDNA</w:t>
      </w:r>
      <w:proofErr w:type="spellEnd"/>
      <w:r w:rsidRPr="00A73761">
        <w:rPr>
          <w:sz w:val="22"/>
          <w:szCs w:val="22"/>
          <w:shd w:val="clear" w:color="auto" w:fill="FFFFFF"/>
          <w:lang w:val="en-GB"/>
        </w:rPr>
        <w:t xml:space="preserve"> in the Moorish gecko, </w:t>
      </w:r>
      <w:r w:rsidRPr="00F46AC8">
        <w:rPr>
          <w:i/>
          <w:iCs/>
          <w:sz w:val="22"/>
          <w:szCs w:val="22"/>
          <w:shd w:val="clear" w:color="auto" w:fill="FFFFFF"/>
          <w:lang w:val="en-GB"/>
        </w:rPr>
        <w:t>Tarentola mauritanica</w:t>
      </w:r>
      <w:r w:rsidRPr="00A73761">
        <w:rPr>
          <w:sz w:val="22"/>
          <w:szCs w:val="22"/>
          <w:shd w:val="clear" w:color="auto" w:fill="FFFFFF"/>
          <w:lang w:val="en-GB"/>
        </w:rPr>
        <w:t>. Molecular Phylogenetics and Evolution, 56, 962–971. DOI: 10.1016/j.ympev.2010.04.033</w:t>
      </w:r>
    </w:p>
    <w:p w14:paraId="2D5E314E"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Rato, C., Carranza, S., Harris, D.J. (2012) Evolutionary history of the genus </w:t>
      </w:r>
      <w:proofErr w:type="spellStart"/>
      <w:r w:rsidRPr="00F46AC8">
        <w:rPr>
          <w:i/>
          <w:iCs/>
          <w:sz w:val="22"/>
          <w:szCs w:val="22"/>
          <w:shd w:val="clear" w:color="auto" w:fill="FFFFFF"/>
          <w:lang w:val="en-GB"/>
        </w:rPr>
        <w:t>Tarentola</w:t>
      </w:r>
      <w:proofErr w:type="spellEnd"/>
      <w:r w:rsidRPr="00A73761">
        <w:rPr>
          <w:sz w:val="22"/>
          <w:szCs w:val="22"/>
          <w:shd w:val="clear" w:color="auto" w:fill="FFFFFF"/>
          <w:lang w:val="en-GB"/>
        </w:rPr>
        <w:t xml:space="preserve"> (</w:t>
      </w:r>
      <w:proofErr w:type="spellStart"/>
      <w:r w:rsidRPr="00A73761">
        <w:rPr>
          <w:sz w:val="22"/>
          <w:szCs w:val="22"/>
          <w:shd w:val="clear" w:color="auto" w:fill="FFFFFF"/>
          <w:lang w:val="en-GB"/>
        </w:rPr>
        <w:t>Gekkota</w:t>
      </w:r>
      <w:proofErr w:type="spellEnd"/>
      <w:r w:rsidRPr="00A73761">
        <w:rPr>
          <w:sz w:val="22"/>
          <w:szCs w:val="22"/>
          <w:shd w:val="clear" w:color="auto" w:fill="FFFFFF"/>
          <w:lang w:val="en-GB"/>
        </w:rPr>
        <w:t>: Phyllodactylidae) from the Mediterranean Basin, estimated using multilocus sequence data. BMC Evolutionary Biology, 12, 1–12. DOI: 10.1186/1471-2148-12-14</w:t>
      </w:r>
    </w:p>
    <w:p w14:paraId="11963649"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Rato, C., Harris, D.J., Carranza, S., Machado, L., Perera, A. (2016) The taxonomy of the </w:t>
      </w:r>
      <w:r w:rsidRPr="00F46AC8">
        <w:rPr>
          <w:i/>
          <w:iCs/>
          <w:sz w:val="22"/>
          <w:szCs w:val="22"/>
          <w:shd w:val="clear" w:color="auto" w:fill="FFFFFF"/>
          <w:lang w:val="en-GB"/>
        </w:rPr>
        <w:t>Tarentola mauritanica</w:t>
      </w:r>
      <w:r w:rsidRPr="00A73761">
        <w:rPr>
          <w:sz w:val="22"/>
          <w:szCs w:val="22"/>
          <w:shd w:val="clear" w:color="auto" w:fill="FFFFFF"/>
          <w:lang w:val="en-GB"/>
        </w:rPr>
        <w:t xml:space="preserve"> species complex (</w:t>
      </w:r>
      <w:proofErr w:type="spellStart"/>
      <w:r w:rsidRPr="00A73761">
        <w:rPr>
          <w:sz w:val="22"/>
          <w:szCs w:val="22"/>
          <w:shd w:val="clear" w:color="auto" w:fill="FFFFFF"/>
          <w:lang w:val="en-GB"/>
        </w:rPr>
        <w:t>Gekkota</w:t>
      </w:r>
      <w:proofErr w:type="spellEnd"/>
      <w:r w:rsidRPr="00A73761">
        <w:rPr>
          <w:sz w:val="22"/>
          <w:szCs w:val="22"/>
          <w:shd w:val="clear" w:color="auto" w:fill="FFFFFF"/>
          <w:lang w:val="en-GB"/>
        </w:rPr>
        <w:t xml:space="preserve">: Phyllodactylidae): Bayesian species delimitation supports six candidate species. Molecular Phylogenetics and Evolution, 94, 271–278. DOI: 10.1016/j.ympev.2015.09.008  </w:t>
      </w:r>
    </w:p>
    <w:p w14:paraId="4AAD43CB"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Rato, C., Deso, G., Renet, J., </w:t>
      </w:r>
      <w:proofErr w:type="spellStart"/>
      <w:r w:rsidRPr="00A73761">
        <w:rPr>
          <w:sz w:val="22"/>
          <w:szCs w:val="22"/>
          <w:shd w:val="clear" w:color="auto" w:fill="FFFFFF"/>
          <w:lang w:val="en-GB"/>
        </w:rPr>
        <w:t>Delaugerre</w:t>
      </w:r>
      <w:proofErr w:type="spellEnd"/>
      <w:r w:rsidRPr="00A73761">
        <w:rPr>
          <w:sz w:val="22"/>
          <w:szCs w:val="22"/>
          <w:shd w:val="clear" w:color="auto" w:fill="FFFFFF"/>
          <w:lang w:val="en-GB"/>
        </w:rPr>
        <w:t xml:space="preserve">, M.J., Marques, V., </w:t>
      </w:r>
      <w:proofErr w:type="spellStart"/>
      <w:r w:rsidRPr="00A73761">
        <w:rPr>
          <w:sz w:val="22"/>
          <w:szCs w:val="22"/>
          <w:shd w:val="clear" w:color="auto" w:fill="FFFFFF"/>
          <w:lang w:val="en-GB"/>
        </w:rPr>
        <w:t>Mochales</w:t>
      </w:r>
      <w:proofErr w:type="spellEnd"/>
      <w:r w:rsidRPr="00A73761">
        <w:rPr>
          <w:sz w:val="22"/>
          <w:szCs w:val="22"/>
          <w:shd w:val="clear" w:color="auto" w:fill="FFFFFF"/>
          <w:lang w:val="en-GB"/>
        </w:rPr>
        <w:t xml:space="preserve">-Riaño, G. (2023) Colonization routes uncovered in a widely introduced Mediterranean gecko, </w:t>
      </w:r>
      <w:r w:rsidRPr="00F46AC8">
        <w:rPr>
          <w:i/>
          <w:iCs/>
          <w:sz w:val="22"/>
          <w:szCs w:val="22"/>
          <w:shd w:val="clear" w:color="auto" w:fill="FFFFFF"/>
          <w:lang w:val="en-GB"/>
        </w:rPr>
        <w:t>Tarentola mauritanica</w:t>
      </w:r>
      <w:r w:rsidRPr="00A73761">
        <w:rPr>
          <w:sz w:val="22"/>
          <w:szCs w:val="22"/>
          <w:shd w:val="clear" w:color="auto" w:fill="FFFFFF"/>
          <w:lang w:val="en-GB"/>
        </w:rPr>
        <w:t>. Scientific Reports, 13, 16681. DOI: 10.1038/s41598-023-43704-8</w:t>
      </w:r>
    </w:p>
    <w:p w14:paraId="740EA234"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Renet, J., </w:t>
      </w:r>
      <w:proofErr w:type="spellStart"/>
      <w:r w:rsidRPr="00A73761">
        <w:rPr>
          <w:sz w:val="22"/>
          <w:szCs w:val="22"/>
          <w:shd w:val="clear" w:color="auto" w:fill="FFFFFF"/>
          <w:lang w:val="en-GB"/>
        </w:rPr>
        <w:t>Dokhelar</w:t>
      </w:r>
      <w:proofErr w:type="spellEnd"/>
      <w:r w:rsidRPr="00A73761">
        <w:rPr>
          <w:sz w:val="22"/>
          <w:szCs w:val="22"/>
          <w:shd w:val="clear" w:color="auto" w:fill="FFFFFF"/>
          <w:lang w:val="en-GB"/>
        </w:rPr>
        <w:t xml:space="preserve">, T., Dubos, N. (2024) One gecko’s pain is another gecko’s gain: is the Moorish gecko </w:t>
      </w:r>
      <w:r w:rsidRPr="00F46AC8">
        <w:rPr>
          <w:i/>
          <w:iCs/>
          <w:sz w:val="22"/>
          <w:szCs w:val="22"/>
          <w:shd w:val="clear" w:color="auto" w:fill="FFFFFF"/>
          <w:lang w:val="en-GB"/>
        </w:rPr>
        <w:t>Tarentola mauritanica</w:t>
      </w:r>
      <w:r w:rsidRPr="00A73761">
        <w:rPr>
          <w:sz w:val="22"/>
          <w:szCs w:val="22"/>
          <w:shd w:val="clear" w:color="auto" w:fill="FFFFFF"/>
          <w:lang w:val="en-GB"/>
        </w:rPr>
        <w:t xml:space="preserve"> becoming invasive in France? Herpetological Journal, 34, 84–91. DOI: 10.33256/34.2.8491</w:t>
      </w:r>
    </w:p>
    <w:p w14:paraId="70718E76"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proofErr w:type="spellStart"/>
      <w:r w:rsidRPr="00A73761">
        <w:rPr>
          <w:sz w:val="22"/>
          <w:szCs w:val="22"/>
          <w:shd w:val="clear" w:color="auto" w:fill="FFFFFF"/>
          <w:lang w:val="en-GB"/>
        </w:rPr>
        <w:t>Ronquist</w:t>
      </w:r>
      <w:proofErr w:type="spellEnd"/>
      <w:r w:rsidRPr="00A73761">
        <w:rPr>
          <w:sz w:val="22"/>
          <w:szCs w:val="22"/>
          <w:shd w:val="clear" w:color="auto" w:fill="FFFFFF"/>
          <w:lang w:val="en-GB"/>
        </w:rPr>
        <w:t xml:space="preserve">, F., Huelsenbeck, J., </w:t>
      </w:r>
      <w:proofErr w:type="spellStart"/>
      <w:r w:rsidRPr="00A73761">
        <w:rPr>
          <w:sz w:val="22"/>
          <w:szCs w:val="22"/>
          <w:shd w:val="clear" w:color="auto" w:fill="FFFFFF"/>
          <w:lang w:val="en-GB"/>
        </w:rPr>
        <w:t>Teslenko</w:t>
      </w:r>
      <w:proofErr w:type="spellEnd"/>
      <w:r w:rsidRPr="00A73761">
        <w:rPr>
          <w:sz w:val="22"/>
          <w:szCs w:val="22"/>
          <w:shd w:val="clear" w:color="auto" w:fill="FFFFFF"/>
          <w:lang w:val="en-GB"/>
        </w:rPr>
        <w:t xml:space="preserve">, M. (2011) </w:t>
      </w:r>
      <w:proofErr w:type="spellStart"/>
      <w:r w:rsidRPr="00A73761">
        <w:rPr>
          <w:sz w:val="22"/>
          <w:szCs w:val="22"/>
          <w:shd w:val="clear" w:color="auto" w:fill="FFFFFF"/>
          <w:lang w:val="en-GB"/>
        </w:rPr>
        <w:t>MrBayes</w:t>
      </w:r>
      <w:proofErr w:type="spellEnd"/>
      <w:r w:rsidRPr="00A73761">
        <w:rPr>
          <w:sz w:val="22"/>
          <w:szCs w:val="22"/>
          <w:shd w:val="clear" w:color="auto" w:fill="FFFFFF"/>
          <w:lang w:val="en-GB"/>
        </w:rPr>
        <w:t xml:space="preserve"> Version 3.2 Manual: Tutorials and Model Summaries, Manual </w:t>
      </w:r>
      <w:proofErr w:type="spellStart"/>
      <w:r w:rsidRPr="00A73761">
        <w:rPr>
          <w:sz w:val="22"/>
          <w:szCs w:val="22"/>
          <w:shd w:val="clear" w:color="auto" w:fill="FFFFFF"/>
          <w:lang w:val="en-GB"/>
        </w:rPr>
        <w:t>MrBayes</w:t>
      </w:r>
      <w:proofErr w:type="spellEnd"/>
      <w:r w:rsidRPr="00A73761">
        <w:rPr>
          <w:sz w:val="22"/>
          <w:szCs w:val="22"/>
          <w:shd w:val="clear" w:color="auto" w:fill="FFFFFF"/>
          <w:lang w:val="en-GB"/>
        </w:rPr>
        <w:t>.</w:t>
      </w:r>
    </w:p>
    <w:p w14:paraId="4F734285"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Sarra, F., Nabil, A., Rached, G., Khaled, S. (2013) Relationships of the Moorish Gecko </w:t>
      </w:r>
      <w:r w:rsidRPr="00F46AC8">
        <w:rPr>
          <w:i/>
          <w:iCs/>
          <w:sz w:val="22"/>
          <w:szCs w:val="22"/>
          <w:shd w:val="clear" w:color="auto" w:fill="FFFFFF"/>
          <w:lang w:val="en-GB"/>
        </w:rPr>
        <w:t>Tarentola mauritanica</w:t>
      </w:r>
      <w:r w:rsidRPr="00A73761">
        <w:rPr>
          <w:sz w:val="22"/>
          <w:szCs w:val="22"/>
          <w:shd w:val="clear" w:color="auto" w:fill="FFFFFF"/>
          <w:lang w:val="en-GB"/>
        </w:rPr>
        <w:t xml:space="preserve"> </w:t>
      </w:r>
      <w:r w:rsidRPr="00F46AC8">
        <w:rPr>
          <w:i/>
          <w:iCs/>
          <w:sz w:val="22"/>
          <w:szCs w:val="22"/>
          <w:shd w:val="clear" w:color="auto" w:fill="FFFFFF"/>
          <w:lang w:val="en-GB"/>
        </w:rPr>
        <w:t>sensu lato</w:t>
      </w:r>
      <w:r w:rsidRPr="00A73761">
        <w:rPr>
          <w:sz w:val="22"/>
          <w:szCs w:val="22"/>
          <w:shd w:val="clear" w:color="auto" w:fill="FFFFFF"/>
          <w:lang w:val="en-GB"/>
        </w:rPr>
        <w:t xml:space="preserve"> (Reptilia, Phyllodactylidae) populations in Tunisia: morphometric and karyological assessment. Annales </w:t>
      </w:r>
      <w:proofErr w:type="spellStart"/>
      <w:r w:rsidRPr="00A73761">
        <w:rPr>
          <w:sz w:val="22"/>
          <w:szCs w:val="22"/>
          <w:shd w:val="clear" w:color="auto" w:fill="FFFFFF"/>
          <w:lang w:val="en-GB"/>
        </w:rPr>
        <w:t>Zoologici</w:t>
      </w:r>
      <w:proofErr w:type="spellEnd"/>
      <w:r w:rsidRPr="00A73761">
        <w:rPr>
          <w:sz w:val="22"/>
          <w:szCs w:val="22"/>
          <w:shd w:val="clear" w:color="auto" w:fill="FFFFFF"/>
          <w:lang w:val="en-GB"/>
        </w:rPr>
        <w:t>, 63, 149–156. DOI: 10.3161/000345413X666192</w:t>
      </w:r>
    </w:p>
    <w:p w14:paraId="13CBD9B0"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 xml:space="preserve">Sciandra, C., Mori, E., Solano, E., Mazza, G., Viviano, A., </w:t>
      </w:r>
      <w:proofErr w:type="spellStart"/>
      <w:r w:rsidRPr="00A73761">
        <w:rPr>
          <w:sz w:val="22"/>
          <w:szCs w:val="22"/>
          <w:shd w:val="clear" w:color="auto" w:fill="FFFFFF"/>
          <w:lang w:val="en-GB"/>
        </w:rPr>
        <w:t>Scarfò</w:t>
      </w:r>
      <w:proofErr w:type="spellEnd"/>
      <w:r w:rsidRPr="00A73761">
        <w:rPr>
          <w:sz w:val="22"/>
          <w:szCs w:val="22"/>
          <w:shd w:val="clear" w:color="auto" w:fill="FFFFFF"/>
          <w:lang w:val="en-GB"/>
        </w:rPr>
        <w:t xml:space="preserve">, M., Bona, F., Annesi, F., Castiglia, R. (2022) Mice on the borders: genetic identification of rat and house mouse species in Lampedusa and Pantelleria islands (Southern Italy). </w:t>
      </w:r>
      <w:proofErr w:type="spellStart"/>
      <w:r w:rsidRPr="00A73761">
        <w:rPr>
          <w:sz w:val="22"/>
          <w:szCs w:val="22"/>
          <w:shd w:val="clear" w:color="auto" w:fill="FFFFFF"/>
          <w:lang w:val="en-GB"/>
        </w:rPr>
        <w:t>Biogeographia</w:t>
      </w:r>
      <w:proofErr w:type="spellEnd"/>
      <w:r w:rsidRPr="00A73761">
        <w:rPr>
          <w:sz w:val="22"/>
          <w:szCs w:val="22"/>
          <w:shd w:val="clear" w:color="auto" w:fill="FFFFFF"/>
          <w:lang w:val="en-GB"/>
        </w:rPr>
        <w:t xml:space="preserve"> - The Journal of Integrative Biogeography, 37, a013. DOI: 10.21426/B637155716</w:t>
      </w:r>
    </w:p>
    <w:p w14:paraId="0E6AE199"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Sheehy, J., Taylor, C.M., Norris, D.R. (2011) The importance of stopover habitat for developing effective conservation strategies for migratory animals. Journal of Ornithology, 152, 161–168. DOI: 10.1007/s10336-011-0682-5</w:t>
      </w:r>
    </w:p>
    <w:p w14:paraId="355D67F3" w14:textId="77777777" w:rsidR="00A73761" w:rsidRPr="00913F02"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it-IT"/>
        </w:rPr>
      </w:pPr>
      <w:proofErr w:type="spellStart"/>
      <w:r w:rsidRPr="00A73761">
        <w:rPr>
          <w:sz w:val="22"/>
          <w:szCs w:val="22"/>
          <w:shd w:val="clear" w:color="auto" w:fill="FFFFFF"/>
          <w:lang w:val="en-GB"/>
        </w:rPr>
        <w:t>Stöck</w:t>
      </w:r>
      <w:proofErr w:type="spellEnd"/>
      <w:r w:rsidRPr="00A73761">
        <w:rPr>
          <w:sz w:val="22"/>
          <w:szCs w:val="22"/>
          <w:shd w:val="clear" w:color="auto" w:fill="FFFFFF"/>
          <w:lang w:val="en-GB"/>
        </w:rPr>
        <w:t xml:space="preserve">, M., </w:t>
      </w:r>
      <w:proofErr w:type="spellStart"/>
      <w:r w:rsidRPr="00A73761">
        <w:rPr>
          <w:sz w:val="22"/>
          <w:szCs w:val="22"/>
          <w:shd w:val="clear" w:color="auto" w:fill="FFFFFF"/>
          <w:lang w:val="en-GB"/>
        </w:rPr>
        <w:t>Grifoni</w:t>
      </w:r>
      <w:proofErr w:type="spellEnd"/>
      <w:r w:rsidRPr="00A73761">
        <w:rPr>
          <w:sz w:val="22"/>
          <w:szCs w:val="22"/>
          <w:shd w:val="clear" w:color="auto" w:fill="FFFFFF"/>
          <w:lang w:val="en-GB"/>
        </w:rPr>
        <w:t xml:space="preserve">, G., Armor, N., Scheidt, U., Sicilia, A., </w:t>
      </w:r>
      <w:proofErr w:type="spellStart"/>
      <w:r w:rsidRPr="00A73761">
        <w:rPr>
          <w:sz w:val="22"/>
          <w:szCs w:val="22"/>
          <w:shd w:val="clear" w:color="auto" w:fill="FFFFFF"/>
          <w:lang w:val="en-GB"/>
        </w:rPr>
        <w:t>Novarini</w:t>
      </w:r>
      <w:proofErr w:type="spellEnd"/>
      <w:r w:rsidRPr="00A73761">
        <w:rPr>
          <w:sz w:val="22"/>
          <w:szCs w:val="22"/>
          <w:shd w:val="clear" w:color="auto" w:fill="FFFFFF"/>
          <w:lang w:val="en-GB"/>
        </w:rPr>
        <w:t xml:space="preserve">, N. (2016) On the origin of the recent herpetofauna of Sicily: comparative phylogeography using homologous mitochondrial and nuclear genes. </w:t>
      </w:r>
      <w:proofErr w:type="spellStart"/>
      <w:r w:rsidRPr="00913F02">
        <w:rPr>
          <w:sz w:val="22"/>
          <w:szCs w:val="22"/>
          <w:shd w:val="clear" w:color="auto" w:fill="FFFFFF"/>
          <w:lang w:val="it-IT"/>
        </w:rPr>
        <w:t>Zoological</w:t>
      </w:r>
      <w:proofErr w:type="spellEnd"/>
      <w:r w:rsidRPr="00913F02">
        <w:rPr>
          <w:sz w:val="22"/>
          <w:szCs w:val="22"/>
          <w:shd w:val="clear" w:color="auto" w:fill="FFFFFF"/>
          <w:lang w:val="it-IT"/>
        </w:rPr>
        <w:t xml:space="preserve"> </w:t>
      </w:r>
      <w:proofErr w:type="spellStart"/>
      <w:r w:rsidRPr="00913F02">
        <w:rPr>
          <w:sz w:val="22"/>
          <w:szCs w:val="22"/>
          <w:shd w:val="clear" w:color="auto" w:fill="FFFFFF"/>
          <w:lang w:val="it-IT"/>
        </w:rPr>
        <w:t>Anzeiger</w:t>
      </w:r>
      <w:proofErr w:type="spellEnd"/>
      <w:r w:rsidRPr="00913F02">
        <w:rPr>
          <w:sz w:val="22"/>
          <w:szCs w:val="22"/>
          <w:shd w:val="clear" w:color="auto" w:fill="FFFFFF"/>
          <w:lang w:val="it-IT"/>
        </w:rPr>
        <w:t>, 3, 70–81. DOI: 10.1016/j.jcz.2015.10.005</w:t>
      </w:r>
    </w:p>
    <w:p w14:paraId="5B69A60C" w14:textId="77777777" w:rsidR="00A73761" w:rsidRP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913F02">
        <w:rPr>
          <w:sz w:val="22"/>
          <w:szCs w:val="22"/>
          <w:shd w:val="clear" w:color="auto" w:fill="FFFFFF"/>
          <w:lang w:val="it-IT"/>
        </w:rPr>
        <w:t xml:space="preserve">Surico, G. (2020) Lampedusa: dall’agricoltura, alla pesca, al turismo. </w:t>
      </w:r>
      <w:r w:rsidRPr="00A73761">
        <w:rPr>
          <w:sz w:val="22"/>
          <w:szCs w:val="22"/>
          <w:shd w:val="clear" w:color="auto" w:fill="FFFFFF"/>
          <w:lang w:val="en-GB"/>
        </w:rPr>
        <w:t>Firenze University Press, Firenze.</w:t>
      </w:r>
    </w:p>
    <w:p w14:paraId="25ED17C9" w14:textId="7F141337" w:rsidR="00A73761" w:rsidRDefault="00A73761" w:rsidP="00A73761">
      <w:pPr>
        <w:pStyle w:val="NormalWeb"/>
        <w:shd w:val="clear" w:color="auto" w:fill="FFFFFF"/>
        <w:snapToGrid w:val="0"/>
        <w:spacing w:before="0" w:beforeAutospacing="0" w:after="120" w:afterAutospacing="0"/>
        <w:ind w:left="284" w:hanging="284"/>
        <w:jc w:val="both"/>
        <w:rPr>
          <w:sz w:val="22"/>
          <w:szCs w:val="22"/>
          <w:shd w:val="clear" w:color="auto" w:fill="FFFFFF"/>
          <w:lang w:val="en-GB"/>
        </w:rPr>
      </w:pPr>
      <w:r w:rsidRPr="00A73761">
        <w:rPr>
          <w:sz w:val="22"/>
          <w:szCs w:val="22"/>
          <w:shd w:val="clear" w:color="auto" w:fill="FFFFFF"/>
          <w:lang w:val="en-GB"/>
        </w:rPr>
        <w:t>Whittaker, R.J., Fernández-Palacios, J.M., Matthews, T.J., Borregaard, M.K., Triantis, K.A. (2017) Island biogeography: taking the long view of nature’s laboratories. Science, 357, eaam8326. DOI: 10.1126/</w:t>
      </w:r>
      <w:proofErr w:type="gramStart"/>
      <w:r w:rsidRPr="00A73761">
        <w:rPr>
          <w:sz w:val="22"/>
          <w:szCs w:val="22"/>
          <w:shd w:val="clear" w:color="auto" w:fill="FFFFFF"/>
          <w:lang w:val="en-GB"/>
        </w:rPr>
        <w:t>science.aam</w:t>
      </w:r>
      <w:proofErr w:type="gramEnd"/>
      <w:r w:rsidRPr="00A73761">
        <w:rPr>
          <w:sz w:val="22"/>
          <w:szCs w:val="22"/>
          <w:shd w:val="clear" w:color="auto" w:fill="FFFFFF"/>
          <w:lang w:val="en-GB"/>
        </w:rPr>
        <w:t>8326</w:t>
      </w:r>
    </w:p>
    <w:p w14:paraId="74009723" w14:textId="77777777" w:rsidR="00A62D8A" w:rsidRDefault="00A62D8A" w:rsidP="00353050">
      <w:pPr>
        <w:pStyle w:val="NormalWeb"/>
        <w:shd w:val="clear" w:color="auto" w:fill="FFFFFF"/>
        <w:snapToGrid w:val="0"/>
        <w:spacing w:before="0" w:beforeAutospacing="0" w:after="120" w:afterAutospacing="0"/>
        <w:ind w:right="-6"/>
        <w:jc w:val="both"/>
        <w:rPr>
          <w:sz w:val="22"/>
          <w:szCs w:val="22"/>
          <w:shd w:val="clear" w:color="auto" w:fill="FFFFFF"/>
          <w:lang w:val="en-GB"/>
        </w:rPr>
      </w:pPr>
    </w:p>
    <w:p w14:paraId="2ED90460" w14:textId="69CF83E3" w:rsidR="003A764E" w:rsidRPr="00F44548" w:rsidRDefault="003A764E" w:rsidP="00823601">
      <w:pPr>
        <w:snapToGrid w:val="0"/>
        <w:spacing w:after="120"/>
        <w:jc w:val="right"/>
        <w:rPr>
          <w:i/>
          <w:lang w:val="en-GB" w:eastAsia="zh-CN"/>
        </w:rPr>
      </w:pPr>
      <w:r w:rsidRPr="00F44548">
        <w:rPr>
          <w:i/>
          <w:lang w:val="en-GB" w:eastAsia="zh-CN"/>
        </w:rPr>
        <w:t xml:space="preserve">Submitted: </w:t>
      </w:r>
      <w:r w:rsidR="00037234">
        <w:rPr>
          <w:i/>
          <w:lang w:val="en-GB" w:eastAsia="zh-CN"/>
        </w:rPr>
        <w:t>2</w:t>
      </w:r>
      <w:r w:rsidR="00365EC9">
        <w:rPr>
          <w:i/>
          <w:lang w:val="en-GB" w:eastAsia="zh-CN"/>
        </w:rPr>
        <w:t xml:space="preserve"> </w:t>
      </w:r>
      <w:r w:rsidR="00037234">
        <w:rPr>
          <w:i/>
          <w:lang w:val="en-GB" w:eastAsia="zh-CN"/>
        </w:rPr>
        <w:t>April</w:t>
      </w:r>
      <w:r w:rsidR="00365EC9">
        <w:rPr>
          <w:i/>
          <w:lang w:val="en-GB" w:eastAsia="zh-CN"/>
        </w:rPr>
        <w:t xml:space="preserve"> </w:t>
      </w:r>
      <w:r w:rsidRPr="00F44548">
        <w:rPr>
          <w:i/>
          <w:lang w:val="en-GB" w:eastAsia="zh-CN"/>
        </w:rPr>
        <w:t>202</w:t>
      </w:r>
      <w:r w:rsidR="00037234">
        <w:rPr>
          <w:i/>
          <w:lang w:val="en-GB" w:eastAsia="zh-CN"/>
        </w:rPr>
        <w:t>5</w:t>
      </w:r>
    </w:p>
    <w:p w14:paraId="56899451" w14:textId="7C6AF3CE" w:rsidR="003A764E" w:rsidRPr="00F44548" w:rsidRDefault="003A764E" w:rsidP="00823601">
      <w:pPr>
        <w:snapToGrid w:val="0"/>
        <w:spacing w:after="120"/>
        <w:jc w:val="right"/>
        <w:rPr>
          <w:i/>
          <w:lang w:val="en-GB" w:eastAsia="zh-CN"/>
        </w:rPr>
      </w:pPr>
      <w:r w:rsidRPr="00F44548">
        <w:rPr>
          <w:i/>
          <w:lang w:val="en-GB" w:eastAsia="zh-CN"/>
        </w:rPr>
        <w:t xml:space="preserve">First decision: </w:t>
      </w:r>
      <w:r w:rsidR="00037234">
        <w:rPr>
          <w:i/>
          <w:lang w:val="en-GB" w:eastAsia="zh-CN"/>
        </w:rPr>
        <w:t>13</w:t>
      </w:r>
      <w:r w:rsidR="0084479D">
        <w:rPr>
          <w:i/>
          <w:lang w:val="en-GB" w:eastAsia="zh-CN"/>
        </w:rPr>
        <w:t xml:space="preserve"> </w:t>
      </w:r>
      <w:r w:rsidR="00037234">
        <w:rPr>
          <w:i/>
          <w:lang w:val="en-GB" w:eastAsia="zh-CN"/>
        </w:rPr>
        <w:t>May</w:t>
      </w:r>
      <w:r w:rsidRPr="00F44548">
        <w:rPr>
          <w:i/>
          <w:lang w:val="en-GB" w:eastAsia="zh-CN"/>
        </w:rPr>
        <w:t xml:space="preserve"> 202</w:t>
      </w:r>
      <w:r w:rsidR="00C379D3">
        <w:rPr>
          <w:i/>
          <w:lang w:val="en-GB" w:eastAsia="zh-CN"/>
        </w:rPr>
        <w:t>5</w:t>
      </w:r>
    </w:p>
    <w:p w14:paraId="770BBF2A" w14:textId="532023BB" w:rsidR="003A764E" w:rsidRDefault="003A764E" w:rsidP="00823601">
      <w:pPr>
        <w:snapToGrid w:val="0"/>
        <w:spacing w:after="120"/>
        <w:jc w:val="right"/>
        <w:rPr>
          <w:i/>
          <w:lang w:val="en-GB" w:eastAsia="zh-CN"/>
        </w:rPr>
      </w:pPr>
      <w:r w:rsidRPr="00F44548">
        <w:rPr>
          <w:i/>
          <w:lang w:val="en-GB" w:eastAsia="zh-CN"/>
        </w:rPr>
        <w:t xml:space="preserve">Accepted: </w:t>
      </w:r>
      <w:r w:rsidR="00037234">
        <w:rPr>
          <w:i/>
          <w:lang w:val="en-GB" w:eastAsia="zh-CN"/>
        </w:rPr>
        <w:t>3</w:t>
      </w:r>
      <w:r w:rsidR="00365EC9">
        <w:rPr>
          <w:i/>
          <w:lang w:val="en-GB" w:eastAsia="zh-CN"/>
        </w:rPr>
        <w:t xml:space="preserve"> </w:t>
      </w:r>
      <w:r w:rsidR="00037234">
        <w:rPr>
          <w:i/>
          <w:lang w:val="en-GB" w:eastAsia="zh-CN"/>
        </w:rPr>
        <w:t>June</w:t>
      </w:r>
      <w:r w:rsidRPr="00F44548">
        <w:rPr>
          <w:i/>
          <w:lang w:val="en-GB" w:eastAsia="zh-CN"/>
        </w:rPr>
        <w:t xml:space="preserve"> 202</w:t>
      </w:r>
      <w:r w:rsidR="002D55ED">
        <w:rPr>
          <w:i/>
          <w:lang w:val="en-GB" w:eastAsia="zh-CN"/>
        </w:rPr>
        <w:t>5</w:t>
      </w:r>
    </w:p>
    <w:p w14:paraId="75C35BCA" w14:textId="26840BA8" w:rsidR="0089116E" w:rsidRPr="00F44548" w:rsidRDefault="0089116E" w:rsidP="00823601">
      <w:pPr>
        <w:snapToGrid w:val="0"/>
        <w:spacing w:after="120"/>
        <w:jc w:val="right"/>
        <w:rPr>
          <w:i/>
          <w:lang w:val="en-GB" w:eastAsia="zh-CN"/>
        </w:rPr>
      </w:pPr>
      <w:r>
        <w:rPr>
          <w:i/>
          <w:lang w:val="en-GB" w:eastAsia="zh-CN"/>
        </w:rPr>
        <w:t xml:space="preserve">Published online: </w:t>
      </w:r>
      <w:r w:rsidR="00037234">
        <w:rPr>
          <w:i/>
          <w:lang w:val="en-GB" w:eastAsia="zh-CN"/>
        </w:rPr>
        <w:t>2</w:t>
      </w:r>
      <w:r>
        <w:rPr>
          <w:i/>
          <w:lang w:val="en-GB" w:eastAsia="zh-CN"/>
        </w:rPr>
        <w:t xml:space="preserve"> </w:t>
      </w:r>
      <w:r w:rsidR="00037234">
        <w:rPr>
          <w:i/>
          <w:lang w:val="en-GB" w:eastAsia="zh-CN"/>
        </w:rPr>
        <w:t>July</w:t>
      </w:r>
      <w:r>
        <w:rPr>
          <w:i/>
          <w:lang w:val="en-GB" w:eastAsia="zh-CN"/>
        </w:rPr>
        <w:t xml:space="preserve"> 2025</w:t>
      </w:r>
    </w:p>
    <w:p w14:paraId="18B1A300" w14:textId="45102C5D" w:rsidR="003A764E" w:rsidRPr="00F44548" w:rsidRDefault="00C07D2E" w:rsidP="00823601">
      <w:pPr>
        <w:snapToGrid w:val="0"/>
        <w:spacing w:after="120"/>
        <w:jc w:val="right"/>
        <w:rPr>
          <w:i/>
          <w:lang w:val="en-GB" w:eastAsia="zh-CN"/>
        </w:rPr>
      </w:pPr>
      <w:r>
        <w:rPr>
          <w:i/>
          <w:lang w:val="en-GB" w:eastAsia="zh-CN"/>
        </w:rPr>
        <w:t xml:space="preserve">Edited by </w:t>
      </w:r>
      <w:r w:rsidR="00037234">
        <w:rPr>
          <w:i/>
          <w:lang w:val="en-GB" w:eastAsia="zh-CN"/>
        </w:rPr>
        <w:t>Federico Marrone</w:t>
      </w:r>
    </w:p>
    <w:p w14:paraId="17891276" w14:textId="16AC2EB3" w:rsidR="00852B0F" w:rsidRPr="00F44548" w:rsidRDefault="00852B0F" w:rsidP="00852B0F">
      <w:pPr>
        <w:spacing w:after="120"/>
        <w:jc w:val="both"/>
        <w:rPr>
          <w:highlight w:val="yellow"/>
          <w:lang w:val="en-GB"/>
        </w:rPr>
        <w:sectPr w:rsidR="00852B0F" w:rsidRPr="00F44548">
          <w:type w:val="continuous"/>
          <w:pgSz w:w="12240" w:h="15840"/>
          <w:pgMar w:top="1418" w:right="1134" w:bottom="1134" w:left="1134" w:header="709" w:footer="709" w:gutter="0"/>
          <w:cols w:num="2" w:space="708"/>
          <w:docGrid w:linePitch="360"/>
        </w:sectPr>
      </w:pPr>
    </w:p>
    <w:p w14:paraId="5B16CF3A" w14:textId="77777777" w:rsidR="00371E9C" w:rsidRPr="00F44548" w:rsidRDefault="00371E9C" w:rsidP="00852B0F">
      <w:pPr>
        <w:spacing w:after="120"/>
        <w:rPr>
          <w:i/>
          <w:lang w:val="en-GB" w:eastAsia="zh-CN"/>
        </w:rPr>
      </w:pPr>
    </w:p>
    <w:sectPr w:rsidR="00371E9C" w:rsidRPr="00F44548">
      <w:type w:val="continuous"/>
      <w:pgSz w:w="12240" w:h="15840"/>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223FE" w14:textId="77777777" w:rsidR="006F3AAD" w:rsidRDefault="006F3AAD">
      <w:r>
        <w:separator/>
      </w:r>
    </w:p>
  </w:endnote>
  <w:endnote w:type="continuationSeparator" w:id="0">
    <w:p w14:paraId="187CE549" w14:textId="77777777" w:rsidR="006F3AAD" w:rsidRDefault="006F3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DD3C9" w14:textId="5B580830" w:rsidR="008B2DB6" w:rsidRDefault="008B2DB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37FB3">
      <w:rPr>
        <w:rStyle w:val="PageNumber"/>
        <w:noProof/>
      </w:rPr>
      <w:t>8</w:t>
    </w:r>
    <w:r>
      <w:rPr>
        <w:rStyle w:val="PageNumber"/>
      </w:rPr>
      <w:fldChar w:fldCharType="end"/>
    </w:r>
  </w:p>
  <w:p w14:paraId="0F32B764" w14:textId="4F5C4150" w:rsidR="008B2DB6" w:rsidRDefault="008B2DB6" w:rsidP="00F44548">
    <w:pPr>
      <w:pStyle w:val="Footer"/>
      <w:ind w:right="-1" w:firstLine="360"/>
      <w:rPr>
        <w:i/>
        <w:sz w:val="22"/>
        <w:szCs w:val="22"/>
      </w:rPr>
    </w:pPr>
    <w:r>
      <w:rPr>
        <w:i/>
        <w:sz w:val="22"/>
        <w:szCs w:val="22"/>
      </w:rPr>
      <w:ptab w:relativeTo="margin" w:alignment="center" w:leader="none"/>
    </w:r>
    <w:proofErr w:type="spellStart"/>
    <w:r>
      <w:rPr>
        <w:i/>
        <w:sz w:val="22"/>
        <w:szCs w:val="22"/>
      </w:rPr>
      <w:t>Biogeographia</w:t>
    </w:r>
    <w:proofErr w:type="spellEnd"/>
    <w:r>
      <w:rPr>
        <w:i/>
        <w:sz w:val="22"/>
        <w:szCs w:val="22"/>
      </w:rPr>
      <w:t xml:space="preserve"> </w:t>
    </w:r>
    <w:r w:rsidR="00D85DE2">
      <w:rPr>
        <w:i/>
        <w:sz w:val="22"/>
        <w:szCs w:val="22"/>
      </w:rPr>
      <w:t>40</w:t>
    </w:r>
    <w:r>
      <w:rPr>
        <w:i/>
        <w:sz w:val="22"/>
        <w:szCs w:val="22"/>
      </w:rPr>
      <w:t xml:space="preserve"> (</w:t>
    </w:r>
    <w:r w:rsidR="00330458">
      <w:rPr>
        <w:i/>
        <w:sz w:val="22"/>
        <w:szCs w:val="22"/>
      </w:rPr>
      <w:t>2</w:t>
    </w:r>
    <w:r>
      <w:rPr>
        <w:i/>
        <w:sz w:val="22"/>
        <w:szCs w:val="22"/>
      </w:rPr>
      <w:t xml:space="preserve">): </w:t>
    </w:r>
    <w:r w:rsidR="00CF7BEC">
      <w:rPr>
        <w:i/>
        <w:sz w:val="22"/>
        <w:szCs w:val="22"/>
      </w:rPr>
      <w:t>a0</w:t>
    </w:r>
    <w:r w:rsidR="00D85DE2">
      <w:rPr>
        <w:i/>
        <w:sz w:val="22"/>
        <w:szCs w:val="22"/>
      </w:rPr>
      <w:t>4</w:t>
    </w:r>
    <w:r w:rsidR="00330458">
      <w:rPr>
        <w:i/>
        <w:sz w:val="22"/>
        <w:szCs w:val="22"/>
      </w:rPr>
      <w:t>8</w:t>
    </w:r>
    <w:r>
      <w:rPr>
        <w:i/>
        <w:sz w:val="22"/>
        <w:szCs w:val="22"/>
      </w:rPr>
      <w:ptab w:relativeTo="margin" w:alignment="right" w:leader="none"/>
    </w:r>
    <w:r w:rsidR="00330458">
      <w:rPr>
        <w:i/>
        <w:sz w:val="22"/>
        <w:szCs w:val="22"/>
      </w:rPr>
      <w:t>Mori</w:t>
    </w:r>
    <w:r w:rsidR="00140487">
      <w:rPr>
        <w:i/>
        <w:sz w:val="22"/>
        <w:szCs w:val="22"/>
      </w:rPr>
      <w:t xml:space="preserve"> et al.</w:t>
    </w:r>
    <w:r>
      <w:rPr>
        <w:i/>
        <w:sz w:val="22"/>
        <w:szCs w:val="22"/>
      </w:rPr>
      <w:t>, 202</w:t>
    </w:r>
    <w:r w:rsidR="00D85DE2">
      <w:rPr>
        <w:i/>
        <w:sz w:val="22"/>
        <w:szCs w:val="22"/>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E3E25" w14:textId="1BD37C44" w:rsidR="008B2DB6" w:rsidRDefault="008B2DB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37FB3">
      <w:rPr>
        <w:rStyle w:val="PageNumber"/>
        <w:noProof/>
      </w:rPr>
      <w:t>9</w:t>
    </w:r>
    <w:r>
      <w:rPr>
        <w:rStyle w:val="PageNumber"/>
      </w:rPr>
      <w:fldChar w:fldCharType="end"/>
    </w:r>
  </w:p>
  <w:p w14:paraId="3B430475" w14:textId="3AAFDC82" w:rsidR="008B2DB6" w:rsidRDefault="00330458">
    <w:pPr>
      <w:pStyle w:val="Footer"/>
      <w:ind w:right="360"/>
    </w:pPr>
    <w:r>
      <w:rPr>
        <w:i/>
        <w:sz w:val="22"/>
        <w:szCs w:val="22"/>
      </w:rPr>
      <w:t>Mori</w:t>
    </w:r>
    <w:r w:rsidR="00140487">
      <w:rPr>
        <w:i/>
        <w:sz w:val="22"/>
        <w:szCs w:val="22"/>
      </w:rPr>
      <w:t xml:space="preserve"> et al.</w:t>
    </w:r>
    <w:r w:rsidR="00D85DE2" w:rsidRPr="00D85DE2">
      <w:rPr>
        <w:i/>
        <w:sz w:val="22"/>
        <w:szCs w:val="22"/>
      </w:rPr>
      <w:t>, 2025</w:t>
    </w:r>
    <w:r w:rsidR="008B2DB6">
      <w:rPr>
        <w:i/>
        <w:sz w:val="22"/>
        <w:szCs w:val="22"/>
      </w:rPr>
      <w:ptab w:relativeTo="margin" w:alignment="center" w:leader="none"/>
    </w:r>
    <w:proofErr w:type="spellStart"/>
    <w:r w:rsidR="008B2DB6">
      <w:rPr>
        <w:i/>
        <w:sz w:val="22"/>
        <w:szCs w:val="22"/>
      </w:rPr>
      <w:t>Biogeographia</w:t>
    </w:r>
    <w:proofErr w:type="spellEnd"/>
    <w:r w:rsidR="008B2DB6">
      <w:rPr>
        <w:i/>
        <w:sz w:val="22"/>
        <w:szCs w:val="22"/>
      </w:rPr>
      <w:t xml:space="preserve"> </w:t>
    </w:r>
    <w:r w:rsidR="00D85DE2">
      <w:rPr>
        <w:i/>
        <w:sz w:val="22"/>
        <w:szCs w:val="22"/>
      </w:rPr>
      <w:t>40</w:t>
    </w:r>
    <w:r w:rsidR="008B2DB6">
      <w:rPr>
        <w:i/>
        <w:sz w:val="22"/>
        <w:szCs w:val="22"/>
      </w:rPr>
      <w:t xml:space="preserve"> (</w:t>
    </w:r>
    <w:r>
      <w:rPr>
        <w:i/>
        <w:sz w:val="22"/>
        <w:szCs w:val="22"/>
      </w:rPr>
      <w:t>2</w:t>
    </w:r>
    <w:r w:rsidR="008B2DB6">
      <w:rPr>
        <w:i/>
        <w:sz w:val="22"/>
        <w:szCs w:val="22"/>
      </w:rPr>
      <w:t xml:space="preserve">): </w:t>
    </w:r>
    <w:r w:rsidR="00CF7BEC">
      <w:rPr>
        <w:i/>
        <w:sz w:val="22"/>
        <w:szCs w:val="22"/>
      </w:rPr>
      <w:t>a0</w:t>
    </w:r>
    <w:r w:rsidR="00D85DE2">
      <w:rPr>
        <w:i/>
        <w:sz w:val="22"/>
        <w:szCs w:val="22"/>
      </w:rPr>
      <w:t>4</w:t>
    </w:r>
    <w:r>
      <w:rPr>
        <w:i/>
        <w:sz w:val="22"/>
        <w:szCs w:val="22"/>
      </w:rPr>
      <w:t>8</w:t>
    </w:r>
    <w:r w:rsidR="008B2DB6">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E2513" w14:textId="77777777" w:rsidR="006F3AAD" w:rsidRDefault="006F3AAD">
      <w:r>
        <w:separator/>
      </w:r>
    </w:p>
  </w:footnote>
  <w:footnote w:type="continuationSeparator" w:id="0">
    <w:p w14:paraId="1E957E14" w14:textId="77777777" w:rsidR="006F3AAD" w:rsidRDefault="006F3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E133" w14:textId="77777777" w:rsidR="005C14D8" w:rsidRDefault="005C14D8" w:rsidP="005C14D8">
    <w:pPr>
      <w:pStyle w:val="Header"/>
      <w:jc w:val="right"/>
    </w:pPr>
    <w:r>
      <w:rPr>
        <w:i/>
        <w:noProof/>
        <w:lang w:val="en-GB" w:eastAsia="en-GB"/>
      </w:rPr>
      <w:drawing>
        <wp:inline distT="0" distB="0" distL="0" distR="0" wp14:anchorId="27D4D308" wp14:editId="2AB0A3A3">
          <wp:extent cx="1935250" cy="496427"/>
          <wp:effectExtent l="0" t="0" r="0" b="0"/>
          <wp:docPr id="48707190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71905" name="Picture 1" descr="A close-up of a logo&#10;&#10;Description automatically generated"/>
                  <pic:cNvPicPr/>
                </pic:nvPicPr>
                <pic:blipFill>
                  <a:blip r:embed="rId1"/>
                  <a:stretch>
                    <a:fillRect/>
                  </a:stretch>
                </pic:blipFill>
                <pic:spPr>
                  <a:xfrm>
                    <a:off x="0" y="0"/>
                    <a:ext cx="2121300" cy="544152"/>
                  </a:xfrm>
                  <a:prstGeom prst="rect">
                    <a:avLst/>
                  </a:prstGeom>
                </pic:spPr>
              </pic:pic>
            </a:graphicData>
          </a:graphic>
        </wp:inline>
      </w:drawing>
    </w:r>
  </w:p>
  <w:p w14:paraId="4EF81B54" w14:textId="7CBC09AB" w:rsidR="005C14D8" w:rsidRDefault="005C14D8" w:rsidP="005C14D8">
    <w:pPr>
      <w:pStyle w:val="Header"/>
      <w:jc w:val="right"/>
    </w:pPr>
    <w:r>
      <w:rPr>
        <w:noProof/>
        <w:lang w:val="en-GB" w:eastAsia="en-GB"/>
      </w:rPr>
      <mc:AlternateContent>
        <mc:Choice Requires="wps">
          <w:drawing>
            <wp:anchor distT="0" distB="0" distL="114300" distR="114300" simplePos="0" relativeHeight="251659264" behindDoc="0" locked="0" layoutInCell="1" allowOverlap="1" wp14:anchorId="558273DD" wp14:editId="08A3C25A">
              <wp:simplePos x="0" y="0"/>
              <wp:positionH relativeFrom="column">
                <wp:posOffset>4396</wp:posOffset>
              </wp:positionH>
              <wp:positionV relativeFrom="paragraph">
                <wp:posOffset>80792</wp:posOffset>
              </wp:positionV>
              <wp:extent cx="6330999" cy="0"/>
              <wp:effectExtent l="0" t="0" r="6350" b="12700"/>
              <wp:wrapNone/>
              <wp:docPr id="1644593687" name="Straight Connector 8"/>
              <wp:cNvGraphicFramePr/>
              <a:graphic xmlns:a="http://schemas.openxmlformats.org/drawingml/2006/main">
                <a:graphicData uri="http://schemas.microsoft.com/office/word/2010/wordprocessingShape">
                  <wps:wsp>
                    <wps:cNvCnPr/>
                    <wps:spPr>
                      <a:xfrm flipH="1">
                        <a:off x="0" y="0"/>
                        <a:ext cx="633099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61D16D" id="Straight Connector 8"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5pt,6.35pt" to="498.8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" strokecolor="#4579b8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D655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7829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028B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78B8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ACC0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B414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BE9D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6A1C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10E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103B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570E4"/>
    <w:multiLevelType w:val="hybridMultilevel"/>
    <w:tmpl w:val="4446851E"/>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15:restartNumberingAfterBreak="0">
    <w:nsid w:val="1AAD0FC4"/>
    <w:multiLevelType w:val="hybridMultilevel"/>
    <w:tmpl w:val="F2D6B3C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15:restartNumberingAfterBreak="0">
    <w:nsid w:val="24B57350"/>
    <w:multiLevelType w:val="multilevel"/>
    <w:tmpl w:val="1178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DD5848"/>
    <w:multiLevelType w:val="hybridMultilevel"/>
    <w:tmpl w:val="6A8A8CA6"/>
    <w:lvl w:ilvl="0" w:tplc="B17A44C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711FD8"/>
    <w:multiLevelType w:val="hybridMultilevel"/>
    <w:tmpl w:val="9B5A3490"/>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5" w15:restartNumberingAfterBreak="0">
    <w:nsid w:val="475C4FAA"/>
    <w:multiLevelType w:val="hybridMultilevel"/>
    <w:tmpl w:val="D102C366"/>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num w:numId="1" w16cid:durableId="221604956">
    <w:abstractNumId w:val="10"/>
  </w:num>
  <w:num w:numId="2" w16cid:durableId="765003769">
    <w:abstractNumId w:val="15"/>
  </w:num>
  <w:num w:numId="3" w16cid:durableId="1477069900">
    <w:abstractNumId w:val="14"/>
  </w:num>
  <w:num w:numId="4" w16cid:durableId="2025400410">
    <w:abstractNumId w:val="11"/>
  </w:num>
  <w:num w:numId="5" w16cid:durableId="2138142361">
    <w:abstractNumId w:val="9"/>
  </w:num>
  <w:num w:numId="6" w16cid:durableId="121465848">
    <w:abstractNumId w:val="0"/>
  </w:num>
  <w:num w:numId="7" w16cid:durableId="50426792">
    <w:abstractNumId w:val="1"/>
  </w:num>
  <w:num w:numId="8" w16cid:durableId="1179277048">
    <w:abstractNumId w:val="2"/>
  </w:num>
  <w:num w:numId="9" w16cid:durableId="876503427">
    <w:abstractNumId w:val="3"/>
  </w:num>
  <w:num w:numId="10" w16cid:durableId="1448625920">
    <w:abstractNumId w:val="8"/>
  </w:num>
  <w:num w:numId="11" w16cid:durableId="532380303">
    <w:abstractNumId w:val="4"/>
  </w:num>
  <w:num w:numId="12" w16cid:durableId="1746877266">
    <w:abstractNumId w:val="5"/>
  </w:num>
  <w:num w:numId="13" w16cid:durableId="1581328125">
    <w:abstractNumId w:val="6"/>
  </w:num>
  <w:num w:numId="14" w16cid:durableId="2126926299">
    <w:abstractNumId w:val="7"/>
  </w:num>
  <w:num w:numId="15" w16cid:durableId="1064375468">
    <w:abstractNumId w:val="12"/>
  </w:num>
  <w:num w:numId="16" w16cid:durableId="13193363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E9C"/>
    <w:rsid w:val="00030ED2"/>
    <w:rsid w:val="0003385B"/>
    <w:rsid w:val="00037234"/>
    <w:rsid w:val="00040C15"/>
    <w:rsid w:val="00045B6C"/>
    <w:rsid w:val="00051C7C"/>
    <w:rsid w:val="00057019"/>
    <w:rsid w:val="000663F3"/>
    <w:rsid w:val="00073333"/>
    <w:rsid w:val="0007664C"/>
    <w:rsid w:val="00082080"/>
    <w:rsid w:val="00082CD7"/>
    <w:rsid w:val="000A02CF"/>
    <w:rsid w:val="000A4F22"/>
    <w:rsid w:val="000A587F"/>
    <w:rsid w:val="000A7DF1"/>
    <w:rsid w:val="000C04BA"/>
    <w:rsid w:val="000C717E"/>
    <w:rsid w:val="000C7E12"/>
    <w:rsid w:val="000D30C3"/>
    <w:rsid w:val="000E1EB2"/>
    <w:rsid w:val="000F193F"/>
    <w:rsid w:val="00104EA7"/>
    <w:rsid w:val="00106CC1"/>
    <w:rsid w:val="00121087"/>
    <w:rsid w:val="001215AC"/>
    <w:rsid w:val="00136123"/>
    <w:rsid w:val="00140487"/>
    <w:rsid w:val="00143CE1"/>
    <w:rsid w:val="00146E7C"/>
    <w:rsid w:val="00153B73"/>
    <w:rsid w:val="00161491"/>
    <w:rsid w:val="00162F0E"/>
    <w:rsid w:val="00171CB3"/>
    <w:rsid w:val="00172D73"/>
    <w:rsid w:val="001820A1"/>
    <w:rsid w:val="00186704"/>
    <w:rsid w:val="001A0FCA"/>
    <w:rsid w:val="001B728B"/>
    <w:rsid w:val="001C3A44"/>
    <w:rsid w:val="001E67D5"/>
    <w:rsid w:val="001E706F"/>
    <w:rsid w:val="001F36FC"/>
    <w:rsid w:val="001F51D6"/>
    <w:rsid w:val="001F5755"/>
    <w:rsid w:val="00204041"/>
    <w:rsid w:val="00206E3C"/>
    <w:rsid w:val="00214692"/>
    <w:rsid w:val="00220B2B"/>
    <w:rsid w:val="0022218B"/>
    <w:rsid w:val="002441DE"/>
    <w:rsid w:val="00251F29"/>
    <w:rsid w:val="00256C6E"/>
    <w:rsid w:val="00261327"/>
    <w:rsid w:val="00267172"/>
    <w:rsid w:val="002712E6"/>
    <w:rsid w:val="00286D17"/>
    <w:rsid w:val="0029116C"/>
    <w:rsid w:val="0029295A"/>
    <w:rsid w:val="00294741"/>
    <w:rsid w:val="002B2AB4"/>
    <w:rsid w:val="002C61A5"/>
    <w:rsid w:val="002D55ED"/>
    <w:rsid w:val="002D5EE9"/>
    <w:rsid w:val="002E109F"/>
    <w:rsid w:val="002E2B3B"/>
    <w:rsid w:val="002F420E"/>
    <w:rsid w:val="002F5A65"/>
    <w:rsid w:val="00305859"/>
    <w:rsid w:val="003171A4"/>
    <w:rsid w:val="00323540"/>
    <w:rsid w:val="003235A8"/>
    <w:rsid w:val="00330458"/>
    <w:rsid w:val="00336B13"/>
    <w:rsid w:val="00340FD1"/>
    <w:rsid w:val="00353050"/>
    <w:rsid w:val="00365EC9"/>
    <w:rsid w:val="00371E9C"/>
    <w:rsid w:val="003804F4"/>
    <w:rsid w:val="003827F8"/>
    <w:rsid w:val="00394D2D"/>
    <w:rsid w:val="00395514"/>
    <w:rsid w:val="00395C7F"/>
    <w:rsid w:val="003A764E"/>
    <w:rsid w:val="003D354E"/>
    <w:rsid w:val="003E59DA"/>
    <w:rsid w:val="00417272"/>
    <w:rsid w:val="004216D8"/>
    <w:rsid w:val="00422D5D"/>
    <w:rsid w:val="00425849"/>
    <w:rsid w:val="00431125"/>
    <w:rsid w:val="00437FB3"/>
    <w:rsid w:val="004441AC"/>
    <w:rsid w:val="00444422"/>
    <w:rsid w:val="0044684D"/>
    <w:rsid w:val="0046166B"/>
    <w:rsid w:val="00464704"/>
    <w:rsid w:val="004967A2"/>
    <w:rsid w:val="004A7FDF"/>
    <w:rsid w:val="004B3F57"/>
    <w:rsid w:val="004C03C1"/>
    <w:rsid w:val="004D3E17"/>
    <w:rsid w:val="004F0386"/>
    <w:rsid w:val="004F2888"/>
    <w:rsid w:val="00514D9F"/>
    <w:rsid w:val="00522BFF"/>
    <w:rsid w:val="00524AAF"/>
    <w:rsid w:val="00535CE0"/>
    <w:rsid w:val="005513AD"/>
    <w:rsid w:val="00552619"/>
    <w:rsid w:val="00563D2F"/>
    <w:rsid w:val="00567912"/>
    <w:rsid w:val="00567B6A"/>
    <w:rsid w:val="005713BC"/>
    <w:rsid w:val="00571500"/>
    <w:rsid w:val="005766F4"/>
    <w:rsid w:val="00577A33"/>
    <w:rsid w:val="00577E8D"/>
    <w:rsid w:val="00581937"/>
    <w:rsid w:val="005822D3"/>
    <w:rsid w:val="00583B39"/>
    <w:rsid w:val="00584E7C"/>
    <w:rsid w:val="005942C2"/>
    <w:rsid w:val="005965DB"/>
    <w:rsid w:val="005A0520"/>
    <w:rsid w:val="005B441D"/>
    <w:rsid w:val="005C0B6C"/>
    <w:rsid w:val="005C14D8"/>
    <w:rsid w:val="005D7906"/>
    <w:rsid w:val="005E375C"/>
    <w:rsid w:val="005F2456"/>
    <w:rsid w:val="005F2D39"/>
    <w:rsid w:val="005F45BD"/>
    <w:rsid w:val="00603EBC"/>
    <w:rsid w:val="00607F62"/>
    <w:rsid w:val="00626218"/>
    <w:rsid w:val="00637455"/>
    <w:rsid w:val="006455D6"/>
    <w:rsid w:val="0064574E"/>
    <w:rsid w:val="00647DEF"/>
    <w:rsid w:val="00653A19"/>
    <w:rsid w:val="006608A7"/>
    <w:rsid w:val="00671CAD"/>
    <w:rsid w:val="00676081"/>
    <w:rsid w:val="0068706C"/>
    <w:rsid w:val="00693CDC"/>
    <w:rsid w:val="006A7A4F"/>
    <w:rsid w:val="006B22F8"/>
    <w:rsid w:val="006C38A9"/>
    <w:rsid w:val="006D240F"/>
    <w:rsid w:val="006E2423"/>
    <w:rsid w:val="006E5878"/>
    <w:rsid w:val="006F3AAD"/>
    <w:rsid w:val="006F4F25"/>
    <w:rsid w:val="0070226A"/>
    <w:rsid w:val="00712607"/>
    <w:rsid w:val="00715802"/>
    <w:rsid w:val="0071754D"/>
    <w:rsid w:val="0072025F"/>
    <w:rsid w:val="00727EF8"/>
    <w:rsid w:val="007301C1"/>
    <w:rsid w:val="00732985"/>
    <w:rsid w:val="00732ABD"/>
    <w:rsid w:val="00734775"/>
    <w:rsid w:val="00747AD0"/>
    <w:rsid w:val="00771266"/>
    <w:rsid w:val="00771D75"/>
    <w:rsid w:val="00777E2D"/>
    <w:rsid w:val="007863AA"/>
    <w:rsid w:val="007943FC"/>
    <w:rsid w:val="007A49AC"/>
    <w:rsid w:val="007B032E"/>
    <w:rsid w:val="007B5C44"/>
    <w:rsid w:val="007C4A08"/>
    <w:rsid w:val="007C5499"/>
    <w:rsid w:val="007D36F4"/>
    <w:rsid w:val="007E4280"/>
    <w:rsid w:val="007F0DDD"/>
    <w:rsid w:val="0080653A"/>
    <w:rsid w:val="00823601"/>
    <w:rsid w:val="008319E4"/>
    <w:rsid w:val="008347D0"/>
    <w:rsid w:val="0084479D"/>
    <w:rsid w:val="00844C25"/>
    <w:rsid w:val="00852B0F"/>
    <w:rsid w:val="008629FE"/>
    <w:rsid w:val="008664FD"/>
    <w:rsid w:val="0088626A"/>
    <w:rsid w:val="0089116E"/>
    <w:rsid w:val="00894F95"/>
    <w:rsid w:val="008A2A36"/>
    <w:rsid w:val="008B271F"/>
    <w:rsid w:val="008B2DB6"/>
    <w:rsid w:val="008D4DF4"/>
    <w:rsid w:val="008E025D"/>
    <w:rsid w:val="008F28FC"/>
    <w:rsid w:val="00912C49"/>
    <w:rsid w:val="00913F02"/>
    <w:rsid w:val="00916A70"/>
    <w:rsid w:val="009527F4"/>
    <w:rsid w:val="00955C5D"/>
    <w:rsid w:val="00956A04"/>
    <w:rsid w:val="009741E9"/>
    <w:rsid w:val="00976A30"/>
    <w:rsid w:val="00982A01"/>
    <w:rsid w:val="00983B2B"/>
    <w:rsid w:val="009854B9"/>
    <w:rsid w:val="00992C6F"/>
    <w:rsid w:val="00993ABC"/>
    <w:rsid w:val="009A1FEC"/>
    <w:rsid w:val="009D08BC"/>
    <w:rsid w:val="009D6BE5"/>
    <w:rsid w:val="009F5149"/>
    <w:rsid w:val="009F5445"/>
    <w:rsid w:val="00A00382"/>
    <w:rsid w:val="00A04014"/>
    <w:rsid w:val="00A07F4F"/>
    <w:rsid w:val="00A1774A"/>
    <w:rsid w:val="00A505B3"/>
    <w:rsid w:val="00A5265B"/>
    <w:rsid w:val="00A5472C"/>
    <w:rsid w:val="00A56CD5"/>
    <w:rsid w:val="00A62D8A"/>
    <w:rsid w:val="00A72ACF"/>
    <w:rsid w:val="00A73761"/>
    <w:rsid w:val="00A779E5"/>
    <w:rsid w:val="00A84C7A"/>
    <w:rsid w:val="00A91EBF"/>
    <w:rsid w:val="00AB106B"/>
    <w:rsid w:val="00AB2A1F"/>
    <w:rsid w:val="00AB3526"/>
    <w:rsid w:val="00AD3453"/>
    <w:rsid w:val="00AD5CBE"/>
    <w:rsid w:val="00AE3CB6"/>
    <w:rsid w:val="00AE59A3"/>
    <w:rsid w:val="00B02450"/>
    <w:rsid w:val="00B02C81"/>
    <w:rsid w:val="00B114B1"/>
    <w:rsid w:val="00B2705F"/>
    <w:rsid w:val="00B347EB"/>
    <w:rsid w:val="00B34B6C"/>
    <w:rsid w:val="00B36587"/>
    <w:rsid w:val="00B44031"/>
    <w:rsid w:val="00B5290D"/>
    <w:rsid w:val="00B61FDA"/>
    <w:rsid w:val="00B64B79"/>
    <w:rsid w:val="00B72781"/>
    <w:rsid w:val="00B743DB"/>
    <w:rsid w:val="00B8045A"/>
    <w:rsid w:val="00B82DA8"/>
    <w:rsid w:val="00B840E9"/>
    <w:rsid w:val="00B90CF5"/>
    <w:rsid w:val="00BA27EB"/>
    <w:rsid w:val="00BB1823"/>
    <w:rsid w:val="00BB50A0"/>
    <w:rsid w:val="00BC2015"/>
    <w:rsid w:val="00BD49AA"/>
    <w:rsid w:val="00BF3455"/>
    <w:rsid w:val="00C0404D"/>
    <w:rsid w:val="00C04B2A"/>
    <w:rsid w:val="00C07831"/>
    <w:rsid w:val="00C07D2E"/>
    <w:rsid w:val="00C102A8"/>
    <w:rsid w:val="00C16861"/>
    <w:rsid w:val="00C21B2F"/>
    <w:rsid w:val="00C271D7"/>
    <w:rsid w:val="00C34131"/>
    <w:rsid w:val="00C379D3"/>
    <w:rsid w:val="00C7194F"/>
    <w:rsid w:val="00C77797"/>
    <w:rsid w:val="00C810EF"/>
    <w:rsid w:val="00C979E6"/>
    <w:rsid w:val="00CA1C92"/>
    <w:rsid w:val="00CA4DA3"/>
    <w:rsid w:val="00CB04A7"/>
    <w:rsid w:val="00CC1890"/>
    <w:rsid w:val="00CF6B88"/>
    <w:rsid w:val="00CF6DE8"/>
    <w:rsid w:val="00CF7BEC"/>
    <w:rsid w:val="00D03522"/>
    <w:rsid w:val="00D35045"/>
    <w:rsid w:val="00D36FD2"/>
    <w:rsid w:val="00D505E3"/>
    <w:rsid w:val="00D532C5"/>
    <w:rsid w:val="00D53F1B"/>
    <w:rsid w:val="00D57B86"/>
    <w:rsid w:val="00D62967"/>
    <w:rsid w:val="00D66F61"/>
    <w:rsid w:val="00D72955"/>
    <w:rsid w:val="00D75A16"/>
    <w:rsid w:val="00D82921"/>
    <w:rsid w:val="00D85DE2"/>
    <w:rsid w:val="00DA2C62"/>
    <w:rsid w:val="00DB5F34"/>
    <w:rsid w:val="00DC28D5"/>
    <w:rsid w:val="00DD7800"/>
    <w:rsid w:val="00DE628D"/>
    <w:rsid w:val="00DF1DE5"/>
    <w:rsid w:val="00E00E03"/>
    <w:rsid w:val="00E0534D"/>
    <w:rsid w:val="00E13C6D"/>
    <w:rsid w:val="00E273DF"/>
    <w:rsid w:val="00E309E8"/>
    <w:rsid w:val="00E35B09"/>
    <w:rsid w:val="00E47B31"/>
    <w:rsid w:val="00E51AFB"/>
    <w:rsid w:val="00E63022"/>
    <w:rsid w:val="00E83879"/>
    <w:rsid w:val="00E870AA"/>
    <w:rsid w:val="00E91D9E"/>
    <w:rsid w:val="00E96CB8"/>
    <w:rsid w:val="00EA03CF"/>
    <w:rsid w:val="00EB2379"/>
    <w:rsid w:val="00ED3F43"/>
    <w:rsid w:val="00EE2296"/>
    <w:rsid w:val="00EE2768"/>
    <w:rsid w:val="00EE392E"/>
    <w:rsid w:val="00F03D41"/>
    <w:rsid w:val="00F043AA"/>
    <w:rsid w:val="00F1441C"/>
    <w:rsid w:val="00F16216"/>
    <w:rsid w:val="00F21240"/>
    <w:rsid w:val="00F4167A"/>
    <w:rsid w:val="00F41B85"/>
    <w:rsid w:val="00F422EB"/>
    <w:rsid w:val="00F44548"/>
    <w:rsid w:val="00F453FC"/>
    <w:rsid w:val="00F46AC8"/>
    <w:rsid w:val="00F509C1"/>
    <w:rsid w:val="00F514B5"/>
    <w:rsid w:val="00F64FFC"/>
    <w:rsid w:val="00F66738"/>
    <w:rsid w:val="00F7163C"/>
    <w:rsid w:val="00F73475"/>
    <w:rsid w:val="00F77DA9"/>
    <w:rsid w:val="00F82D21"/>
    <w:rsid w:val="00FA6C9A"/>
    <w:rsid w:val="00FC05D8"/>
    <w:rsid w:val="00FC135C"/>
    <w:rsid w:val="00FC7918"/>
    <w:rsid w:val="00FD78EF"/>
    <w:rsid w:val="00FE220D"/>
    <w:rsid w:val="00FE5FD6"/>
    <w:rsid w:val="00FF319A"/>
  </w:rsids>
  <m:mathPr>
    <m:mathFont m:val="Cambria Math"/>
    <m:brkBin m:val="before"/>
    <m:brkBinSub m:val="--"/>
    <m:smallFrac/>
    <m:dispDef/>
    <m:lMargin m:val="0"/>
    <m:rMargin m:val="0"/>
    <m:defJc m:val="centerGroup"/>
    <m:wrapIndent m:val="1440"/>
    <m:intLim m:val="subSup"/>
    <m:naryLim m:val="undOvr"/>
  </m:mathPr>
  <w:attachedSchema w:val="urn:schemas:contacts"/>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0758BD"/>
  <w15:docId w15:val="{3C4D71B0-5DD3-6344-A018-6D8D27BC7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semiHidden="1" w:uiPriority="0" w:unhideWhenUsed="1"/>
    <w:lsdException w:name="List 2" w:semiHidden="1" w:unhideWhenUsed="1"/>
    <w:lsdException w:name="List 3" w:semiHidden="1" w:unhideWhenUsed="1"/>
    <w:lsdException w:name="List 4" w:locked="1" w:semiHidden="1" w:uiPriority="0" w:unhideWhenUsed="1"/>
    <w:lsdException w:name="List 5" w:locked="1" w:semiHidden="1" w:uiPriority="0"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uiPriority="0"/>
    <w:lsdException w:name="List Number 3" w:locked="1" w:semiHidden="1" w:uiPriority="0" w:unhideWhenUsed="1"/>
    <w:lsdException w:name="List Number 4" w:locked="1" w:semiHidden="1" w:uiPriority="0" w:unhideWhenUsed="1"/>
    <w:lsdException w:name="List Number 5" w:locked="1" w:uiPriority="0"/>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locked="1" w:uiPriority="0"/>
    <w:lsdException w:name="Hyperlink" w:locked="1" w:uiPriority="0"/>
    <w:lsdException w:name="FollowedHyperlink" w:lock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locked/>
    <w:rsid w:val="00F82D21"/>
    <w:pPr>
      <w:keepNext/>
      <w:keepLines/>
      <w:spacing w:before="400" w:after="120" w:line="276" w:lineRule="auto"/>
      <w:outlineLvl w:val="0"/>
    </w:pPr>
    <w:rPr>
      <w:rFonts w:ascii="Arial" w:eastAsia="Arial" w:hAnsi="Arial" w:cs="Arial"/>
      <w:color w:val="4A86E8"/>
      <w:sz w:val="40"/>
      <w:szCs w:val="40"/>
      <w:lang w:val="it" w:eastAsia="en-GB"/>
    </w:rPr>
  </w:style>
  <w:style w:type="paragraph" w:styleId="Heading2">
    <w:name w:val="heading 2"/>
    <w:basedOn w:val="Normal"/>
    <w:next w:val="Normal"/>
    <w:link w:val="Heading2Char"/>
    <w:uiPriority w:val="9"/>
    <w:unhideWhenUsed/>
    <w:qFormat/>
    <w:locked/>
    <w:rsid w:val="00F82D21"/>
    <w:pPr>
      <w:keepNext/>
      <w:keepLines/>
      <w:spacing w:before="360" w:after="120" w:line="276" w:lineRule="auto"/>
      <w:outlineLvl w:val="1"/>
    </w:pPr>
    <w:rPr>
      <w:rFonts w:ascii="Arial" w:eastAsia="Arial" w:hAnsi="Arial" w:cs="Arial"/>
      <w:color w:val="4A86E8"/>
      <w:sz w:val="32"/>
      <w:szCs w:val="32"/>
      <w:lang w:val="it" w:eastAsia="en-GB"/>
    </w:rPr>
  </w:style>
  <w:style w:type="paragraph" w:styleId="Heading3">
    <w:name w:val="heading 3"/>
    <w:basedOn w:val="Normal"/>
    <w:next w:val="Normal"/>
    <w:link w:val="Heading3Char"/>
    <w:uiPriority w:val="9"/>
    <w:semiHidden/>
    <w:unhideWhenUsed/>
    <w:qFormat/>
    <w:locked/>
    <w:rsid w:val="00F82D21"/>
    <w:pPr>
      <w:keepNext/>
      <w:keepLines/>
      <w:spacing w:before="320" w:after="80" w:line="276" w:lineRule="auto"/>
      <w:outlineLvl w:val="2"/>
    </w:pPr>
    <w:rPr>
      <w:rFonts w:ascii="Arial" w:eastAsia="Arial" w:hAnsi="Arial" w:cs="Arial"/>
      <w:color w:val="434343"/>
      <w:sz w:val="28"/>
      <w:szCs w:val="28"/>
      <w:lang w:val="it" w:eastAsia="en-GB"/>
    </w:rPr>
  </w:style>
  <w:style w:type="paragraph" w:styleId="Heading4">
    <w:name w:val="heading 4"/>
    <w:basedOn w:val="Normal"/>
    <w:next w:val="Normal"/>
    <w:link w:val="Heading4Char"/>
    <w:uiPriority w:val="9"/>
    <w:semiHidden/>
    <w:unhideWhenUsed/>
    <w:qFormat/>
    <w:locked/>
    <w:rsid w:val="00F82D21"/>
    <w:pPr>
      <w:keepNext/>
      <w:keepLines/>
      <w:spacing w:before="280" w:after="80" w:line="276" w:lineRule="auto"/>
      <w:outlineLvl w:val="3"/>
    </w:pPr>
    <w:rPr>
      <w:rFonts w:ascii="Arial" w:eastAsia="Arial" w:hAnsi="Arial" w:cs="Arial"/>
      <w:color w:val="666666"/>
      <w:lang w:val="it" w:eastAsia="en-GB"/>
    </w:rPr>
  </w:style>
  <w:style w:type="paragraph" w:styleId="Heading5">
    <w:name w:val="heading 5"/>
    <w:basedOn w:val="Normal"/>
    <w:next w:val="Normal"/>
    <w:link w:val="Heading5Char"/>
    <w:uiPriority w:val="9"/>
    <w:semiHidden/>
    <w:unhideWhenUsed/>
    <w:qFormat/>
    <w:locked/>
    <w:rsid w:val="00F82D21"/>
    <w:pPr>
      <w:keepNext/>
      <w:keepLines/>
      <w:spacing w:before="240" w:after="80" w:line="276" w:lineRule="auto"/>
      <w:outlineLvl w:val="4"/>
    </w:pPr>
    <w:rPr>
      <w:rFonts w:ascii="Arial" w:eastAsia="Arial" w:hAnsi="Arial" w:cs="Arial"/>
      <w:color w:val="666666"/>
      <w:sz w:val="22"/>
      <w:szCs w:val="22"/>
      <w:lang w:val="it" w:eastAsia="en-GB"/>
    </w:rPr>
  </w:style>
  <w:style w:type="paragraph" w:styleId="Heading6">
    <w:name w:val="heading 6"/>
    <w:basedOn w:val="Normal"/>
    <w:next w:val="Normal"/>
    <w:link w:val="Heading6Char"/>
    <w:uiPriority w:val="9"/>
    <w:semiHidden/>
    <w:unhideWhenUsed/>
    <w:qFormat/>
    <w:locked/>
    <w:rsid w:val="00F82D21"/>
    <w:pPr>
      <w:keepNext/>
      <w:keepLines/>
      <w:spacing w:before="240" w:after="80" w:line="276" w:lineRule="auto"/>
      <w:outlineLvl w:val="5"/>
    </w:pPr>
    <w:rPr>
      <w:rFonts w:ascii="Arial" w:eastAsia="Arial" w:hAnsi="Arial" w:cs="Arial"/>
      <w:i/>
      <w:color w:val="666666"/>
      <w:sz w:val="22"/>
      <w:szCs w:val="22"/>
      <w:lang w:val="it"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rFonts w:cs="Times New Roman"/>
      <w:color w:val="0000FF"/>
      <w:u w:val="single"/>
    </w:rPr>
  </w:style>
  <w:style w:type="paragraph" w:styleId="BalloonText">
    <w:name w:val="Balloon Text"/>
    <w:basedOn w:val="Normal"/>
    <w:link w:val="BalloonTextChar"/>
    <w:semiHidden/>
  </w:style>
  <w:style w:type="character" w:customStyle="1" w:styleId="BalloonTextChar">
    <w:name w:val="Balloon Text Char"/>
    <w:link w:val="BalloonText"/>
    <w:uiPriority w:val="99"/>
    <w:semiHidden/>
    <w:locked/>
    <w:rPr>
      <w:sz w:val="24"/>
      <w:szCs w:val="24"/>
    </w:rPr>
  </w:style>
  <w:style w:type="character" w:styleId="CommentReference">
    <w:name w:val="annotation reference"/>
    <w:semiHidden/>
    <w:rPr>
      <w:rFonts w:cs="Times New Roman"/>
      <w:sz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locked/>
    <w:rPr>
      <w:sz w:val="20"/>
      <w:lang w:val="it-IT" w:eastAsia="it-IT"/>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link w:val="CommentSubject"/>
    <w:uiPriority w:val="99"/>
    <w:semiHidden/>
    <w:locked/>
    <w:rPr>
      <w:b/>
      <w:sz w:val="20"/>
      <w:lang w:val="it-IT" w:eastAsia="it-IT"/>
    </w:rPr>
  </w:style>
  <w:style w:type="paragraph" w:styleId="ListParagraph">
    <w:name w:val="List Paragraph"/>
    <w:basedOn w:val="Normal"/>
    <w:uiPriority w:val="34"/>
    <w:qFormat/>
    <w:pPr>
      <w:ind w:left="720"/>
      <w:contextualSpacing/>
    </w:pPr>
    <w:rPr>
      <w:rFonts w:ascii="Calibri" w:hAnsi="Calibri"/>
      <w:sz w:val="22"/>
      <w:szCs w:val="22"/>
      <w:lang w:eastAsia="en-US"/>
    </w:rPr>
  </w:style>
  <w:style w:type="paragraph" w:customStyle="1" w:styleId="Authornames">
    <w:name w:val="Author name(s)"/>
    <w:basedOn w:val="Normal"/>
    <w:next w:val="Normal"/>
    <w:uiPriority w:val="99"/>
    <w:pPr>
      <w:suppressLineNumbers/>
      <w:suppressAutoHyphens/>
      <w:overflowPunct w:val="0"/>
      <w:autoSpaceDE w:val="0"/>
      <w:autoSpaceDN w:val="0"/>
      <w:adjustRightInd w:val="0"/>
      <w:spacing w:before="240" w:after="120" w:line="240" w:lineRule="exact"/>
      <w:textAlignment w:val="baseline"/>
    </w:pPr>
    <w:rPr>
      <w:rFonts w:ascii="Arial" w:hAnsi="Arial" w:cs="Arial"/>
      <w:b/>
      <w:bCs/>
      <w:sz w:val="20"/>
      <w:szCs w:val="20"/>
      <w:lang w:val="en-GB" w:eastAsia="en-US"/>
    </w:rPr>
  </w:style>
  <w:style w:type="character" w:styleId="LineNumber">
    <w:name w:val="line number"/>
    <w:uiPriority w:val="99"/>
    <w:rPr>
      <w:rFonts w:cs="Times New Roman"/>
    </w:rPr>
  </w:style>
  <w:style w:type="paragraph" w:styleId="NormalWeb">
    <w:name w:val="Normal (Web)"/>
    <w:basedOn w:val="Normal"/>
    <w:pPr>
      <w:spacing w:before="100" w:beforeAutospacing="1" w:after="100" w:afterAutospacing="1"/>
    </w:pPr>
    <w:rPr>
      <w:lang w:val="de-DE" w:eastAsia="de-DE"/>
    </w:rPr>
  </w:style>
  <w:style w:type="paragraph" w:styleId="Revision">
    <w:name w:val="Revision"/>
    <w:hidden/>
    <w:uiPriority w:val="99"/>
    <w:semiHidden/>
    <w:rPr>
      <w:sz w:val="24"/>
      <w:szCs w:val="24"/>
    </w:rPr>
  </w:style>
  <w:style w:type="character" w:styleId="FollowedHyperlink">
    <w:name w:val="FollowedHyperlink"/>
    <w:uiPriority w:val="99"/>
    <w:locked/>
    <w:rPr>
      <w:rFonts w:cs="Times New Roman"/>
      <w:color w:val="800080"/>
      <w:u w:val="single"/>
    </w:rPr>
  </w:style>
  <w:style w:type="paragraph" w:customStyle="1" w:styleId="xl65">
    <w:name w:val="xl65"/>
    <w:basedOn w:val="Normal"/>
    <w:uiPriority w:val="99"/>
    <w:pPr>
      <w:spacing w:before="100" w:beforeAutospacing="1" w:after="100" w:afterAutospacing="1"/>
      <w:jc w:val="center"/>
    </w:pPr>
    <w:rPr>
      <w:rFonts w:ascii="Arial" w:hAnsi="Arial" w:cs="Arial"/>
      <w:b/>
      <w:bCs/>
    </w:rPr>
  </w:style>
  <w:style w:type="paragraph" w:customStyle="1" w:styleId="xl66">
    <w:name w:val="xl66"/>
    <w:basedOn w:val="Normal"/>
    <w:uiPriority w:val="99"/>
    <w:pPr>
      <w:spacing w:before="100" w:beforeAutospacing="1" w:after="100" w:afterAutospacing="1"/>
    </w:pPr>
    <w:rPr>
      <w:rFonts w:ascii="Arial" w:hAnsi="Arial" w:cs="Arial"/>
    </w:rPr>
  </w:style>
  <w:style w:type="paragraph" w:customStyle="1" w:styleId="xl67">
    <w:name w:val="xl67"/>
    <w:basedOn w:val="Normal"/>
    <w:uiPriority w:val="99"/>
    <w:pPr>
      <w:spacing w:before="100" w:beforeAutospacing="1" w:after="100" w:afterAutospacing="1"/>
    </w:pPr>
    <w:rPr>
      <w:rFonts w:ascii="Arial" w:hAnsi="Arial" w:cs="Arial"/>
    </w:rPr>
  </w:style>
  <w:style w:type="paragraph" w:customStyle="1" w:styleId="xl68">
    <w:name w:val="xl68"/>
    <w:basedOn w:val="Normal"/>
    <w:uiPriority w:val="99"/>
    <w:pPr>
      <w:spacing w:before="100" w:beforeAutospacing="1" w:after="100" w:afterAutospacing="1"/>
    </w:pPr>
    <w:rPr>
      <w:rFonts w:ascii="Arial" w:hAnsi="Arial" w:cs="Arial"/>
    </w:rPr>
  </w:style>
  <w:style w:type="paragraph" w:customStyle="1" w:styleId="xl69">
    <w:name w:val="xl69"/>
    <w:basedOn w:val="Normal"/>
    <w:uiPriority w:val="99"/>
    <w:pPr>
      <w:spacing w:before="100" w:beforeAutospacing="1" w:after="100" w:afterAutospacing="1"/>
      <w:jc w:val="center"/>
    </w:pPr>
    <w:rPr>
      <w:rFonts w:ascii="Arial" w:hAnsi="Arial" w:cs="Arial"/>
      <w:b/>
      <w:bCs/>
    </w:rPr>
  </w:style>
  <w:style w:type="paragraph" w:customStyle="1" w:styleId="xl70">
    <w:name w:val="xl70"/>
    <w:basedOn w:val="Normal"/>
    <w:uiPriority w:val="99"/>
    <w:pPr>
      <w:spacing w:before="100" w:beforeAutospacing="1" w:after="100" w:afterAutospacing="1"/>
      <w:jc w:val="center"/>
    </w:pPr>
    <w:rPr>
      <w:rFonts w:ascii="Arial" w:hAnsi="Arial" w:cs="Arial"/>
    </w:rPr>
  </w:style>
  <w:style w:type="paragraph" w:customStyle="1" w:styleId="xl71">
    <w:name w:val="xl71"/>
    <w:basedOn w:val="Normal"/>
    <w:uiPriority w:val="99"/>
    <w:pPr>
      <w:spacing w:before="100" w:beforeAutospacing="1" w:after="100" w:afterAutospacing="1"/>
    </w:pPr>
    <w:rPr>
      <w:rFonts w:ascii="Arial" w:hAnsi="Arial" w:cs="Arial"/>
    </w:rPr>
  </w:style>
  <w:style w:type="paragraph" w:customStyle="1" w:styleId="xl72">
    <w:name w:val="xl72"/>
    <w:basedOn w:val="Normal"/>
    <w:uiPriority w:val="99"/>
    <w:pPr>
      <w:spacing w:before="100" w:beforeAutospacing="1" w:after="100" w:afterAutospacing="1"/>
    </w:pPr>
    <w:rPr>
      <w:rFonts w:ascii="Arial" w:hAnsi="Arial" w:cs="Arial"/>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sz w:val="24"/>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sz w:val="24"/>
      <w:szCs w:val="24"/>
    </w:rPr>
  </w:style>
  <w:style w:type="paragraph" w:styleId="NoSpacing">
    <w:name w:val="No Spacing"/>
    <w:link w:val="NoSpacingChar"/>
    <w:qFormat/>
    <w:rPr>
      <w:rFonts w:ascii="PMingLiU" w:eastAsiaTheme="minorEastAsia" w:hAnsi="PMingLiU" w:cstheme="minorBidi"/>
      <w:sz w:val="22"/>
      <w:szCs w:val="22"/>
      <w:lang w:val="en-US" w:eastAsia="en-US"/>
    </w:rPr>
  </w:style>
  <w:style w:type="character" w:customStyle="1" w:styleId="NoSpacingChar">
    <w:name w:val="No Spacing Char"/>
    <w:basedOn w:val="DefaultParagraphFont"/>
    <w:link w:val="NoSpacing"/>
    <w:rPr>
      <w:rFonts w:ascii="PMingLiU" w:eastAsiaTheme="minorEastAsia" w:hAnsi="PMingLiU" w:cstheme="minorBidi"/>
      <w:sz w:val="22"/>
      <w:szCs w:val="22"/>
      <w:lang w:val="en-US" w:eastAsia="en-US"/>
    </w:rPr>
  </w:style>
  <w:style w:type="character" w:styleId="PageNumber">
    <w:name w:val="page number"/>
    <w:basedOn w:val="DefaultParagraphFont"/>
    <w:uiPriority w:val="99"/>
    <w:semiHidden/>
    <w:unhideWhenUsed/>
  </w:style>
  <w:style w:type="character" w:customStyle="1" w:styleId="longtext">
    <w:name w:val="long_text"/>
    <w:basedOn w:val="DefaultParagraphFont"/>
    <w:rPr>
      <w:rFonts w:cs="Times New Roman"/>
    </w:rPr>
  </w:style>
  <w:style w:type="character" w:customStyle="1" w:styleId="hps">
    <w:name w:val="hps"/>
    <w:basedOn w:val="DefaultParagraphFont"/>
    <w:uiPriority w:val="99"/>
    <w:rPr>
      <w:rFonts w:cs="Times New Roman"/>
    </w:rPr>
  </w:style>
  <w:style w:type="character" w:customStyle="1" w:styleId="shorttext">
    <w:name w:val="short_text"/>
    <w:basedOn w:val="DefaultParagraphFont"/>
    <w:uiPriority w:val="99"/>
    <w:rPr>
      <w:rFonts w:cs="Times New Roman"/>
    </w:rPr>
  </w:style>
  <w:style w:type="character" w:customStyle="1" w:styleId="st">
    <w:name w:val="st"/>
    <w:basedOn w:val="DefaultParagraphFont"/>
    <w:uiPriority w:val="99"/>
    <w:rPr>
      <w:rFonts w:cs="Times New Roman"/>
    </w:rPr>
  </w:style>
  <w:style w:type="character" w:styleId="Emphasis">
    <w:name w:val="Emphasis"/>
    <w:basedOn w:val="DefaultParagraphFont"/>
    <w:uiPriority w:val="99"/>
    <w:qFormat/>
    <w:locked/>
    <w:rPr>
      <w:rFonts w:cs="Times New Roman"/>
      <w:i/>
    </w:rPr>
  </w:style>
  <w:style w:type="character" w:customStyle="1" w:styleId="Rimandocommento2">
    <w:name w:val="Rimando commento2"/>
    <w:rPr>
      <w:sz w:val="16"/>
    </w:rPr>
  </w:style>
  <w:style w:type="character" w:customStyle="1" w:styleId="TestocommentoCarattere1">
    <w:name w:val="Testo commento Carattere1"/>
    <w:basedOn w:val="DefaultParagraphFont"/>
    <w:uiPriority w:val="99"/>
    <w:locked/>
    <w:rPr>
      <w:rFonts w:ascii="Times New Roman" w:hAnsi="Times New Roman" w:cs="Times New Roman"/>
      <w:sz w:val="20"/>
      <w:lang w:eastAsia="ar-SA" w:bidi="ar-SA"/>
    </w:rPr>
  </w:style>
  <w:style w:type="character" w:customStyle="1" w:styleId="alt-edited">
    <w:name w:val="alt-edited"/>
  </w:style>
  <w:style w:type="table" w:styleId="TableGrid">
    <w:name w:val="Table Grid"/>
    <w:basedOn w:val="TableNormal"/>
    <w:uiPriority w:val="3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pPr>
      <w:spacing w:after="200"/>
    </w:pPr>
    <w:rPr>
      <w:rFonts w:asciiTheme="minorHAnsi" w:eastAsiaTheme="minorHAnsi" w:hAnsiTheme="minorHAnsi" w:cstheme="minorBidi"/>
      <w:i/>
      <w:iCs/>
      <w:color w:val="1F497D" w:themeColor="text2"/>
      <w:sz w:val="18"/>
      <w:szCs w:val="18"/>
      <w:lang w:val="en-US" w:eastAsia="en-US"/>
    </w:rPr>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Menzionenonrisolta2">
    <w:name w:val="Menzione non risolta2"/>
    <w:basedOn w:val="DefaultParagraphFont"/>
    <w:uiPriority w:val="99"/>
    <w:semiHidden/>
    <w:unhideWhenUsed/>
    <w:rsid w:val="003E59DA"/>
    <w:rPr>
      <w:color w:val="605E5C"/>
      <w:shd w:val="clear" w:color="auto" w:fill="E1DFDD"/>
    </w:rPr>
  </w:style>
  <w:style w:type="character" w:styleId="Strong">
    <w:name w:val="Strong"/>
    <w:qFormat/>
    <w:locked/>
    <w:rsid w:val="004F0386"/>
    <w:rPr>
      <w:b/>
      <w:bCs/>
    </w:rPr>
  </w:style>
  <w:style w:type="character" w:customStyle="1" w:styleId="Heading1Char">
    <w:name w:val="Heading 1 Char"/>
    <w:basedOn w:val="DefaultParagraphFont"/>
    <w:link w:val="Heading1"/>
    <w:uiPriority w:val="9"/>
    <w:rsid w:val="00F82D21"/>
    <w:rPr>
      <w:rFonts w:ascii="Arial" w:eastAsia="Arial" w:hAnsi="Arial" w:cs="Arial"/>
      <w:color w:val="4A86E8"/>
      <w:sz w:val="40"/>
      <w:szCs w:val="40"/>
      <w:lang w:val="it" w:eastAsia="en-GB"/>
    </w:rPr>
  </w:style>
  <w:style w:type="character" w:customStyle="1" w:styleId="Heading2Char">
    <w:name w:val="Heading 2 Char"/>
    <w:basedOn w:val="DefaultParagraphFont"/>
    <w:link w:val="Heading2"/>
    <w:uiPriority w:val="9"/>
    <w:rsid w:val="00F82D21"/>
    <w:rPr>
      <w:rFonts w:ascii="Arial" w:eastAsia="Arial" w:hAnsi="Arial" w:cs="Arial"/>
      <w:color w:val="4A86E8"/>
      <w:sz w:val="32"/>
      <w:szCs w:val="32"/>
      <w:lang w:val="it" w:eastAsia="en-GB"/>
    </w:rPr>
  </w:style>
  <w:style w:type="character" w:customStyle="1" w:styleId="Heading3Char">
    <w:name w:val="Heading 3 Char"/>
    <w:basedOn w:val="DefaultParagraphFont"/>
    <w:link w:val="Heading3"/>
    <w:uiPriority w:val="9"/>
    <w:semiHidden/>
    <w:rsid w:val="00F82D21"/>
    <w:rPr>
      <w:rFonts w:ascii="Arial" w:eastAsia="Arial" w:hAnsi="Arial" w:cs="Arial"/>
      <w:color w:val="434343"/>
      <w:sz w:val="28"/>
      <w:szCs w:val="28"/>
      <w:lang w:val="it" w:eastAsia="en-GB"/>
    </w:rPr>
  </w:style>
  <w:style w:type="character" w:customStyle="1" w:styleId="Heading4Char">
    <w:name w:val="Heading 4 Char"/>
    <w:basedOn w:val="DefaultParagraphFont"/>
    <w:link w:val="Heading4"/>
    <w:uiPriority w:val="9"/>
    <w:semiHidden/>
    <w:rsid w:val="00F82D21"/>
    <w:rPr>
      <w:rFonts w:ascii="Arial" w:eastAsia="Arial" w:hAnsi="Arial" w:cs="Arial"/>
      <w:color w:val="666666"/>
      <w:sz w:val="24"/>
      <w:szCs w:val="24"/>
      <w:lang w:val="it" w:eastAsia="en-GB"/>
    </w:rPr>
  </w:style>
  <w:style w:type="character" w:customStyle="1" w:styleId="Heading5Char">
    <w:name w:val="Heading 5 Char"/>
    <w:basedOn w:val="DefaultParagraphFont"/>
    <w:link w:val="Heading5"/>
    <w:uiPriority w:val="9"/>
    <w:semiHidden/>
    <w:rsid w:val="00F82D21"/>
    <w:rPr>
      <w:rFonts w:ascii="Arial" w:eastAsia="Arial" w:hAnsi="Arial" w:cs="Arial"/>
      <w:color w:val="666666"/>
      <w:sz w:val="22"/>
      <w:szCs w:val="22"/>
      <w:lang w:val="it" w:eastAsia="en-GB"/>
    </w:rPr>
  </w:style>
  <w:style w:type="character" w:customStyle="1" w:styleId="Heading6Char">
    <w:name w:val="Heading 6 Char"/>
    <w:basedOn w:val="DefaultParagraphFont"/>
    <w:link w:val="Heading6"/>
    <w:uiPriority w:val="9"/>
    <w:semiHidden/>
    <w:rsid w:val="00F82D21"/>
    <w:rPr>
      <w:rFonts w:ascii="Arial" w:eastAsia="Arial" w:hAnsi="Arial" w:cs="Arial"/>
      <w:i/>
      <w:color w:val="666666"/>
      <w:sz w:val="22"/>
      <w:szCs w:val="22"/>
      <w:lang w:val="it" w:eastAsia="en-GB"/>
    </w:rPr>
  </w:style>
  <w:style w:type="paragraph" w:styleId="Title">
    <w:name w:val="Title"/>
    <w:basedOn w:val="Normal"/>
    <w:next w:val="Normal"/>
    <w:link w:val="TitleChar"/>
    <w:uiPriority w:val="10"/>
    <w:qFormat/>
    <w:locked/>
    <w:rsid w:val="00F82D21"/>
    <w:pPr>
      <w:keepNext/>
      <w:keepLines/>
      <w:spacing w:after="60" w:line="276" w:lineRule="auto"/>
    </w:pPr>
    <w:rPr>
      <w:rFonts w:ascii="Arial" w:eastAsia="Arial" w:hAnsi="Arial" w:cs="Arial"/>
      <w:color w:val="4A86E8"/>
      <w:sz w:val="52"/>
      <w:szCs w:val="52"/>
      <w:lang w:val="it" w:eastAsia="en-GB"/>
    </w:rPr>
  </w:style>
  <w:style w:type="character" w:customStyle="1" w:styleId="TitleChar">
    <w:name w:val="Title Char"/>
    <w:basedOn w:val="DefaultParagraphFont"/>
    <w:link w:val="Title"/>
    <w:uiPriority w:val="10"/>
    <w:rsid w:val="00F82D21"/>
    <w:rPr>
      <w:rFonts w:ascii="Arial" w:eastAsia="Arial" w:hAnsi="Arial" w:cs="Arial"/>
      <w:color w:val="4A86E8"/>
      <w:sz w:val="52"/>
      <w:szCs w:val="52"/>
      <w:lang w:val="it" w:eastAsia="en-GB"/>
    </w:rPr>
  </w:style>
  <w:style w:type="paragraph" w:styleId="Subtitle">
    <w:name w:val="Subtitle"/>
    <w:basedOn w:val="Normal"/>
    <w:next w:val="Normal"/>
    <w:link w:val="SubtitleChar"/>
    <w:uiPriority w:val="11"/>
    <w:qFormat/>
    <w:locked/>
    <w:rsid w:val="00F82D21"/>
    <w:pPr>
      <w:keepNext/>
      <w:keepLines/>
      <w:spacing w:after="320" w:line="276" w:lineRule="auto"/>
    </w:pPr>
    <w:rPr>
      <w:rFonts w:ascii="Arial" w:eastAsia="Arial" w:hAnsi="Arial" w:cs="Arial"/>
      <w:color w:val="666666"/>
      <w:sz w:val="30"/>
      <w:szCs w:val="30"/>
      <w:lang w:val="it" w:eastAsia="en-GB"/>
    </w:rPr>
  </w:style>
  <w:style w:type="character" w:customStyle="1" w:styleId="SubtitleChar">
    <w:name w:val="Subtitle Char"/>
    <w:basedOn w:val="DefaultParagraphFont"/>
    <w:link w:val="Subtitle"/>
    <w:uiPriority w:val="11"/>
    <w:rsid w:val="00F82D21"/>
    <w:rPr>
      <w:rFonts w:ascii="Arial" w:eastAsia="Arial" w:hAnsi="Arial" w:cs="Arial"/>
      <w:color w:val="666666"/>
      <w:sz w:val="30"/>
      <w:szCs w:val="30"/>
      <w:lang w:val="it" w:eastAsia="en-GB"/>
    </w:rPr>
  </w:style>
  <w:style w:type="character" w:customStyle="1" w:styleId="UnresolvedMention2">
    <w:name w:val="Unresolved Mention2"/>
    <w:basedOn w:val="DefaultParagraphFont"/>
    <w:uiPriority w:val="99"/>
    <w:semiHidden/>
    <w:unhideWhenUsed/>
    <w:rsid w:val="00BB50A0"/>
    <w:rPr>
      <w:color w:val="605E5C"/>
      <w:shd w:val="clear" w:color="auto" w:fill="E1DFDD"/>
    </w:rPr>
  </w:style>
  <w:style w:type="character" w:customStyle="1" w:styleId="Menzionenonrisolta3">
    <w:name w:val="Menzione non risolta3"/>
    <w:basedOn w:val="DefaultParagraphFont"/>
    <w:uiPriority w:val="99"/>
    <w:semiHidden/>
    <w:unhideWhenUsed/>
    <w:rsid w:val="00214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6332">
      <w:bodyDiv w:val="1"/>
      <w:marLeft w:val="0"/>
      <w:marRight w:val="0"/>
      <w:marTop w:val="0"/>
      <w:marBottom w:val="0"/>
      <w:divBdr>
        <w:top w:val="none" w:sz="0" w:space="0" w:color="auto"/>
        <w:left w:val="none" w:sz="0" w:space="0" w:color="auto"/>
        <w:bottom w:val="none" w:sz="0" w:space="0" w:color="auto"/>
        <w:right w:val="none" w:sz="0" w:space="0" w:color="auto"/>
      </w:divBdr>
    </w:div>
    <w:div w:id="152765796">
      <w:bodyDiv w:val="1"/>
      <w:marLeft w:val="0"/>
      <w:marRight w:val="0"/>
      <w:marTop w:val="0"/>
      <w:marBottom w:val="0"/>
      <w:divBdr>
        <w:top w:val="none" w:sz="0" w:space="0" w:color="auto"/>
        <w:left w:val="none" w:sz="0" w:space="0" w:color="auto"/>
        <w:bottom w:val="none" w:sz="0" w:space="0" w:color="auto"/>
        <w:right w:val="none" w:sz="0" w:space="0" w:color="auto"/>
      </w:divBdr>
    </w:div>
    <w:div w:id="386344409">
      <w:bodyDiv w:val="1"/>
      <w:marLeft w:val="0"/>
      <w:marRight w:val="0"/>
      <w:marTop w:val="0"/>
      <w:marBottom w:val="0"/>
      <w:divBdr>
        <w:top w:val="none" w:sz="0" w:space="0" w:color="auto"/>
        <w:left w:val="none" w:sz="0" w:space="0" w:color="auto"/>
        <w:bottom w:val="none" w:sz="0" w:space="0" w:color="auto"/>
        <w:right w:val="none" w:sz="0" w:space="0" w:color="auto"/>
      </w:divBdr>
    </w:div>
    <w:div w:id="403452968">
      <w:bodyDiv w:val="1"/>
      <w:marLeft w:val="0"/>
      <w:marRight w:val="0"/>
      <w:marTop w:val="0"/>
      <w:marBottom w:val="0"/>
      <w:divBdr>
        <w:top w:val="none" w:sz="0" w:space="0" w:color="auto"/>
        <w:left w:val="none" w:sz="0" w:space="0" w:color="auto"/>
        <w:bottom w:val="none" w:sz="0" w:space="0" w:color="auto"/>
        <w:right w:val="none" w:sz="0" w:space="0" w:color="auto"/>
      </w:divBdr>
    </w:div>
    <w:div w:id="450169328">
      <w:bodyDiv w:val="1"/>
      <w:marLeft w:val="0"/>
      <w:marRight w:val="0"/>
      <w:marTop w:val="0"/>
      <w:marBottom w:val="0"/>
      <w:divBdr>
        <w:top w:val="none" w:sz="0" w:space="0" w:color="auto"/>
        <w:left w:val="none" w:sz="0" w:space="0" w:color="auto"/>
        <w:bottom w:val="none" w:sz="0" w:space="0" w:color="auto"/>
        <w:right w:val="none" w:sz="0" w:space="0" w:color="auto"/>
      </w:divBdr>
    </w:div>
    <w:div w:id="577175974">
      <w:bodyDiv w:val="1"/>
      <w:marLeft w:val="0"/>
      <w:marRight w:val="0"/>
      <w:marTop w:val="0"/>
      <w:marBottom w:val="0"/>
      <w:divBdr>
        <w:top w:val="none" w:sz="0" w:space="0" w:color="auto"/>
        <w:left w:val="none" w:sz="0" w:space="0" w:color="auto"/>
        <w:bottom w:val="none" w:sz="0" w:space="0" w:color="auto"/>
        <w:right w:val="none" w:sz="0" w:space="0" w:color="auto"/>
      </w:divBdr>
    </w:div>
    <w:div w:id="743647064">
      <w:bodyDiv w:val="1"/>
      <w:marLeft w:val="0"/>
      <w:marRight w:val="0"/>
      <w:marTop w:val="0"/>
      <w:marBottom w:val="0"/>
      <w:divBdr>
        <w:top w:val="none" w:sz="0" w:space="0" w:color="auto"/>
        <w:left w:val="none" w:sz="0" w:space="0" w:color="auto"/>
        <w:bottom w:val="none" w:sz="0" w:space="0" w:color="auto"/>
        <w:right w:val="none" w:sz="0" w:space="0" w:color="auto"/>
      </w:divBdr>
    </w:div>
    <w:div w:id="836657412">
      <w:bodyDiv w:val="1"/>
      <w:marLeft w:val="0"/>
      <w:marRight w:val="0"/>
      <w:marTop w:val="0"/>
      <w:marBottom w:val="0"/>
      <w:divBdr>
        <w:top w:val="none" w:sz="0" w:space="0" w:color="auto"/>
        <w:left w:val="none" w:sz="0" w:space="0" w:color="auto"/>
        <w:bottom w:val="none" w:sz="0" w:space="0" w:color="auto"/>
        <w:right w:val="none" w:sz="0" w:space="0" w:color="auto"/>
      </w:divBdr>
    </w:div>
    <w:div w:id="891574866">
      <w:bodyDiv w:val="1"/>
      <w:marLeft w:val="0"/>
      <w:marRight w:val="0"/>
      <w:marTop w:val="0"/>
      <w:marBottom w:val="0"/>
      <w:divBdr>
        <w:top w:val="none" w:sz="0" w:space="0" w:color="auto"/>
        <w:left w:val="none" w:sz="0" w:space="0" w:color="auto"/>
        <w:bottom w:val="none" w:sz="0" w:space="0" w:color="auto"/>
        <w:right w:val="none" w:sz="0" w:space="0" w:color="auto"/>
      </w:divBdr>
    </w:div>
    <w:div w:id="1223368944">
      <w:bodyDiv w:val="1"/>
      <w:marLeft w:val="0"/>
      <w:marRight w:val="0"/>
      <w:marTop w:val="0"/>
      <w:marBottom w:val="0"/>
      <w:divBdr>
        <w:top w:val="none" w:sz="0" w:space="0" w:color="auto"/>
        <w:left w:val="none" w:sz="0" w:space="0" w:color="auto"/>
        <w:bottom w:val="none" w:sz="0" w:space="0" w:color="auto"/>
        <w:right w:val="none" w:sz="0" w:space="0" w:color="auto"/>
      </w:divBdr>
    </w:div>
    <w:div w:id="1298951391">
      <w:bodyDiv w:val="1"/>
      <w:marLeft w:val="0"/>
      <w:marRight w:val="0"/>
      <w:marTop w:val="0"/>
      <w:marBottom w:val="0"/>
      <w:divBdr>
        <w:top w:val="none" w:sz="0" w:space="0" w:color="auto"/>
        <w:left w:val="none" w:sz="0" w:space="0" w:color="auto"/>
        <w:bottom w:val="none" w:sz="0" w:space="0" w:color="auto"/>
        <w:right w:val="none" w:sz="0" w:space="0" w:color="auto"/>
      </w:divBdr>
    </w:div>
    <w:div w:id="1330018474">
      <w:bodyDiv w:val="1"/>
      <w:marLeft w:val="0"/>
      <w:marRight w:val="0"/>
      <w:marTop w:val="0"/>
      <w:marBottom w:val="0"/>
      <w:divBdr>
        <w:top w:val="none" w:sz="0" w:space="0" w:color="auto"/>
        <w:left w:val="none" w:sz="0" w:space="0" w:color="auto"/>
        <w:bottom w:val="none" w:sz="0" w:space="0" w:color="auto"/>
        <w:right w:val="none" w:sz="0" w:space="0" w:color="auto"/>
      </w:divBdr>
    </w:div>
    <w:div w:id="1510024317">
      <w:marLeft w:val="0"/>
      <w:marRight w:val="0"/>
      <w:marTop w:val="0"/>
      <w:marBottom w:val="0"/>
      <w:divBdr>
        <w:top w:val="none" w:sz="0" w:space="0" w:color="auto"/>
        <w:left w:val="none" w:sz="0" w:space="0" w:color="auto"/>
        <w:bottom w:val="none" w:sz="0" w:space="0" w:color="auto"/>
        <w:right w:val="none" w:sz="0" w:space="0" w:color="auto"/>
      </w:divBdr>
    </w:div>
    <w:div w:id="1510024318">
      <w:marLeft w:val="0"/>
      <w:marRight w:val="0"/>
      <w:marTop w:val="0"/>
      <w:marBottom w:val="0"/>
      <w:divBdr>
        <w:top w:val="none" w:sz="0" w:space="0" w:color="auto"/>
        <w:left w:val="none" w:sz="0" w:space="0" w:color="auto"/>
        <w:bottom w:val="none" w:sz="0" w:space="0" w:color="auto"/>
        <w:right w:val="none" w:sz="0" w:space="0" w:color="auto"/>
      </w:divBdr>
    </w:div>
    <w:div w:id="1510024319">
      <w:marLeft w:val="0"/>
      <w:marRight w:val="0"/>
      <w:marTop w:val="0"/>
      <w:marBottom w:val="0"/>
      <w:divBdr>
        <w:top w:val="none" w:sz="0" w:space="0" w:color="auto"/>
        <w:left w:val="none" w:sz="0" w:space="0" w:color="auto"/>
        <w:bottom w:val="none" w:sz="0" w:space="0" w:color="auto"/>
        <w:right w:val="none" w:sz="0" w:space="0" w:color="auto"/>
      </w:divBdr>
    </w:div>
    <w:div w:id="1510024320">
      <w:marLeft w:val="0"/>
      <w:marRight w:val="0"/>
      <w:marTop w:val="0"/>
      <w:marBottom w:val="0"/>
      <w:divBdr>
        <w:top w:val="none" w:sz="0" w:space="0" w:color="auto"/>
        <w:left w:val="none" w:sz="0" w:space="0" w:color="auto"/>
        <w:bottom w:val="none" w:sz="0" w:space="0" w:color="auto"/>
        <w:right w:val="none" w:sz="0" w:space="0" w:color="auto"/>
      </w:divBdr>
    </w:div>
    <w:div w:id="1510024321">
      <w:marLeft w:val="0"/>
      <w:marRight w:val="0"/>
      <w:marTop w:val="0"/>
      <w:marBottom w:val="0"/>
      <w:divBdr>
        <w:top w:val="none" w:sz="0" w:space="0" w:color="auto"/>
        <w:left w:val="none" w:sz="0" w:space="0" w:color="auto"/>
        <w:bottom w:val="none" w:sz="0" w:space="0" w:color="auto"/>
        <w:right w:val="none" w:sz="0" w:space="0" w:color="auto"/>
      </w:divBdr>
    </w:div>
    <w:div w:id="1510024322">
      <w:marLeft w:val="0"/>
      <w:marRight w:val="0"/>
      <w:marTop w:val="0"/>
      <w:marBottom w:val="0"/>
      <w:divBdr>
        <w:top w:val="none" w:sz="0" w:space="0" w:color="auto"/>
        <w:left w:val="none" w:sz="0" w:space="0" w:color="auto"/>
        <w:bottom w:val="none" w:sz="0" w:space="0" w:color="auto"/>
        <w:right w:val="none" w:sz="0" w:space="0" w:color="auto"/>
      </w:divBdr>
    </w:div>
    <w:div w:id="1674919062">
      <w:bodyDiv w:val="1"/>
      <w:marLeft w:val="0"/>
      <w:marRight w:val="0"/>
      <w:marTop w:val="0"/>
      <w:marBottom w:val="0"/>
      <w:divBdr>
        <w:top w:val="none" w:sz="0" w:space="0" w:color="auto"/>
        <w:left w:val="none" w:sz="0" w:space="0" w:color="auto"/>
        <w:bottom w:val="none" w:sz="0" w:space="0" w:color="auto"/>
        <w:right w:val="none" w:sz="0" w:space="0" w:color="auto"/>
      </w:divBdr>
    </w:div>
    <w:div w:id="1716156251">
      <w:bodyDiv w:val="1"/>
      <w:marLeft w:val="0"/>
      <w:marRight w:val="0"/>
      <w:marTop w:val="0"/>
      <w:marBottom w:val="0"/>
      <w:divBdr>
        <w:top w:val="none" w:sz="0" w:space="0" w:color="auto"/>
        <w:left w:val="none" w:sz="0" w:space="0" w:color="auto"/>
        <w:bottom w:val="none" w:sz="0" w:space="0" w:color="auto"/>
        <w:right w:val="none" w:sz="0" w:space="0" w:color="auto"/>
      </w:divBdr>
    </w:div>
    <w:div w:id="1944801946">
      <w:bodyDiv w:val="1"/>
      <w:marLeft w:val="0"/>
      <w:marRight w:val="0"/>
      <w:marTop w:val="0"/>
      <w:marBottom w:val="0"/>
      <w:divBdr>
        <w:top w:val="none" w:sz="0" w:space="0" w:color="auto"/>
        <w:left w:val="none" w:sz="0" w:space="0" w:color="auto"/>
        <w:bottom w:val="none" w:sz="0" w:space="0" w:color="auto"/>
        <w:right w:val="none" w:sz="0" w:space="0" w:color="auto"/>
      </w:divBdr>
    </w:div>
    <w:div w:id="194877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AA1BE-09AE-4DBD-85DC-C78A26EF1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4165</Words>
  <Characters>23747</Characters>
  <Application>Microsoft Office Word</Application>
  <DocSecurity>0</DocSecurity>
  <Lines>197</Lines>
  <Paragraphs>55</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Gallarati</dc:creator>
  <cp:keywords/>
  <dc:description/>
  <cp:lastModifiedBy>DIEGO FONTANETO</cp:lastModifiedBy>
  <cp:revision>2</cp:revision>
  <cp:lastPrinted>2024-08-29T11:10:00Z</cp:lastPrinted>
  <dcterms:created xsi:type="dcterms:W3CDTF">2025-07-02T07:49:00Z</dcterms:created>
  <dcterms:modified xsi:type="dcterms:W3CDTF">2025-07-02T07:49:00Z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2d6a84afd8a98d17e1b7ff2a0810edeb119a34651947ffc3a94bfa9c09bbdcbc</vt:lpwstr>
  </property>
</Properties>
</file>