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6B32D" w14:textId="77777777" w:rsidR="00D90A13" w:rsidRPr="0018150B" w:rsidRDefault="00C8401F" w:rsidP="00E250D6">
      <w:pPr>
        <w:pStyle w:val="aff7"/>
        <w:rPr>
          <w:rFonts w:asciiTheme="majorHAnsi" w:hAnsiTheme="majorHAnsi"/>
        </w:rPr>
      </w:pPr>
      <w:r w:rsidRPr="00C8401F">
        <w:rPr>
          <w:rFonts w:asciiTheme="majorHAnsi" w:hAnsiTheme="majorHAnsi"/>
        </w:rPr>
        <w:t>On the Life Cycle of Empires</w:t>
      </w:r>
    </w:p>
    <w:p w14:paraId="1614AA5B" w14:textId="77777777" w:rsidR="00D90A13" w:rsidRPr="0018150B" w:rsidRDefault="00C8401F" w:rsidP="008646B7">
      <w:pPr>
        <w:rPr>
          <w:rFonts w:asciiTheme="majorHAnsi" w:hAnsiTheme="majorHAnsi"/>
          <w:sz w:val="24"/>
          <w:szCs w:val="24"/>
        </w:rPr>
      </w:pPr>
      <w:r>
        <w:rPr>
          <w:rFonts w:asciiTheme="majorHAnsi" w:hAnsiTheme="majorHAnsi"/>
          <w:sz w:val="24"/>
          <w:szCs w:val="24"/>
        </w:rPr>
        <w:t>S</w:t>
      </w:r>
      <w:r w:rsidRPr="00C8401F">
        <w:rPr>
          <w:rFonts w:asciiTheme="majorHAnsi" w:hAnsiTheme="majorHAnsi"/>
          <w:sz w:val="24"/>
          <w:szCs w:val="24"/>
        </w:rPr>
        <w:t xml:space="preserve">tefano </w:t>
      </w:r>
      <w:proofErr w:type="spellStart"/>
      <w:r>
        <w:rPr>
          <w:rFonts w:asciiTheme="majorHAnsi" w:hAnsiTheme="majorHAnsi"/>
          <w:sz w:val="24"/>
          <w:szCs w:val="24"/>
        </w:rPr>
        <w:t>C</w:t>
      </w:r>
      <w:r w:rsidRPr="00C8401F">
        <w:rPr>
          <w:rFonts w:asciiTheme="majorHAnsi" w:hAnsiTheme="majorHAnsi"/>
          <w:sz w:val="24"/>
          <w:szCs w:val="24"/>
        </w:rPr>
        <w:t>iliberti</w:t>
      </w:r>
      <w:proofErr w:type="spellEnd"/>
      <w:r w:rsidRPr="00C8401F">
        <w:rPr>
          <w:rFonts w:asciiTheme="majorHAnsi" w:hAnsiTheme="majorHAnsi"/>
          <w:sz w:val="24"/>
          <w:szCs w:val="24"/>
        </w:rPr>
        <w:t xml:space="preserve"> </w:t>
      </w:r>
    </w:p>
    <w:p w14:paraId="31D812D7" w14:textId="1A12C9F4" w:rsidR="00D90A13" w:rsidRDefault="00D56D01" w:rsidP="008646B7">
      <w:pPr>
        <w:rPr>
          <w:rFonts w:asciiTheme="majorHAnsi" w:hAnsiTheme="majorHAnsi"/>
          <w:i/>
        </w:rPr>
      </w:pPr>
      <w:r w:rsidRPr="00D56D01">
        <w:rPr>
          <w:rFonts w:asciiTheme="majorHAnsi" w:hAnsiTheme="majorHAnsi"/>
          <w:i/>
        </w:rPr>
        <w:t>University of Pisa (Italy), and EPHE (Paris, France)</w:t>
      </w:r>
    </w:p>
    <w:p w14:paraId="49579B45" w14:textId="77777777" w:rsidR="000C7D96" w:rsidRPr="00D56D01" w:rsidRDefault="000C7D96" w:rsidP="008646B7">
      <w:pPr>
        <w:rPr>
          <w:rFonts w:asciiTheme="majorHAnsi" w:hAnsiTheme="majorHAnsi"/>
        </w:rPr>
      </w:pPr>
    </w:p>
    <w:p w14:paraId="40EC85C0" w14:textId="77777777" w:rsidR="00BF3264" w:rsidRPr="0018150B" w:rsidRDefault="00712CE8" w:rsidP="0057317D">
      <w:pPr>
        <w:pStyle w:val="Abstract"/>
        <w:rPr>
          <w:rFonts w:asciiTheme="majorHAnsi" w:hAnsiTheme="majorHAnsi"/>
        </w:rPr>
      </w:pPr>
      <w:r w:rsidRPr="00712CE8">
        <w:rPr>
          <w:rFonts w:asciiTheme="majorHAnsi" w:hAnsiTheme="majorHAnsi"/>
        </w:rPr>
        <w:t>We provide empirical evidence that the distribution of empires' lifetime is exponential with a typical time-scale of 300 years. After introducing and computing a proxy measure for the dimension of a large polity we interpret the data by means of a simple dynamical model for the empires' evolution. The resulting theory suggests that the behavior of a long-lived empire is qualitatively different from a short-lived one. They all experience an initial expansion phase but while the former goes through a contraction period over the last 20% of its life, the latter stays essentially unchanged after reaching its maximum size. In both cases, a sudden collapse occurs when the empire's size is still close to its own historical average.</w:t>
      </w:r>
    </w:p>
    <w:p w14:paraId="4CD3EEDD" w14:textId="77777777" w:rsidR="00637AA4" w:rsidRPr="0018150B" w:rsidRDefault="00637AA4" w:rsidP="008646B7">
      <w:pPr>
        <w:pStyle w:val="1"/>
        <w:rPr>
          <w:rFonts w:asciiTheme="majorHAnsi" w:hAnsiTheme="majorHAnsi"/>
        </w:rPr>
      </w:pPr>
      <w:r w:rsidRPr="0018150B">
        <w:rPr>
          <w:rFonts w:asciiTheme="majorHAnsi" w:hAnsiTheme="majorHAnsi"/>
        </w:rPr>
        <w:t>Introduction</w:t>
      </w:r>
    </w:p>
    <w:p w14:paraId="797F8580" w14:textId="77777777" w:rsidR="00B333DE" w:rsidRPr="0018150B" w:rsidRDefault="00712CE8" w:rsidP="008646B7">
      <w:pPr>
        <w:rPr>
          <w:rFonts w:asciiTheme="majorHAnsi" w:hAnsiTheme="majorHAnsi"/>
        </w:rPr>
      </w:pPr>
      <w:r w:rsidRPr="00712CE8">
        <w:rPr>
          <w:rFonts w:asciiTheme="majorHAnsi" w:hAnsiTheme="majorHAnsi"/>
        </w:rPr>
        <w:t>In his now outdated monumental work</w:t>
      </w:r>
      <w:r>
        <w:rPr>
          <w:rFonts w:asciiTheme="majorHAnsi" w:hAnsiTheme="majorHAnsi"/>
        </w:rPr>
        <w:t xml:space="preserve"> (Toynbee 1962)</w:t>
      </w:r>
      <w:r w:rsidR="0050302A">
        <w:rPr>
          <w:rFonts w:asciiTheme="majorHAnsi" w:hAnsiTheme="majorHAnsi"/>
        </w:rPr>
        <w:t xml:space="preserve"> </w:t>
      </w:r>
      <w:r w:rsidRPr="00712CE8">
        <w:rPr>
          <w:rFonts w:asciiTheme="majorHAnsi" w:hAnsiTheme="majorHAnsi"/>
        </w:rPr>
        <w:t xml:space="preserve">Toynbee attempted to analyze the rise and fall of civilizations through a systematic and comparative approach. He argued that the development of civilizations is driven not by race, environment, or economics, but by how societies respond to challenges – both internal and external. Often criticized for his lack of empirical rigor and the philosophical overtone, not to mention the ideologically </w:t>
      </w:r>
      <w:proofErr w:type="spellStart"/>
      <w:r w:rsidRPr="00712CE8">
        <w:rPr>
          <w:rFonts w:asciiTheme="majorHAnsi" w:hAnsiTheme="majorHAnsi"/>
        </w:rPr>
        <w:t>eurocentric</w:t>
      </w:r>
      <w:proofErr w:type="spellEnd"/>
      <w:r w:rsidRPr="00712CE8">
        <w:rPr>
          <w:rFonts w:asciiTheme="majorHAnsi" w:hAnsiTheme="majorHAnsi"/>
        </w:rPr>
        <w:t xml:space="preserve"> view of the very concept of civilization, Toynbee’s work had the merit to show that a large-breadth ambitious study could inspire macro-historical thinking like world history, comparative history, or even international relations. His methodology has since been superseded by more complex, networking or systemic models. Examples include Wallerstein’s world-systems theory</w:t>
      </w:r>
      <w:r w:rsidR="0050302A">
        <w:rPr>
          <w:rFonts w:asciiTheme="majorHAnsi" w:hAnsiTheme="majorHAnsi"/>
        </w:rPr>
        <w:t xml:space="preserve"> (Wallerstein 1974)</w:t>
      </w:r>
      <w:hyperlink w:anchor="_bookmark9" w:history="1">
        <w:r w:rsidRPr="00712CE8">
          <w:rPr>
            <w:rStyle w:val="affa"/>
            <w:rFonts w:asciiTheme="majorHAnsi" w:hAnsiTheme="majorHAnsi"/>
          </w:rPr>
          <w:t>,</w:t>
        </w:r>
      </w:hyperlink>
      <w:r w:rsidRPr="00712CE8">
        <w:rPr>
          <w:rFonts w:asciiTheme="majorHAnsi" w:hAnsiTheme="majorHAnsi"/>
        </w:rPr>
        <w:t xml:space="preserve"> where it is proposed that global economic systems should be the real object of study of historians, instead of individual civilizations or nations; Diamond’s environmental history</w:t>
      </w:r>
      <w:r w:rsidR="0050302A">
        <w:rPr>
          <w:rFonts w:asciiTheme="majorHAnsi" w:hAnsiTheme="majorHAnsi"/>
        </w:rPr>
        <w:t xml:space="preserve"> (Diamond 1997)</w:t>
      </w:r>
      <w:hyperlink w:anchor="_bookmark10" w:history="1">
        <w:r w:rsidR="0050302A">
          <w:rPr>
            <w:rStyle w:val="affa"/>
            <w:rFonts w:asciiTheme="majorHAnsi" w:hAnsiTheme="majorHAnsi"/>
          </w:rPr>
          <w:t>,</w:t>
        </w:r>
      </w:hyperlink>
      <w:r w:rsidRPr="00712CE8">
        <w:rPr>
          <w:rFonts w:asciiTheme="majorHAnsi" w:hAnsiTheme="majorHAnsi"/>
        </w:rPr>
        <w:t xml:space="preserve"> based on the claim that civilizations rise or fall largely due to environmental constraints, geography, and access to resources; Braudel’s </w:t>
      </w:r>
      <w:r w:rsidR="0050302A">
        <w:rPr>
          <w:rFonts w:asciiTheme="majorHAnsi" w:hAnsiTheme="majorHAnsi"/>
        </w:rPr>
        <w:t>(Braudel 1949)</w:t>
      </w:r>
      <w:r w:rsidRPr="00712CE8">
        <w:rPr>
          <w:rFonts w:asciiTheme="majorHAnsi" w:hAnsiTheme="majorHAnsi"/>
        </w:rPr>
        <w:t xml:space="preserve"> focus on “structures”, like geography, trade, and material life, not just elites or politics, along with the cogent idea that history unfolds on multiple timescales (events, conjunctures, and </w:t>
      </w:r>
      <w:r w:rsidRPr="00712CE8">
        <w:rPr>
          <w:rFonts w:asciiTheme="majorHAnsi" w:hAnsiTheme="majorHAnsi"/>
          <w:i/>
        </w:rPr>
        <w:t xml:space="preserve">longue </w:t>
      </w:r>
      <w:r w:rsidR="0050302A" w:rsidRPr="00712CE8">
        <w:rPr>
          <w:rFonts w:asciiTheme="majorHAnsi" w:hAnsiTheme="majorHAnsi"/>
          <w:i/>
        </w:rPr>
        <w:t>durée</w:t>
      </w:r>
      <w:r w:rsidRPr="00712CE8">
        <w:rPr>
          <w:rFonts w:asciiTheme="majorHAnsi" w:hAnsiTheme="majorHAnsi"/>
        </w:rPr>
        <w:t xml:space="preserve">); or </w:t>
      </w:r>
      <w:proofErr w:type="spellStart"/>
      <w:r w:rsidRPr="00712CE8">
        <w:rPr>
          <w:rFonts w:asciiTheme="majorHAnsi" w:hAnsiTheme="majorHAnsi"/>
        </w:rPr>
        <w:t>Turchin’s</w:t>
      </w:r>
      <w:proofErr w:type="spellEnd"/>
      <w:r w:rsidRPr="00712CE8">
        <w:rPr>
          <w:rFonts w:asciiTheme="majorHAnsi" w:hAnsiTheme="majorHAnsi"/>
        </w:rPr>
        <w:t xml:space="preserve"> </w:t>
      </w:r>
      <w:proofErr w:type="spellStart"/>
      <w:r w:rsidRPr="00712CE8">
        <w:rPr>
          <w:rFonts w:asciiTheme="majorHAnsi" w:hAnsiTheme="majorHAnsi"/>
        </w:rPr>
        <w:t>cliodynamics</w:t>
      </w:r>
      <w:proofErr w:type="spellEnd"/>
      <w:r w:rsidR="0050302A">
        <w:rPr>
          <w:rFonts w:asciiTheme="majorHAnsi" w:hAnsiTheme="majorHAnsi"/>
        </w:rPr>
        <w:t xml:space="preserve"> (</w:t>
      </w:r>
      <w:proofErr w:type="spellStart"/>
      <w:r w:rsidR="0050302A">
        <w:rPr>
          <w:rFonts w:asciiTheme="majorHAnsi" w:hAnsiTheme="majorHAnsi"/>
        </w:rPr>
        <w:t>Turchin</w:t>
      </w:r>
      <w:proofErr w:type="spellEnd"/>
      <w:r w:rsidR="0050302A">
        <w:rPr>
          <w:rFonts w:asciiTheme="majorHAnsi" w:hAnsiTheme="majorHAnsi"/>
        </w:rPr>
        <w:t xml:space="preserve"> 2016)</w:t>
      </w:r>
      <w:r w:rsidRPr="00712CE8">
        <w:rPr>
          <w:rFonts w:asciiTheme="majorHAnsi" w:hAnsiTheme="majorHAnsi"/>
        </w:rPr>
        <w:t>, where the core idea is to use data modeling and historical patterns to study cycles of stability and crisis in societies</w:t>
      </w:r>
      <w:r w:rsidR="00B333DE" w:rsidRPr="0018150B">
        <w:rPr>
          <w:rFonts w:asciiTheme="majorHAnsi" w:hAnsiTheme="majorHAnsi"/>
        </w:rPr>
        <w:t xml:space="preserve">. </w:t>
      </w:r>
    </w:p>
    <w:p w14:paraId="2C316AF3" w14:textId="77777777" w:rsidR="0050302A" w:rsidRPr="0050302A" w:rsidRDefault="00B333DE" w:rsidP="0050302A">
      <w:pPr>
        <w:rPr>
          <w:rFonts w:asciiTheme="majorHAnsi" w:hAnsiTheme="majorHAnsi"/>
        </w:rPr>
      </w:pPr>
      <w:r w:rsidRPr="0018150B">
        <w:rPr>
          <w:rFonts w:asciiTheme="majorHAnsi" w:hAnsiTheme="majorHAnsi"/>
        </w:rPr>
        <w:lastRenderedPageBreak/>
        <w:tab/>
      </w:r>
      <w:r w:rsidR="0050302A" w:rsidRPr="0050302A">
        <w:rPr>
          <w:rFonts w:asciiTheme="majorHAnsi" w:hAnsiTheme="majorHAnsi"/>
        </w:rPr>
        <w:t>The utility and coherence of the concept of empire in comparative historical studies</w:t>
      </w:r>
      <w:r w:rsidR="0050302A">
        <w:rPr>
          <w:rFonts w:asciiTheme="majorHAnsi" w:hAnsiTheme="majorHAnsi"/>
        </w:rPr>
        <w:t xml:space="preserve"> </w:t>
      </w:r>
      <w:r w:rsidR="0050302A" w:rsidRPr="0050302A">
        <w:rPr>
          <w:rFonts w:asciiTheme="majorHAnsi" w:hAnsiTheme="majorHAnsi"/>
        </w:rPr>
        <w:t xml:space="preserve">has been questioned, among others, by Reynolds about twenty years ago </w:t>
      </w:r>
      <w:r w:rsidR="0050302A">
        <w:rPr>
          <w:rFonts w:asciiTheme="majorHAnsi" w:hAnsiTheme="majorHAnsi"/>
        </w:rPr>
        <w:t>(Reynolds 2006)</w:t>
      </w:r>
      <w:r w:rsidR="0050302A" w:rsidRPr="0050302A">
        <w:rPr>
          <w:rFonts w:asciiTheme="majorHAnsi" w:hAnsiTheme="majorHAnsi"/>
        </w:rPr>
        <w:t>, who called for a more cautious and nuanced use of the term “empire” in historical writing. Rather than assuming similarities across empires, scholars should focus on specific institutions, relationships, and power structures, and avoid using “empire” as a catch- all. The risk of using an imprecise and often anachronistic label to group a wide range of political formations (e.g. the Roman, British, and Mongol Empires, sharing</w:t>
      </w:r>
      <w:r w:rsidR="0050302A">
        <w:rPr>
          <w:rFonts w:asciiTheme="majorHAnsi" w:hAnsiTheme="majorHAnsi"/>
        </w:rPr>
        <w:t xml:space="preserve"> </w:t>
      </w:r>
      <w:r w:rsidR="0050302A" w:rsidRPr="0050302A">
        <w:rPr>
          <w:rFonts w:asciiTheme="majorHAnsi" w:hAnsiTheme="majorHAnsi"/>
        </w:rPr>
        <w:t>only few meaningful characteristics) may lead to establish false analogies. Many so- called empires differ radically in structure, ideology, economy, and territorial control: in pre-modern contexts especially, sovereignty was often overlapping, negotiated, and unclear. Unlike the centralized, absolute control that the traditional idea of empire often implies, these large political entities did not always dominate their peripheries: they frequently relied on alliances, client states, and indirect rule.</w:t>
      </w:r>
    </w:p>
    <w:p w14:paraId="7EE0B208" w14:textId="1C4D5D64" w:rsidR="0050302A" w:rsidRPr="0050302A" w:rsidRDefault="0050302A" w:rsidP="0050302A">
      <w:pPr>
        <w:rPr>
          <w:rFonts w:asciiTheme="majorHAnsi" w:hAnsiTheme="majorHAnsi"/>
        </w:rPr>
      </w:pPr>
      <w:r>
        <w:rPr>
          <w:rFonts w:asciiTheme="majorHAnsi" w:hAnsiTheme="majorHAnsi"/>
        </w:rPr>
        <w:tab/>
      </w:r>
      <w:r w:rsidRPr="0050302A">
        <w:rPr>
          <w:rFonts w:asciiTheme="majorHAnsi" w:hAnsiTheme="majorHAnsi"/>
        </w:rPr>
        <w:t xml:space="preserve">In a recent two-volume book </w:t>
      </w:r>
      <w:r>
        <w:rPr>
          <w:rFonts w:asciiTheme="majorHAnsi" w:hAnsiTheme="majorHAnsi"/>
        </w:rPr>
        <w:t>Bang et al. 2021</w:t>
      </w:r>
      <w:r w:rsidRPr="0050302A">
        <w:rPr>
          <w:rFonts w:asciiTheme="majorHAnsi" w:hAnsiTheme="majorHAnsi"/>
        </w:rPr>
        <w:t xml:space="preserve"> that brings together several scholars to examine empires across history through a comparative, thematic, and interdisciplinary lens, the notion of a singular fixed definition of empire is rejected and pragmatically replaced by a heuristic category: a flexible tool for comparison, rather than a rigid classification. Empires are recognized as historically variable, appearing in different regions, periods, and forms, yet always defined by scale, hierarchy, diversity, and asymmetry of power. Comparative studies are welcome, as long as the contextualization is intended as a counterbalance to the itch to force everything into a single model.</w:t>
      </w:r>
    </w:p>
    <w:p w14:paraId="0D1AE13C" w14:textId="77777777" w:rsidR="0050302A" w:rsidRPr="0050302A" w:rsidRDefault="0050302A" w:rsidP="0050302A">
      <w:pPr>
        <w:rPr>
          <w:rFonts w:asciiTheme="majorHAnsi" w:hAnsiTheme="majorHAnsi"/>
        </w:rPr>
      </w:pPr>
      <w:r>
        <w:rPr>
          <w:rFonts w:asciiTheme="majorHAnsi" w:hAnsiTheme="majorHAnsi"/>
        </w:rPr>
        <w:tab/>
      </w:r>
      <w:r w:rsidRPr="0050302A">
        <w:rPr>
          <w:rFonts w:asciiTheme="majorHAnsi" w:hAnsiTheme="majorHAnsi"/>
        </w:rPr>
        <w:t>In this paper our focus is not on economy, ideology, or political structures, but rather on time and space. Following Reynolds, and in line with the operational approach in (Bang et al. 2021), we lump together under the term “empires” the political entities able to enforce their laws and consisting of one ruling polity (the metropolis) and one or more subordinate polities (peripheries or colonies): at odds with federal states, for instance, where the different components are supposed to be equal. This working definition, while sweeping under the carpet many key details on the nature of sovereignty and territorial control, yet allows to talk about when and where such a political hegemony is established. In particular, we are interested in the lifespan of empires and whether or not one could clearly identify “phases” based on their territorial extent.</w:t>
      </w:r>
    </w:p>
    <w:p w14:paraId="39DD4685" w14:textId="78197F6C" w:rsidR="0050302A" w:rsidRPr="0050302A" w:rsidRDefault="0050302A" w:rsidP="0050302A">
      <w:pPr>
        <w:rPr>
          <w:rFonts w:asciiTheme="majorHAnsi" w:hAnsiTheme="majorHAnsi"/>
        </w:rPr>
      </w:pPr>
      <w:r>
        <w:rPr>
          <w:rFonts w:asciiTheme="majorHAnsi" w:hAnsiTheme="majorHAnsi"/>
        </w:rPr>
        <w:tab/>
      </w:r>
      <w:r w:rsidRPr="0050302A">
        <w:rPr>
          <w:rFonts w:asciiTheme="majorHAnsi" w:hAnsiTheme="majorHAnsi"/>
        </w:rPr>
        <w:t xml:space="preserve">The problem of understanding the life cycle of empires has attracted the attention of different scientific communities over the last few decades. Some scholars have focused on the expansion phase, the route to large territorial domains: </w:t>
      </w:r>
      <w:proofErr w:type="spellStart"/>
      <w:r w:rsidRPr="0050302A">
        <w:rPr>
          <w:rFonts w:asciiTheme="majorHAnsi" w:hAnsiTheme="majorHAnsi"/>
        </w:rPr>
        <w:t>Turchin</w:t>
      </w:r>
      <w:proofErr w:type="spellEnd"/>
      <w:r w:rsidRPr="0050302A">
        <w:rPr>
          <w:rFonts w:asciiTheme="majorHAnsi" w:hAnsiTheme="majorHAnsi"/>
        </w:rPr>
        <w:t xml:space="preserve"> </w:t>
      </w:r>
      <w:r>
        <w:rPr>
          <w:rFonts w:asciiTheme="majorHAnsi" w:hAnsiTheme="majorHAnsi"/>
        </w:rPr>
        <w:t>(</w:t>
      </w:r>
      <w:proofErr w:type="spellStart"/>
      <w:r>
        <w:rPr>
          <w:rFonts w:asciiTheme="majorHAnsi" w:hAnsiTheme="majorHAnsi"/>
        </w:rPr>
        <w:t>Turchin</w:t>
      </w:r>
      <w:proofErr w:type="spellEnd"/>
      <w:r>
        <w:rPr>
          <w:rFonts w:asciiTheme="majorHAnsi" w:hAnsiTheme="majorHAnsi"/>
        </w:rPr>
        <w:t xml:space="preserve"> 2009)</w:t>
      </w:r>
      <w:r w:rsidRPr="0050302A">
        <w:rPr>
          <w:rFonts w:asciiTheme="majorHAnsi" w:hAnsiTheme="majorHAnsi"/>
        </w:rPr>
        <w:t>,</w:t>
      </w:r>
      <w:r w:rsidR="00D56D01" w:rsidRPr="00D56D01">
        <w:rPr>
          <w:rFonts w:asciiTheme="majorHAnsi" w:hAnsiTheme="majorHAnsi"/>
        </w:rPr>
        <w:t xml:space="preserve"> </w:t>
      </w:r>
      <w:r w:rsidRPr="0050302A">
        <w:rPr>
          <w:rFonts w:asciiTheme="majorHAnsi" w:hAnsiTheme="majorHAnsi"/>
        </w:rPr>
        <w:t xml:space="preserve">for instance, proposed a model where the interplay between two populations, nomadic and settlers, generates a self-sustaining process leading to the creation of a strong political entity supported by </w:t>
      </w:r>
      <w:r w:rsidRPr="0050302A">
        <w:rPr>
          <w:rFonts w:asciiTheme="majorHAnsi" w:hAnsiTheme="majorHAnsi"/>
        </w:rPr>
        <w:lastRenderedPageBreak/>
        <w:t>a structured military power. In the majority of the studies, however, the goal is to try and understand how, when and why empires collapse: from Gibbon</w:t>
      </w:r>
      <w:r>
        <w:rPr>
          <w:rFonts w:asciiTheme="majorHAnsi" w:hAnsiTheme="majorHAnsi"/>
        </w:rPr>
        <w:t xml:space="preserve"> (1932)</w:t>
      </w:r>
      <w:r w:rsidRPr="0050302A">
        <w:rPr>
          <w:rFonts w:asciiTheme="majorHAnsi" w:hAnsiTheme="majorHAnsi"/>
        </w:rPr>
        <w:t xml:space="preserve"> to </w:t>
      </w:r>
      <w:proofErr w:type="spellStart"/>
      <w:r w:rsidRPr="0050302A">
        <w:rPr>
          <w:rFonts w:asciiTheme="majorHAnsi" w:hAnsiTheme="majorHAnsi"/>
        </w:rPr>
        <w:t>Tainter</w:t>
      </w:r>
      <w:proofErr w:type="spellEnd"/>
      <w:r w:rsidRPr="0050302A">
        <w:rPr>
          <w:rFonts w:asciiTheme="majorHAnsi" w:hAnsiTheme="majorHAnsi"/>
        </w:rPr>
        <w:t xml:space="preserve"> </w:t>
      </w:r>
      <w:r>
        <w:rPr>
          <w:rFonts w:asciiTheme="majorHAnsi" w:hAnsiTheme="majorHAnsi"/>
        </w:rPr>
        <w:t>(1988)</w:t>
      </w:r>
      <w:r w:rsidRPr="0050302A">
        <w:rPr>
          <w:rFonts w:asciiTheme="majorHAnsi" w:hAnsiTheme="majorHAnsi"/>
        </w:rPr>
        <w:t xml:space="preserve"> and Diamond </w:t>
      </w:r>
      <w:r>
        <w:rPr>
          <w:rFonts w:asciiTheme="majorHAnsi" w:hAnsiTheme="majorHAnsi"/>
        </w:rPr>
        <w:t xml:space="preserve">(2005) </w:t>
      </w:r>
      <w:r w:rsidRPr="0050302A">
        <w:rPr>
          <w:rFonts w:asciiTheme="majorHAnsi" w:hAnsiTheme="majorHAnsi"/>
        </w:rPr>
        <w:t>a large effort has been made on the contraction, fragmentation, and disintegration phases; usually a mix of both exogenous and endogenous elements are held responsible for the collapse of complex entities. In most of these approaches, providing one or more examples where the theory works well seems to be the most effective way to get the message across – rather than backing it with data spanning over different time periods and geographical areas.</w:t>
      </w:r>
    </w:p>
    <w:p w14:paraId="78E72E49" w14:textId="49426340" w:rsidR="0050302A" w:rsidRPr="0050302A" w:rsidRDefault="0050302A" w:rsidP="0050302A">
      <w:pPr>
        <w:rPr>
          <w:rFonts w:asciiTheme="majorHAnsi" w:hAnsiTheme="majorHAnsi"/>
        </w:rPr>
      </w:pPr>
      <w:r>
        <w:rPr>
          <w:rFonts w:asciiTheme="majorHAnsi" w:hAnsiTheme="majorHAnsi"/>
        </w:rPr>
        <w:tab/>
      </w:r>
      <w:r w:rsidRPr="0050302A">
        <w:rPr>
          <w:rFonts w:asciiTheme="majorHAnsi" w:hAnsiTheme="majorHAnsi"/>
        </w:rPr>
        <w:t xml:space="preserve">In a recent paper </w:t>
      </w:r>
      <w:proofErr w:type="spellStart"/>
      <w:r w:rsidRPr="0050302A">
        <w:rPr>
          <w:rFonts w:asciiTheme="majorHAnsi" w:hAnsiTheme="majorHAnsi"/>
        </w:rPr>
        <w:t>Arbesman</w:t>
      </w:r>
      <w:proofErr w:type="spellEnd"/>
      <w:r w:rsidRPr="0050302A">
        <w:rPr>
          <w:rFonts w:asciiTheme="majorHAnsi" w:hAnsiTheme="majorHAnsi"/>
        </w:rPr>
        <w:t xml:space="preserve"> </w:t>
      </w:r>
      <w:r w:rsidR="00F93261">
        <w:rPr>
          <w:rFonts w:asciiTheme="majorHAnsi" w:hAnsiTheme="majorHAnsi"/>
        </w:rPr>
        <w:t>(2011)</w:t>
      </w:r>
      <w:r w:rsidR="00F93261" w:rsidRPr="0050302A">
        <w:rPr>
          <w:rFonts w:asciiTheme="majorHAnsi" w:hAnsiTheme="majorHAnsi"/>
        </w:rPr>
        <w:t xml:space="preserve"> </w:t>
      </w:r>
      <w:r w:rsidRPr="0050302A">
        <w:rPr>
          <w:rFonts w:asciiTheme="majorHAnsi" w:hAnsiTheme="majorHAnsi"/>
        </w:rPr>
        <w:t xml:space="preserve">has focused on the distribution of empires’ duration by taking advantage of the data compiled by </w:t>
      </w:r>
      <w:proofErr w:type="spellStart"/>
      <w:r w:rsidRPr="0050302A">
        <w:rPr>
          <w:rFonts w:asciiTheme="majorHAnsi" w:hAnsiTheme="majorHAnsi"/>
        </w:rPr>
        <w:t>Taagepera</w:t>
      </w:r>
      <w:proofErr w:type="spellEnd"/>
      <w:r w:rsidRPr="0050302A">
        <w:rPr>
          <w:rFonts w:asciiTheme="majorHAnsi" w:hAnsiTheme="majorHAnsi"/>
        </w:rPr>
        <w:t xml:space="preserve"> for his seminal studies </w:t>
      </w:r>
      <w:r>
        <w:rPr>
          <w:rFonts w:asciiTheme="majorHAnsi" w:hAnsiTheme="majorHAnsi"/>
        </w:rPr>
        <w:t>(1978; 1979)</w:t>
      </w:r>
      <w:r w:rsidRPr="0050302A">
        <w:rPr>
          <w:rFonts w:asciiTheme="majorHAnsi" w:hAnsiTheme="majorHAnsi"/>
        </w:rPr>
        <w:t>. This dataset contains approximate size and dates for 41 empires spanning the period between 3000 BCE to 600 CE. The author finds that the distribution of lifetimes is, to a good approximation, exponential.</w:t>
      </w:r>
    </w:p>
    <w:p w14:paraId="57E79BC8" w14:textId="77777777" w:rsidR="0050302A" w:rsidRPr="0050302A" w:rsidRDefault="0050302A" w:rsidP="0050302A">
      <w:pPr>
        <w:rPr>
          <w:rFonts w:asciiTheme="majorHAnsi" w:hAnsiTheme="majorHAnsi"/>
        </w:rPr>
      </w:pPr>
      <w:r>
        <w:rPr>
          <w:rFonts w:asciiTheme="majorHAnsi" w:hAnsiTheme="majorHAnsi"/>
        </w:rPr>
        <w:tab/>
      </w:r>
      <w:r w:rsidRPr="0050302A">
        <w:rPr>
          <w:rFonts w:asciiTheme="majorHAnsi" w:hAnsiTheme="majorHAnsi"/>
        </w:rPr>
        <w:t xml:space="preserve">The first goal of this paper is to address the same question by using a much larger database to check the validity and robustness of </w:t>
      </w:r>
      <w:proofErr w:type="spellStart"/>
      <w:r w:rsidRPr="0050302A">
        <w:rPr>
          <w:rFonts w:asciiTheme="majorHAnsi" w:hAnsiTheme="majorHAnsi"/>
        </w:rPr>
        <w:t>Arbesman’s</w:t>
      </w:r>
      <w:proofErr w:type="spellEnd"/>
      <w:r w:rsidRPr="0050302A">
        <w:rPr>
          <w:rFonts w:asciiTheme="majorHAnsi" w:hAnsiTheme="majorHAnsi"/>
        </w:rPr>
        <w:t xml:space="preserve"> results. We then propose and compute a stand-in measure of an empire’s dimension and follow its evolution from birth to death. A simple mathematical model is used to fit the data and describe the typical </w:t>
      </w:r>
      <w:proofErr w:type="spellStart"/>
      <w:r w:rsidRPr="0050302A">
        <w:rPr>
          <w:rFonts w:asciiTheme="majorHAnsi" w:hAnsiTheme="majorHAnsi"/>
        </w:rPr>
        <w:t>behaviour</w:t>
      </w:r>
      <w:proofErr w:type="spellEnd"/>
      <w:r w:rsidRPr="0050302A">
        <w:rPr>
          <w:rFonts w:asciiTheme="majorHAnsi" w:hAnsiTheme="majorHAnsi"/>
        </w:rPr>
        <w:t xml:space="preserve"> of an empire throughout its whole life cycle. Our findings can be thought of as evidence for a simplified yet universal pattern of empires’ life cycle and collapse, where a distinction between short-lived and long-lived polities appears to be relevant.</w:t>
      </w:r>
    </w:p>
    <w:p w14:paraId="6B502BD5" w14:textId="77777777" w:rsidR="0050302A" w:rsidRPr="0050302A" w:rsidRDefault="0050302A" w:rsidP="0050302A">
      <w:pPr>
        <w:rPr>
          <w:rFonts w:asciiTheme="majorHAnsi" w:hAnsiTheme="majorHAnsi"/>
        </w:rPr>
      </w:pPr>
      <w:r>
        <w:rPr>
          <w:rFonts w:asciiTheme="majorHAnsi" w:hAnsiTheme="majorHAnsi"/>
        </w:rPr>
        <w:tab/>
      </w:r>
      <w:r w:rsidRPr="0050302A">
        <w:rPr>
          <w:rFonts w:asciiTheme="majorHAnsi" w:hAnsiTheme="majorHAnsi"/>
        </w:rPr>
        <w:t>In the next section we describe the data and present the results of our analysis about lifetime and size; the dynamical model is also introduced and used to interpret the empirical findings. A summary discussion is presented in the final section, along</w:t>
      </w:r>
      <w:r>
        <w:rPr>
          <w:rFonts w:asciiTheme="majorHAnsi" w:hAnsiTheme="majorHAnsi"/>
        </w:rPr>
        <w:t xml:space="preserve"> </w:t>
      </w:r>
      <w:r w:rsidRPr="0050302A">
        <w:rPr>
          <w:rFonts w:asciiTheme="majorHAnsi" w:hAnsiTheme="majorHAnsi"/>
        </w:rPr>
        <w:t>with some suggestions for future works</w:t>
      </w:r>
      <w:r>
        <w:rPr>
          <w:rFonts w:asciiTheme="majorHAnsi" w:hAnsiTheme="majorHAnsi"/>
        </w:rPr>
        <w:t>.</w:t>
      </w:r>
    </w:p>
    <w:p w14:paraId="7DAE84F5" w14:textId="77777777" w:rsidR="0050302A" w:rsidRDefault="0050302A" w:rsidP="0050302A">
      <w:pPr>
        <w:pStyle w:val="1"/>
      </w:pPr>
      <w:r w:rsidRPr="0050302A">
        <w:t xml:space="preserve"> 2</w:t>
      </w:r>
      <w:r w:rsidRPr="0050302A">
        <w:tab/>
        <w:t>Data, model, and results</w:t>
      </w:r>
    </w:p>
    <w:p w14:paraId="2B2FB180" w14:textId="2C73492F" w:rsidR="0050302A" w:rsidRPr="0050302A" w:rsidRDefault="0050302A" w:rsidP="0050302A">
      <w:pPr>
        <w:rPr>
          <w:rFonts w:asciiTheme="majorHAnsi" w:hAnsiTheme="majorHAnsi"/>
        </w:rPr>
      </w:pPr>
      <w:r w:rsidRPr="0050302A">
        <w:rPr>
          <w:rFonts w:asciiTheme="majorHAnsi" w:hAnsiTheme="majorHAnsi"/>
        </w:rPr>
        <w:t xml:space="preserve">In order to support the idea that the very existence of empires facilitated trades within their territories, </w:t>
      </w:r>
      <w:proofErr w:type="spellStart"/>
      <w:r w:rsidRPr="0050302A">
        <w:rPr>
          <w:rFonts w:asciiTheme="majorHAnsi" w:hAnsiTheme="majorHAnsi"/>
        </w:rPr>
        <w:t>Gokmen</w:t>
      </w:r>
      <w:proofErr w:type="spellEnd"/>
      <w:r w:rsidRPr="0050302A">
        <w:rPr>
          <w:rFonts w:asciiTheme="majorHAnsi" w:hAnsiTheme="majorHAnsi"/>
        </w:rPr>
        <w:t xml:space="preserve"> et al. </w:t>
      </w:r>
      <w:r w:rsidR="00D56D01" w:rsidRPr="00D56D01">
        <w:rPr>
          <w:rFonts w:asciiTheme="majorHAnsi" w:hAnsiTheme="majorHAnsi"/>
        </w:rPr>
        <w:t>(</w:t>
      </w:r>
      <w:r w:rsidR="00F93261" w:rsidRPr="00F93261">
        <w:rPr>
          <w:rFonts w:asciiTheme="majorHAnsi" w:hAnsiTheme="majorHAnsi"/>
        </w:rPr>
        <w:t>2020</w:t>
      </w:r>
      <w:r w:rsidR="00D56D01" w:rsidRPr="00D56D01">
        <w:rPr>
          <w:rFonts w:asciiTheme="majorHAnsi" w:hAnsiTheme="majorHAnsi"/>
        </w:rPr>
        <w:t>)</w:t>
      </w:r>
      <w:r w:rsidRPr="0050302A">
        <w:rPr>
          <w:rFonts w:asciiTheme="majorHAnsi" w:hAnsiTheme="majorHAnsi"/>
        </w:rPr>
        <w:t xml:space="preserve"> collected data on rise and fall of global empires over the last five thousand years. The database contains 168 different political entities, the approximate start/end years, and some more details including the number of (modern) countries included in each empire at a given time</w:t>
      </w:r>
      <w:r w:rsidR="00F93261">
        <w:rPr>
          <w:rStyle w:val="a6"/>
          <w:rFonts w:asciiTheme="majorHAnsi" w:hAnsiTheme="majorHAnsi"/>
        </w:rPr>
        <w:footnoteReference w:id="1"/>
      </w:r>
      <w:r w:rsidRPr="0050302A">
        <w:rPr>
          <w:rFonts w:asciiTheme="majorHAnsi" w:hAnsiTheme="majorHAnsi"/>
        </w:rPr>
        <w:t xml:space="preserve">. The sources for these </w:t>
      </w:r>
      <w:proofErr w:type="spellStart"/>
      <w:r w:rsidRPr="0050302A">
        <w:rPr>
          <w:rFonts w:asciiTheme="majorHAnsi" w:hAnsiTheme="majorHAnsi"/>
        </w:rPr>
        <w:t>informations</w:t>
      </w:r>
      <w:proofErr w:type="spellEnd"/>
      <w:r w:rsidRPr="0050302A">
        <w:rPr>
          <w:rFonts w:asciiTheme="majorHAnsi" w:hAnsiTheme="majorHAnsi"/>
        </w:rPr>
        <w:t xml:space="preserve"> are diverse and range from specialized books to historical atlases or online encyclopedias like Britannica and World History. The very definition of chronological boundaries depends on some considerations which may come across as controversial: for instance, the Roman and Byzantine Empires are both treated as one long political entity, while every </w:t>
      </w:r>
      <w:r w:rsidRPr="0050302A">
        <w:rPr>
          <w:rFonts w:asciiTheme="majorHAnsi" w:hAnsiTheme="majorHAnsi"/>
        </w:rPr>
        <w:lastRenderedPageBreak/>
        <w:t>Chinese dynasty is different. We believe that this should not be a major problem for our statistical study because the results, as we will see below, turn out to be quite robust.</w:t>
      </w:r>
    </w:p>
    <w:p w14:paraId="5FB95723" w14:textId="77777777" w:rsidR="0050302A" w:rsidRDefault="0050302A" w:rsidP="0050302A">
      <w:pPr>
        <w:rPr>
          <w:rFonts w:asciiTheme="majorHAnsi" w:hAnsiTheme="majorHAnsi"/>
        </w:rPr>
      </w:pPr>
      <w:r>
        <w:rPr>
          <w:rFonts w:asciiTheme="majorHAnsi" w:hAnsiTheme="majorHAnsi"/>
        </w:rPr>
        <w:tab/>
      </w:r>
      <w:r w:rsidRPr="0050302A">
        <w:rPr>
          <w:rFonts w:asciiTheme="majorHAnsi" w:hAnsiTheme="majorHAnsi"/>
        </w:rPr>
        <w:t xml:space="preserve">The oldest empires recorded in the database go back to the third millennium BCE (Elam and the Akkadian Empire). The five longest are the </w:t>
      </w:r>
      <w:proofErr w:type="spellStart"/>
      <w:r w:rsidRPr="0050302A">
        <w:rPr>
          <w:rFonts w:asciiTheme="majorHAnsi" w:hAnsiTheme="majorHAnsi"/>
        </w:rPr>
        <w:t>Pandyan</w:t>
      </w:r>
      <w:proofErr w:type="spellEnd"/>
      <w:r w:rsidRPr="0050302A">
        <w:rPr>
          <w:rFonts w:asciiTheme="majorHAnsi" w:hAnsiTheme="majorHAnsi"/>
        </w:rPr>
        <w:t xml:space="preserve"> dynasty in south India, Elam in Iran (both around 2000 years), the Roman and Byzantine Empires, and the Republic of Venice, all three just above one millennium. The shortest-lived political entities are the First Mexican Empire, queen Zenobia’s Palmyrene kingdom, the Third Reich and the Korean Empire, all of them lasting only a few years</w:t>
      </w:r>
      <w:r>
        <w:rPr>
          <w:rFonts w:asciiTheme="majorHAnsi" w:hAnsiTheme="majorHAnsi"/>
        </w:rPr>
        <w:t>.</w:t>
      </w:r>
    </w:p>
    <w:p w14:paraId="6450B92C" w14:textId="77777777" w:rsidR="0050302A" w:rsidRPr="0050302A" w:rsidRDefault="0050302A" w:rsidP="0050302A">
      <w:pPr>
        <w:pStyle w:val="21"/>
      </w:pPr>
      <w:r w:rsidRPr="0050302A">
        <w:t>2.1</w:t>
      </w:r>
      <w:r w:rsidRPr="0050302A">
        <w:tab/>
      </w:r>
      <w:r>
        <w:t xml:space="preserve">. </w:t>
      </w:r>
      <w:r w:rsidRPr="0050302A">
        <w:t>Duration</w:t>
      </w:r>
    </w:p>
    <w:p w14:paraId="4E681199" w14:textId="09D94698" w:rsidR="00BA5BCB" w:rsidRDefault="0050302A" w:rsidP="0050302A">
      <w:pPr>
        <w:rPr>
          <w:rFonts w:asciiTheme="majorHAnsi" w:hAnsiTheme="majorHAnsi"/>
        </w:rPr>
      </w:pPr>
      <w:r w:rsidRPr="0050302A">
        <w:rPr>
          <w:rFonts w:asciiTheme="majorHAnsi" w:hAnsiTheme="majorHAnsi"/>
        </w:rPr>
        <w:t>The empirical average duration is 298 years, and if we remove the outliers (i.e. the durations larger than 1500 years) that average goes down to 277. Without resorting to sophisticated statistical firepower, it is reasonable to assume that the unbiased</w:t>
      </w:r>
      <w:r w:rsidR="00A87A19" w:rsidRPr="00A87A19">
        <w:rPr>
          <w:rFonts w:asciiTheme="majorHAnsi" w:hAnsiTheme="majorHAnsi"/>
        </w:rPr>
        <w:t xml:space="preserve"> </w:t>
      </w:r>
      <w:r w:rsidRPr="0050302A">
        <w:rPr>
          <w:rFonts w:asciiTheme="majorHAnsi" w:hAnsiTheme="majorHAnsi"/>
        </w:rPr>
        <w:t xml:space="preserve">estimate of the mean value lies between these two numbers, which are very close anyway. The standard deviation computed from the data is 310 years, roughly equal to the average: a first clue that the distribution might be exponential. It is also worth noting that the median is 210 years, which means that at least half of the empires lasted more than two centuries; moreover, the median for an exponential distribution is </w:t>
      </w:r>
      <w:proofErr w:type="gramStart"/>
      <w:r w:rsidRPr="0050302A">
        <w:rPr>
          <w:rFonts w:asciiTheme="majorHAnsi" w:hAnsiTheme="majorHAnsi"/>
        </w:rPr>
        <w:t>ln(</w:t>
      </w:r>
      <w:proofErr w:type="gramEnd"/>
      <w:r w:rsidRPr="0050302A">
        <w:rPr>
          <w:rFonts w:asciiTheme="majorHAnsi" w:hAnsiTheme="majorHAnsi"/>
        </w:rPr>
        <w:t xml:space="preserve">2)× mean, which gives ≃ 207 years in our case. </w:t>
      </w:r>
    </w:p>
    <w:p w14:paraId="0977FC84" w14:textId="59C94518" w:rsidR="0050302A" w:rsidRDefault="00BA5BCB" w:rsidP="0050302A">
      <w:pPr>
        <w:rPr>
          <w:rFonts w:asciiTheme="majorHAnsi" w:hAnsiTheme="majorHAnsi"/>
        </w:rPr>
      </w:pPr>
      <w:r>
        <w:rPr>
          <w:rFonts w:asciiTheme="majorHAnsi" w:hAnsiTheme="majorHAnsi"/>
        </w:rPr>
        <w:tab/>
      </w:r>
      <w:r w:rsidR="0050302A" w:rsidRPr="0050302A">
        <w:rPr>
          <w:rFonts w:asciiTheme="majorHAnsi" w:hAnsiTheme="majorHAnsi"/>
        </w:rPr>
        <w:t xml:space="preserve">Synthetic indicators such as mean, standard deviation or median might be extremely useful to get a first feeling of the data but a deeper insight requires a look at the full distribution. In Fig. 1 we show the complementary cumulative distribution of the duration of the empires, that is our estimate of the chance </w:t>
      </w:r>
      <w:r>
        <w:rPr>
          <w:rFonts w:ascii="Verdana" w:hAnsi="Verdana"/>
        </w:rPr>
        <w:t>P</w:t>
      </w:r>
      <w:r w:rsidRPr="00BA5BCB">
        <w:rPr>
          <w:rFonts w:asciiTheme="majorHAnsi" w:hAnsiTheme="majorHAnsi"/>
          <w:i/>
          <w:iCs/>
        </w:rPr>
        <w:t xml:space="preserve"> </w:t>
      </w:r>
      <w:r w:rsidR="0050302A" w:rsidRPr="0050302A">
        <w:rPr>
          <w:rFonts w:asciiTheme="majorHAnsi" w:hAnsiTheme="majorHAnsi"/>
        </w:rPr>
        <w:t>(</w:t>
      </w:r>
      <w:r w:rsidR="0050302A" w:rsidRPr="0050302A">
        <w:rPr>
          <w:rFonts w:asciiTheme="majorHAnsi" w:hAnsiTheme="majorHAnsi"/>
          <w:i/>
          <w:iCs/>
        </w:rPr>
        <w:t>T</w:t>
      </w:r>
      <w:r w:rsidR="0050302A" w:rsidRPr="0050302A">
        <w:rPr>
          <w:rFonts w:asciiTheme="majorHAnsi" w:hAnsiTheme="majorHAnsi"/>
        </w:rPr>
        <w:t xml:space="preserve"> ≥ </w:t>
      </w:r>
      <w:r w:rsidR="0050302A" w:rsidRPr="0050302A">
        <w:rPr>
          <w:rFonts w:asciiTheme="majorHAnsi" w:hAnsiTheme="majorHAnsi"/>
          <w:i/>
          <w:iCs/>
        </w:rPr>
        <w:t>t</w:t>
      </w:r>
      <w:r w:rsidR="0050302A" w:rsidRPr="0050302A">
        <w:rPr>
          <w:rFonts w:asciiTheme="majorHAnsi" w:hAnsiTheme="majorHAnsi"/>
        </w:rPr>
        <w:t xml:space="preserve">) of observing a duration </w:t>
      </w:r>
      <w:r w:rsidR="0050302A" w:rsidRPr="00BA5BCB">
        <w:rPr>
          <w:rFonts w:asciiTheme="majorHAnsi" w:hAnsiTheme="majorHAnsi"/>
          <w:i/>
          <w:iCs/>
        </w:rPr>
        <w:t>T</w:t>
      </w:r>
      <w:r w:rsidR="0050302A" w:rsidRPr="0050302A">
        <w:rPr>
          <w:rFonts w:asciiTheme="majorHAnsi" w:hAnsiTheme="majorHAnsi"/>
        </w:rPr>
        <w:t xml:space="preserve"> larger than (or equal to) a given time t. Looking at this quantity instead of the simple empirical frequency is common in data analysis because it ensures a significant noise reduction in the visualization. On the x-axis the duration t is measured in years, and the probability on the y-axis (on a </w:t>
      </w:r>
      <w:r w:rsidRPr="0050302A">
        <w:rPr>
          <w:rFonts w:asciiTheme="majorHAnsi" w:hAnsiTheme="majorHAnsi"/>
        </w:rPr>
        <w:t>logarithmic</w:t>
      </w:r>
      <w:r w:rsidR="0050302A" w:rsidRPr="0050302A">
        <w:rPr>
          <w:rFonts w:asciiTheme="majorHAnsi" w:hAnsiTheme="majorHAnsi"/>
        </w:rPr>
        <w:t xml:space="preserve"> scale) is computed by counting for each </w:t>
      </w:r>
      <w:r w:rsidR="0050302A" w:rsidRPr="00BA5BCB">
        <w:rPr>
          <w:rFonts w:asciiTheme="majorHAnsi" w:hAnsiTheme="majorHAnsi"/>
          <w:i/>
          <w:iCs/>
        </w:rPr>
        <w:t>t</w:t>
      </w:r>
      <w:r w:rsidR="0050302A" w:rsidRPr="0050302A">
        <w:rPr>
          <w:rFonts w:asciiTheme="majorHAnsi" w:hAnsiTheme="majorHAnsi"/>
        </w:rPr>
        <w:t xml:space="preserve"> the number of entities which lasted as much as or more than</w:t>
      </w:r>
      <w:r>
        <w:rPr>
          <w:rFonts w:asciiTheme="majorHAnsi" w:hAnsiTheme="majorHAnsi"/>
        </w:rPr>
        <w:t xml:space="preserve"> </w:t>
      </w:r>
      <w:r w:rsidR="0050302A" w:rsidRPr="00BA5BCB">
        <w:rPr>
          <w:rFonts w:asciiTheme="majorHAnsi" w:hAnsiTheme="majorHAnsi"/>
          <w:i/>
          <w:iCs/>
        </w:rPr>
        <w:t>t</w:t>
      </w:r>
      <w:r w:rsidR="0050302A" w:rsidRPr="0050302A">
        <w:rPr>
          <w:rFonts w:asciiTheme="majorHAnsi" w:hAnsiTheme="majorHAnsi"/>
        </w:rPr>
        <w:t>: this number is then divided by the total number of observations in such a way that as the duration increases the probability goes from one to zero (or, in our finite size real-case, to 1/168).</w:t>
      </w:r>
    </w:p>
    <w:p w14:paraId="7719076A" w14:textId="77777777" w:rsidR="00A87A19" w:rsidRPr="0050302A" w:rsidRDefault="00A87A19" w:rsidP="00A87A19">
      <w:pPr>
        <w:jc w:val="center"/>
        <w:rPr>
          <w:rFonts w:asciiTheme="majorHAnsi" w:hAnsiTheme="majorHAnsi"/>
        </w:rPr>
      </w:pPr>
      <w:r>
        <w:rPr>
          <w:rFonts w:asciiTheme="majorHAnsi" w:hAnsiTheme="majorHAnsi"/>
          <w:noProof/>
        </w:rPr>
        <w:lastRenderedPageBreak/>
        <w:drawing>
          <wp:inline distT="0" distB="0" distL="0" distR="0" wp14:anchorId="72BEDF8D" wp14:editId="1F9310DF">
            <wp:extent cx="3511550" cy="23348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1550" cy="2334895"/>
                    </a:xfrm>
                    <a:prstGeom prst="rect">
                      <a:avLst/>
                    </a:prstGeom>
                    <a:noFill/>
                  </pic:spPr>
                </pic:pic>
              </a:graphicData>
            </a:graphic>
          </wp:inline>
        </w:drawing>
      </w:r>
    </w:p>
    <w:p w14:paraId="163E653F" w14:textId="77777777" w:rsidR="00A87A19" w:rsidRPr="0050302A" w:rsidRDefault="00A87A19" w:rsidP="00A87A19">
      <w:pPr>
        <w:rPr>
          <w:rFonts w:asciiTheme="majorHAnsi" w:hAnsiTheme="majorHAnsi"/>
        </w:rPr>
      </w:pPr>
      <w:r w:rsidRPr="0050302A">
        <w:rPr>
          <w:rFonts w:asciiTheme="majorHAnsi" w:hAnsiTheme="majorHAnsi"/>
          <w:b/>
          <w:bCs/>
        </w:rPr>
        <w:t>Figure 1</w:t>
      </w:r>
      <w:r>
        <w:rPr>
          <w:rFonts w:asciiTheme="majorHAnsi" w:hAnsiTheme="majorHAnsi"/>
          <w:b/>
          <w:bCs/>
        </w:rPr>
        <w:t>.</w:t>
      </w:r>
      <w:r w:rsidRPr="0050302A">
        <w:rPr>
          <w:rFonts w:asciiTheme="majorHAnsi" w:hAnsiTheme="majorHAnsi"/>
        </w:rPr>
        <w:t xml:space="preserve"> The cumulative distribution of empires’ lifetime, along with the exponential fit. Note the log-scale on the y-axis.</w:t>
      </w:r>
    </w:p>
    <w:p w14:paraId="5B1F16F0" w14:textId="67FAFD2C" w:rsidR="0050302A" w:rsidRPr="0050302A" w:rsidRDefault="0050302A" w:rsidP="0050302A">
      <w:pPr>
        <w:rPr>
          <w:rFonts w:asciiTheme="majorHAnsi" w:hAnsiTheme="majorHAnsi"/>
        </w:rPr>
      </w:pPr>
      <w:r w:rsidRPr="0050302A">
        <w:rPr>
          <w:rFonts w:asciiTheme="majorHAnsi" w:hAnsiTheme="majorHAnsi"/>
        </w:rPr>
        <w:t xml:space="preserve">The straight line on the same panel is the exponential fit </w:t>
      </w:r>
      <w:r w:rsidR="00BA5BCB">
        <w:rPr>
          <w:rFonts w:ascii="Verdana" w:hAnsi="Verdana"/>
        </w:rPr>
        <w:t>P</w:t>
      </w:r>
      <w:r w:rsidR="00BA5BCB" w:rsidRPr="0050302A">
        <w:rPr>
          <w:rFonts w:asciiTheme="majorHAnsi" w:hAnsiTheme="majorHAnsi"/>
        </w:rPr>
        <w:t xml:space="preserve"> </w:t>
      </w:r>
      <w:r w:rsidRPr="0050302A">
        <w:rPr>
          <w:rFonts w:asciiTheme="majorHAnsi" w:hAnsiTheme="majorHAnsi"/>
        </w:rPr>
        <w:t>(</w:t>
      </w:r>
      <w:r w:rsidRPr="00BA5BCB">
        <w:rPr>
          <w:rFonts w:asciiTheme="majorHAnsi" w:hAnsiTheme="majorHAnsi"/>
          <w:i/>
          <w:iCs/>
        </w:rPr>
        <w:t>T</w:t>
      </w:r>
      <w:r w:rsidRPr="0050302A">
        <w:rPr>
          <w:rFonts w:asciiTheme="majorHAnsi" w:hAnsiTheme="majorHAnsi"/>
        </w:rPr>
        <w:t xml:space="preserve"> ≥ </w:t>
      </w:r>
      <w:r w:rsidRPr="00BA5BCB">
        <w:rPr>
          <w:rFonts w:asciiTheme="majorHAnsi" w:hAnsiTheme="majorHAnsi"/>
          <w:i/>
          <w:iCs/>
        </w:rPr>
        <w:t>t</w:t>
      </w:r>
      <w:r w:rsidRPr="0050302A">
        <w:rPr>
          <w:rFonts w:asciiTheme="majorHAnsi" w:hAnsiTheme="majorHAnsi"/>
        </w:rPr>
        <w:t xml:space="preserve">) = </w:t>
      </w:r>
      <w:r w:rsidRPr="00BA5BCB">
        <w:rPr>
          <w:rFonts w:asciiTheme="majorHAnsi" w:hAnsiTheme="majorHAnsi"/>
          <w:i/>
          <w:iCs/>
        </w:rPr>
        <w:t>e</w:t>
      </w:r>
      <w:r w:rsidRPr="00BA5BCB">
        <w:rPr>
          <w:rFonts w:asciiTheme="majorHAnsi" w:hAnsiTheme="majorHAnsi"/>
          <w:vertAlign w:val="superscript"/>
        </w:rPr>
        <w:t>−t/</w:t>
      </w:r>
      <w:proofErr w:type="gramStart"/>
      <w:r w:rsidRPr="00BA5BCB">
        <w:rPr>
          <w:rFonts w:asciiTheme="majorHAnsi" w:hAnsiTheme="majorHAnsi"/>
          <w:vertAlign w:val="superscript"/>
        </w:rPr>
        <w:t>τ</w:t>
      </w:r>
      <w:r w:rsidRPr="0050302A">
        <w:rPr>
          <w:rFonts w:asciiTheme="majorHAnsi" w:hAnsiTheme="majorHAnsi"/>
        </w:rPr>
        <w:t xml:space="preserve"> ,</w:t>
      </w:r>
      <w:proofErr w:type="gramEnd"/>
      <w:r w:rsidRPr="0050302A">
        <w:rPr>
          <w:rFonts w:asciiTheme="majorHAnsi" w:hAnsiTheme="majorHAnsi"/>
        </w:rPr>
        <w:t xml:space="preserve"> where</w:t>
      </w:r>
    </w:p>
    <w:p w14:paraId="52BFDDDD" w14:textId="77777777" w:rsidR="0050302A" w:rsidRDefault="0050302A" w:rsidP="0050302A">
      <w:pPr>
        <w:rPr>
          <w:rFonts w:asciiTheme="majorHAnsi" w:hAnsiTheme="majorHAnsi"/>
        </w:rPr>
      </w:pPr>
      <w:r w:rsidRPr="0050302A">
        <w:rPr>
          <w:rFonts w:asciiTheme="majorHAnsi" w:hAnsiTheme="majorHAnsi"/>
        </w:rPr>
        <w:t xml:space="preserve">the time-scale </w:t>
      </w:r>
      <w:r w:rsidRPr="00BA5BCB">
        <w:rPr>
          <w:rFonts w:asciiTheme="majorHAnsi" w:hAnsiTheme="majorHAnsi"/>
          <w:i/>
          <w:iCs/>
        </w:rPr>
        <w:t>τ</w:t>
      </w:r>
      <w:r w:rsidRPr="0050302A">
        <w:rPr>
          <w:rFonts w:asciiTheme="majorHAnsi" w:hAnsiTheme="majorHAnsi"/>
        </w:rPr>
        <w:t xml:space="preserve"> = 298 is equal to the empirical average. The fit works well on the data over two orders of magnitude, a remarkable feature. Pushing further the analysis we have performed a Kolmogorov-Smirnov test (which is known to work well even with relatively small sample sizes) to compare our data sample with the theoretical exponential probability. We obtain a </w:t>
      </w:r>
      <w:r w:rsidRPr="00BA5BCB">
        <w:rPr>
          <w:rFonts w:asciiTheme="majorHAnsi" w:hAnsiTheme="majorHAnsi"/>
          <w:i/>
          <w:iCs/>
        </w:rPr>
        <w:t>p</w:t>
      </w:r>
      <w:r w:rsidRPr="0050302A">
        <w:rPr>
          <w:rFonts w:asciiTheme="majorHAnsi" w:hAnsiTheme="majorHAnsi"/>
        </w:rPr>
        <w:t>-value of 0.71, well above the standard threshold of 0.05, a strong evidence in support of the exponential model</w:t>
      </w:r>
      <w:r w:rsidR="00BA5BCB">
        <w:rPr>
          <w:rStyle w:val="a6"/>
          <w:rFonts w:asciiTheme="majorHAnsi" w:hAnsiTheme="majorHAnsi"/>
        </w:rPr>
        <w:footnoteReference w:id="2"/>
      </w:r>
      <w:r w:rsidR="00BA5BCB">
        <w:rPr>
          <w:rFonts w:asciiTheme="majorHAnsi" w:hAnsiTheme="majorHAnsi"/>
        </w:rPr>
        <w:t>.</w:t>
      </w:r>
    </w:p>
    <w:p w14:paraId="25AF379C" w14:textId="77777777" w:rsidR="0050302A" w:rsidRPr="0050302A" w:rsidRDefault="00BA5BCB" w:rsidP="0050302A">
      <w:pPr>
        <w:rPr>
          <w:rFonts w:asciiTheme="majorHAnsi" w:hAnsiTheme="majorHAnsi"/>
        </w:rPr>
      </w:pPr>
      <w:r>
        <w:rPr>
          <w:rFonts w:asciiTheme="majorHAnsi" w:hAnsiTheme="majorHAnsi"/>
        </w:rPr>
        <w:tab/>
      </w:r>
      <w:r w:rsidR="0050302A" w:rsidRPr="0050302A">
        <w:rPr>
          <w:rFonts w:asciiTheme="majorHAnsi" w:hAnsiTheme="majorHAnsi"/>
        </w:rPr>
        <w:t xml:space="preserve">Given these findings, we can safely conclude that the data are compatible with an exponential model for the duration of empires, thus confirming </w:t>
      </w:r>
      <w:proofErr w:type="spellStart"/>
      <w:r w:rsidR="0050302A" w:rsidRPr="0050302A">
        <w:rPr>
          <w:rFonts w:asciiTheme="majorHAnsi" w:hAnsiTheme="majorHAnsi"/>
        </w:rPr>
        <w:t>Arbesman’s</w:t>
      </w:r>
      <w:proofErr w:type="spellEnd"/>
      <w:r w:rsidR="0050302A" w:rsidRPr="0050302A">
        <w:rPr>
          <w:rFonts w:asciiTheme="majorHAnsi" w:hAnsiTheme="majorHAnsi"/>
        </w:rPr>
        <w:t xml:space="preserve"> results. Nevertheless, he finds τ ≃ 220, which is somehow smaller than our value.</w:t>
      </w:r>
    </w:p>
    <w:p w14:paraId="4DF52AB8" w14:textId="6E32BFE9" w:rsidR="0050302A" w:rsidRDefault="00BA5BCB" w:rsidP="0050302A">
      <w:pPr>
        <w:rPr>
          <w:rFonts w:asciiTheme="majorHAnsi" w:hAnsiTheme="majorHAnsi"/>
        </w:rPr>
      </w:pPr>
      <w:r>
        <w:rPr>
          <w:rFonts w:asciiTheme="majorHAnsi" w:hAnsiTheme="majorHAnsi"/>
        </w:rPr>
        <w:tab/>
      </w:r>
      <w:r w:rsidR="0050302A" w:rsidRPr="0050302A">
        <w:rPr>
          <w:rFonts w:asciiTheme="majorHAnsi" w:hAnsiTheme="majorHAnsi"/>
        </w:rPr>
        <w:t xml:space="preserve">As already pointed out by </w:t>
      </w:r>
      <w:proofErr w:type="spellStart"/>
      <w:r w:rsidR="0050302A" w:rsidRPr="0050302A">
        <w:rPr>
          <w:rFonts w:asciiTheme="majorHAnsi" w:hAnsiTheme="majorHAnsi"/>
        </w:rPr>
        <w:t>Arbesman</w:t>
      </w:r>
      <w:proofErr w:type="spellEnd"/>
      <w:r w:rsidR="0050302A" w:rsidRPr="0050302A">
        <w:rPr>
          <w:rFonts w:asciiTheme="majorHAnsi" w:hAnsiTheme="majorHAnsi"/>
        </w:rPr>
        <w:t xml:space="preserve"> himself and others, the exponential </w:t>
      </w:r>
      <w:proofErr w:type="spellStart"/>
      <w:r w:rsidR="0050302A" w:rsidRPr="0050302A">
        <w:rPr>
          <w:rFonts w:asciiTheme="majorHAnsi" w:hAnsiTheme="majorHAnsi"/>
        </w:rPr>
        <w:t>distri</w:t>
      </w:r>
      <w:proofErr w:type="spellEnd"/>
      <w:r w:rsidR="0050302A" w:rsidRPr="0050302A">
        <w:rPr>
          <w:rFonts w:asciiTheme="majorHAnsi" w:hAnsiTheme="majorHAnsi"/>
        </w:rPr>
        <w:t xml:space="preserve">- </w:t>
      </w:r>
      <w:proofErr w:type="spellStart"/>
      <w:r w:rsidR="0050302A" w:rsidRPr="0050302A">
        <w:rPr>
          <w:rFonts w:asciiTheme="majorHAnsi" w:hAnsiTheme="majorHAnsi"/>
        </w:rPr>
        <w:t>bution</w:t>
      </w:r>
      <w:proofErr w:type="spellEnd"/>
      <w:r w:rsidR="0050302A" w:rsidRPr="0050302A">
        <w:rPr>
          <w:rFonts w:asciiTheme="majorHAnsi" w:hAnsiTheme="majorHAnsi"/>
        </w:rPr>
        <w:t xml:space="preserve"> has the memoryless property, which says that the likelihood of the next event does not depend on any past information. In our case, it means that the probability of collapse of an empire does not depend on its age: it can happen at every time, and having survived for long does not make a political entity more stable. This is not very intuitive as one would expect a centuries-old empire to be more resilient to, say, exogenous perturbations or internal crisis: but this argument is flawed because an empire is far from being an isolated system. Instead, it is usually embedded in a complex environment and competing with “conspecifics” for the same resources. This remark, along with the analogy with </w:t>
      </w:r>
      <w:r w:rsidR="0050302A" w:rsidRPr="0050302A">
        <w:rPr>
          <w:rFonts w:asciiTheme="majorHAnsi" w:hAnsiTheme="majorHAnsi"/>
        </w:rPr>
        <w:lastRenderedPageBreak/>
        <w:t xml:space="preserve">biological species, led scholars to stress the role of what has been called the “Red Queen” effect </w:t>
      </w:r>
      <w:r>
        <w:rPr>
          <w:rFonts w:asciiTheme="majorHAnsi" w:hAnsiTheme="majorHAnsi"/>
        </w:rPr>
        <w:t xml:space="preserve">(Van </w:t>
      </w:r>
      <w:proofErr w:type="spellStart"/>
      <w:r>
        <w:rPr>
          <w:rFonts w:asciiTheme="majorHAnsi" w:hAnsiTheme="majorHAnsi"/>
        </w:rPr>
        <w:t>Valen</w:t>
      </w:r>
      <w:proofErr w:type="spellEnd"/>
      <w:r>
        <w:rPr>
          <w:rFonts w:asciiTheme="majorHAnsi" w:hAnsiTheme="majorHAnsi"/>
        </w:rPr>
        <w:t xml:space="preserve"> 1973)</w:t>
      </w:r>
      <w:r w:rsidR="0050302A" w:rsidRPr="0050302A">
        <w:rPr>
          <w:rFonts w:asciiTheme="majorHAnsi" w:hAnsiTheme="majorHAnsi"/>
        </w:rPr>
        <w:t>, where civilizations constantly adapt to a changing</w:t>
      </w:r>
      <w:r w:rsidR="004C582D">
        <w:rPr>
          <w:rFonts w:asciiTheme="majorHAnsi" w:hAnsiTheme="majorHAnsi"/>
        </w:rPr>
        <w:t xml:space="preserve"> </w:t>
      </w:r>
      <w:r w:rsidR="0050302A" w:rsidRPr="0050302A">
        <w:rPr>
          <w:rFonts w:asciiTheme="majorHAnsi" w:hAnsiTheme="majorHAnsi"/>
        </w:rPr>
        <w:t>and strongly competitive environment</w:t>
      </w:r>
      <w:r>
        <w:rPr>
          <w:rFonts w:asciiTheme="majorHAnsi" w:hAnsiTheme="majorHAnsi"/>
        </w:rPr>
        <w:t>.</w:t>
      </w:r>
    </w:p>
    <w:p w14:paraId="5174C6E2" w14:textId="6B2C2450" w:rsidR="00BA5BCB" w:rsidRDefault="00BA5BCB" w:rsidP="0050302A">
      <w:pPr>
        <w:rPr>
          <w:rFonts w:asciiTheme="majorHAnsi" w:hAnsiTheme="majorHAnsi"/>
        </w:rPr>
      </w:pPr>
    </w:p>
    <w:p w14:paraId="07FEB77A" w14:textId="2BF93A38" w:rsidR="00BA5BCB" w:rsidRPr="00BA5BCB" w:rsidRDefault="004C582D" w:rsidP="00BA5BCB">
      <w:pPr>
        <w:rPr>
          <w:rFonts w:asciiTheme="majorHAnsi" w:hAnsiTheme="majorHAnsi"/>
        </w:rPr>
      </w:pPr>
      <w:r>
        <w:rPr>
          <w:rFonts w:ascii="Times New Roman"/>
          <w:noProof/>
        </w:rPr>
        <w:drawing>
          <wp:anchor distT="0" distB="0" distL="114300" distR="114300" simplePos="0" relativeHeight="251659264" behindDoc="0" locked="0" layoutInCell="1" allowOverlap="1" wp14:anchorId="54BB0851" wp14:editId="49A379B4">
            <wp:simplePos x="0" y="0"/>
            <wp:positionH relativeFrom="margin">
              <wp:posOffset>2153295</wp:posOffset>
            </wp:positionH>
            <wp:positionV relativeFrom="paragraph">
              <wp:posOffset>6919</wp:posOffset>
            </wp:positionV>
            <wp:extent cx="2238375" cy="1017270"/>
            <wp:effectExtent l="0" t="0" r="9525" b="0"/>
            <wp:wrapThrough wrapText="bothSides">
              <wp:wrapPolygon edited="0">
                <wp:start x="0" y="0"/>
                <wp:lineTo x="0" y="21034"/>
                <wp:lineTo x="21508" y="21034"/>
                <wp:lineTo x="21508" y="0"/>
                <wp:lineTo x="0" y="0"/>
              </wp:wrapPolygon>
            </wp:wrapThrough>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375" cy="10172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position w:val="1"/>
        </w:rPr>
        <w:drawing>
          <wp:inline distT="0" distB="0" distL="0" distR="0" wp14:anchorId="74E81BFC" wp14:editId="07868305">
            <wp:extent cx="1997075" cy="1009650"/>
            <wp:effectExtent l="0" t="0" r="3175"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7075" cy="1009650"/>
                    </a:xfrm>
                    <a:prstGeom prst="rect">
                      <a:avLst/>
                    </a:prstGeom>
                  </pic:spPr>
                </pic:pic>
              </a:graphicData>
            </a:graphic>
          </wp:inline>
        </w:drawing>
      </w:r>
      <w:r w:rsidR="00BA5BCB" w:rsidRPr="00BA5BCB">
        <w:rPr>
          <w:rFonts w:asciiTheme="majorHAnsi" w:hAnsiTheme="majorHAnsi"/>
          <w:b/>
          <w:bCs/>
        </w:rPr>
        <w:t>Figure 2.</w:t>
      </w:r>
      <w:r w:rsidR="00BA5BCB">
        <w:rPr>
          <w:rFonts w:asciiTheme="majorHAnsi" w:hAnsiTheme="majorHAnsi"/>
        </w:rPr>
        <w:t xml:space="preserve"> </w:t>
      </w:r>
      <w:r w:rsidR="00BA5BCB" w:rsidRPr="00BA5BCB">
        <w:rPr>
          <w:rFonts w:asciiTheme="majorHAnsi" w:hAnsiTheme="majorHAnsi"/>
        </w:rPr>
        <w:t xml:space="preserve">The example of Roman Empire: A comparison of our proxy measure of size (the number of countries included in an empire, right panel) with </w:t>
      </w:r>
      <w:proofErr w:type="spellStart"/>
      <w:r w:rsidR="00BA5BCB" w:rsidRPr="00BA5BCB">
        <w:rPr>
          <w:rFonts w:asciiTheme="majorHAnsi" w:hAnsiTheme="majorHAnsi"/>
        </w:rPr>
        <w:t>Taagepera’s</w:t>
      </w:r>
      <w:proofErr w:type="spellEnd"/>
      <w:r w:rsidR="00BA5BCB" w:rsidRPr="00BA5BCB">
        <w:rPr>
          <w:rFonts w:asciiTheme="majorHAnsi" w:hAnsiTheme="majorHAnsi"/>
        </w:rPr>
        <w:t xml:space="preserve"> chart </w:t>
      </w:r>
      <w:r w:rsidR="00BA5BCB">
        <w:rPr>
          <w:rFonts w:asciiTheme="majorHAnsi" w:hAnsiTheme="majorHAnsi"/>
        </w:rPr>
        <w:t>(</w:t>
      </w:r>
      <w:proofErr w:type="spellStart"/>
      <w:r w:rsidR="00CC2C6B">
        <w:rPr>
          <w:rFonts w:asciiTheme="majorHAnsi" w:hAnsiTheme="majorHAnsi"/>
        </w:rPr>
        <w:t>Taagepera</w:t>
      </w:r>
      <w:proofErr w:type="spellEnd"/>
      <w:r w:rsidR="00CC2C6B">
        <w:rPr>
          <w:rFonts w:asciiTheme="majorHAnsi" w:hAnsiTheme="majorHAnsi"/>
        </w:rPr>
        <w:t xml:space="preserve"> 1979</w:t>
      </w:r>
      <w:r w:rsidR="00BA5BCB">
        <w:rPr>
          <w:rFonts w:asciiTheme="majorHAnsi" w:hAnsiTheme="majorHAnsi"/>
        </w:rPr>
        <w:t>)</w:t>
      </w:r>
      <w:r w:rsidR="00BA5BCB" w:rsidRPr="00BA5BCB">
        <w:rPr>
          <w:rFonts w:asciiTheme="majorHAnsi" w:hAnsiTheme="majorHAnsi"/>
        </w:rPr>
        <w:t xml:space="preserve"> (left). The similarity is strong and suggests that we can move forward with our experiment. Note that here we have aggregated Roman and Byzantine Empires, the purpose being the comparison with </w:t>
      </w:r>
      <w:proofErr w:type="spellStart"/>
      <w:r w:rsidR="00BA5BCB" w:rsidRPr="00BA5BCB">
        <w:rPr>
          <w:rFonts w:asciiTheme="majorHAnsi" w:hAnsiTheme="majorHAnsi"/>
        </w:rPr>
        <w:t>Taagepera’s</w:t>
      </w:r>
      <w:proofErr w:type="spellEnd"/>
      <w:r w:rsidR="00BA5BCB" w:rsidRPr="00BA5BCB">
        <w:rPr>
          <w:rFonts w:asciiTheme="majorHAnsi" w:hAnsiTheme="majorHAnsi"/>
        </w:rPr>
        <w:t xml:space="preserve"> plot.</w:t>
      </w:r>
    </w:p>
    <w:p w14:paraId="51D181F6" w14:textId="77777777" w:rsidR="00BA5BCB" w:rsidRPr="00BA5BCB" w:rsidRDefault="00BA5BCB" w:rsidP="00BA5BCB">
      <w:pPr>
        <w:pStyle w:val="1"/>
      </w:pPr>
      <w:r w:rsidRPr="00BA5BCB">
        <w:t>2.2</w:t>
      </w:r>
      <w:r w:rsidRPr="00BA5BCB">
        <w:tab/>
        <w:t>Size</w:t>
      </w:r>
    </w:p>
    <w:p w14:paraId="6D738E82" w14:textId="77777777" w:rsidR="00BA5BCB" w:rsidRPr="00BA5BCB" w:rsidRDefault="00BA5BCB" w:rsidP="00BA5BCB">
      <w:pPr>
        <w:rPr>
          <w:rFonts w:asciiTheme="majorHAnsi" w:hAnsiTheme="majorHAnsi"/>
        </w:rPr>
      </w:pPr>
      <w:r w:rsidRPr="00BA5BCB">
        <w:rPr>
          <w:rFonts w:asciiTheme="majorHAnsi" w:hAnsiTheme="majorHAnsi"/>
        </w:rPr>
        <w:t xml:space="preserve">In order to gain a deeper insight into the dynamics of empires’ cycles we have built a proxy measure for their size by simply counting the number of modern countries they encompass at a given time. This can be grossly inaccurate in some cases, but a priori it does not </w:t>
      </w:r>
      <w:r w:rsidR="00CC2C6B" w:rsidRPr="00BA5BCB">
        <w:rPr>
          <w:rFonts w:asciiTheme="majorHAnsi" w:hAnsiTheme="majorHAnsi"/>
        </w:rPr>
        <w:t>contain</w:t>
      </w:r>
      <w:r w:rsidRPr="00BA5BCB">
        <w:rPr>
          <w:rFonts w:asciiTheme="majorHAnsi" w:hAnsiTheme="majorHAnsi"/>
        </w:rPr>
        <w:t xml:space="preserve"> a systematic bias; most importantly, we are interested here in the average </w:t>
      </w:r>
      <w:proofErr w:type="spellStart"/>
      <w:r w:rsidRPr="00BA5BCB">
        <w:rPr>
          <w:rFonts w:asciiTheme="majorHAnsi" w:hAnsiTheme="majorHAnsi"/>
        </w:rPr>
        <w:t>behaviour</w:t>
      </w:r>
      <w:proofErr w:type="spellEnd"/>
      <w:r w:rsidRPr="00BA5BCB">
        <w:rPr>
          <w:rFonts w:asciiTheme="majorHAnsi" w:hAnsiTheme="majorHAnsi"/>
        </w:rPr>
        <w:t xml:space="preserve"> and the large number of entities studied (168) is probably sufficient to dilute away idiosyncratic effects: we will come back to this point below.</w:t>
      </w:r>
    </w:p>
    <w:p w14:paraId="052F10C2" w14:textId="77777777" w:rsidR="003D758F" w:rsidRDefault="00BA5BCB" w:rsidP="00BA5BCB">
      <w:pPr>
        <w:rPr>
          <w:rFonts w:asciiTheme="majorHAnsi" w:hAnsiTheme="majorHAnsi"/>
        </w:rPr>
      </w:pPr>
      <w:r w:rsidRPr="00BA5BCB">
        <w:rPr>
          <w:rFonts w:asciiTheme="majorHAnsi" w:hAnsiTheme="majorHAnsi"/>
        </w:rPr>
        <w:t xml:space="preserve">A first successful check (see Fig. 2) is done by simply comparing our proxy metrics with some previously published results </w:t>
      </w:r>
      <w:r w:rsidR="00CC2C6B">
        <w:rPr>
          <w:rFonts w:asciiTheme="majorHAnsi" w:hAnsiTheme="majorHAnsi"/>
        </w:rPr>
        <w:t>(</w:t>
      </w:r>
      <w:proofErr w:type="spellStart"/>
      <w:r w:rsidR="00CC2C6B">
        <w:rPr>
          <w:rFonts w:asciiTheme="majorHAnsi" w:hAnsiTheme="majorHAnsi"/>
        </w:rPr>
        <w:t>Taagepera</w:t>
      </w:r>
      <w:proofErr w:type="spellEnd"/>
      <w:r w:rsidR="00CC2C6B">
        <w:rPr>
          <w:rFonts w:asciiTheme="majorHAnsi" w:hAnsiTheme="majorHAnsi"/>
        </w:rPr>
        <w:t xml:space="preserve"> 1979; 1997)</w:t>
      </w:r>
      <w:r w:rsidR="00CC2C6B" w:rsidRPr="00BA5BCB">
        <w:rPr>
          <w:rFonts w:asciiTheme="majorHAnsi" w:hAnsiTheme="majorHAnsi"/>
        </w:rPr>
        <w:t xml:space="preserve"> </w:t>
      </w:r>
      <w:r w:rsidRPr="00BA5BCB">
        <w:rPr>
          <w:rFonts w:asciiTheme="majorHAnsi" w:hAnsiTheme="majorHAnsi"/>
        </w:rPr>
        <w:t xml:space="preserve">where an attempt was made to report the areas in square kilometers for several empires over their whole existence. The comparison works relatively well in most cases (like the Ottoman, Mongol, or Holy Roman Empires) while is less convincing in others. As no systematic under- or over- estimation has been observed by going through this exercise, we expect the individual errors to offset when computing averages. It may also be tempting to go beyond the qualitative level and infer, on the basis of a few particularly well-matched cases, that 10 countries roughly correspond to (say) 1 million square kilometers, but although this mapping seems </w:t>
      </w:r>
      <w:r w:rsidR="00CC2C6B" w:rsidRPr="00BA5BCB">
        <w:rPr>
          <w:rFonts w:asciiTheme="majorHAnsi" w:hAnsiTheme="majorHAnsi"/>
        </w:rPr>
        <w:t>reasonable,</w:t>
      </w:r>
      <w:r w:rsidRPr="00BA5BCB">
        <w:rPr>
          <w:rFonts w:asciiTheme="majorHAnsi" w:hAnsiTheme="majorHAnsi"/>
        </w:rPr>
        <w:t xml:space="preserve"> we do not deem it statistically </w:t>
      </w:r>
      <w:r w:rsidR="00CC2C6B" w:rsidRPr="00BA5BCB">
        <w:rPr>
          <w:rFonts w:asciiTheme="majorHAnsi" w:hAnsiTheme="majorHAnsi"/>
        </w:rPr>
        <w:t>significant</w:t>
      </w:r>
      <w:r w:rsidRPr="00BA5BCB">
        <w:rPr>
          <w:rFonts w:asciiTheme="majorHAnsi" w:hAnsiTheme="majorHAnsi"/>
        </w:rPr>
        <w:t>.</w:t>
      </w:r>
    </w:p>
    <w:p w14:paraId="79A29BF2" w14:textId="5AE49D9A" w:rsidR="00BA5BCB" w:rsidRPr="0018150B" w:rsidRDefault="004C582D" w:rsidP="00CC2C6B">
      <w:pPr>
        <w:jc w:val="center"/>
        <w:rPr>
          <w:rFonts w:asciiTheme="majorHAnsi" w:hAnsiTheme="majorHAnsi"/>
        </w:rPr>
      </w:pPr>
      <w:r>
        <w:rPr>
          <w:rFonts w:asciiTheme="majorHAnsi" w:hAnsiTheme="majorHAnsi"/>
          <w:noProof/>
        </w:rPr>
        <w:lastRenderedPageBreak/>
        <w:drawing>
          <wp:inline distT="0" distB="0" distL="0" distR="0" wp14:anchorId="0F7F1163" wp14:editId="5B74BB67">
            <wp:extent cx="3781836" cy="2606723"/>
            <wp:effectExtent l="0" t="0" r="952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290.png"/>
                    <pic:cNvPicPr/>
                  </pic:nvPicPr>
                  <pic:blipFill>
                    <a:blip r:embed="rId11">
                      <a:extLst>
                        <a:ext uri="{28A0092B-C50C-407E-A947-70E740481C1C}">
                          <a14:useLocalDpi xmlns:a14="http://schemas.microsoft.com/office/drawing/2010/main" val="0"/>
                        </a:ext>
                      </a:extLst>
                    </a:blip>
                    <a:stretch>
                      <a:fillRect/>
                    </a:stretch>
                  </pic:blipFill>
                  <pic:spPr>
                    <a:xfrm>
                      <a:off x="0" y="0"/>
                      <a:ext cx="3815018" cy="2629594"/>
                    </a:xfrm>
                    <a:prstGeom prst="rect">
                      <a:avLst/>
                    </a:prstGeom>
                  </pic:spPr>
                </pic:pic>
              </a:graphicData>
            </a:graphic>
          </wp:inline>
        </w:drawing>
      </w:r>
    </w:p>
    <w:p w14:paraId="6E4578F7" w14:textId="77777777" w:rsidR="00BA5BCB" w:rsidRPr="00BA5BCB" w:rsidRDefault="00BA5BCB" w:rsidP="00BA5BCB">
      <w:pPr>
        <w:rPr>
          <w:rFonts w:asciiTheme="majorHAnsi" w:hAnsiTheme="majorHAnsi"/>
        </w:rPr>
      </w:pPr>
      <w:r w:rsidRPr="00CC2C6B">
        <w:rPr>
          <w:rFonts w:asciiTheme="majorHAnsi" w:hAnsiTheme="majorHAnsi"/>
          <w:b/>
          <w:bCs/>
        </w:rPr>
        <w:t>Figure 3</w:t>
      </w:r>
      <w:r w:rsidR="00CC2C6B" w:rsidRPr="00CC2C6B">
        <w:rPr>
          <w:rFonts w:asciiTheme="majorHAnsi" w:hAnsiTheme="majorHAnsi"/>
          <w:b/>
          <w:bCs/>
        </w:rPr>
        <w:t>.</w:t>
      </w:r>
      <w:r w:rsidRPr="00BA5BCB">
        <w:rPr>
          <w:rFonts w:asciiTheme="majorHAnsi" w:hAnsiTheme="majorHAnsi"/>
        </w:rPr>
        <w:t xml:space="preserve"> A few examples of the size proxy measure.</w:t>
      </w:r>
    </w:p>
    <w:p w14:paraId="7A3E84DA" w14:textId="77777777" w:rsidR="00BA5BCB" w:rsidRPr="00BA5BCB" w:rsidRDefault="00BA5BCB" w:rsidP="00BA5BCB">
      <w:pPr>
        <w:rPr>
          <w:rFonts w:asciiTheme="majorHAnsi" w:hAnsiTheme="majorHAnsi"/>
        </w:rPr>
      </w:pPr>
      <w:r w:rsidRPr="00BA5BCB">
        <w:rPr>
          <w:rFonts w:asciiTheme="majorHAnsi" w:hAnsiTheme="majorHAnsi"/>
        </w:rPr>
        <w:t>Other examples of our metrics are plotted in Fig. 3 and show that the life of an empire can be very diverse. It can start from being very small, grow big and then shrink slowly and gradually (like the Roman Empire), or it can be already big when created and keep a comparable size for the rest of its life (e.g. the Holy Roman Empire); actually, all the situations in between these two extremes are also possible (see for instance the Republic of Venice).</w:t>
      </w:r>
    </w:p>
    <w:p w14:paraId="4B7B9967" w14:textId="77777777" w:rsidR="00BA5BCB" w:rsidRPr="00BA5BCB" w:rsidRDefault="00CC2C6B" w:rsidP="00BA5BCB">
      <w:pPr>
        <w:rPr>
          <w:rFonts w:asciiTheme="majorHAnsi" w:hAnsiTheme="majorHAnsi"/>
        </w:rPr>
      </w:pPr>
      <w:r>
        <w:rPr>
          <w:rFonts w:asciiTheme="majorHAnsi" w:hAnsiTheme="majorHAnsi"/>
        </w:rPr>
        <w:tab/>
      </w:r>
      <w:r w:rsidR="00BA5BCB" w:rsidRPr="00BA5BCB">
        <w:rPr>
          <w:rFonts w:asciiTheme="majorHAnsi" w:hAnsiTheme="majorHAnsi"/>
        </w:rPr>
        <w:t xml:space="preserve">Our question now is: what is the average </w:t>
      </w:r>
      <w:proofErr w:type="spellStart"/>
      <w:r w:rsidR="00BA5BCB" w:rsidRPr="00BA5BCB">
        <w:rPr>
          <w:rFonts w:asciiTheme="majorHAnsi" w:hAnsiTheme="majorHAnsi"/>
        </w:rPr>
        <w:t>behaviour</w:t>
      </w:r>
      <w:proofErr w:type="spellEnd"/>
      <w:r w:rsidR="00BA5BCB" w:rsidRPr="00BA5BCB">
        <w:rPr>
          <w:rFonts w:asciiTheme="majorHAnsi" w:hAnsiTheme="majorHAnsi"/>
        </w:rPr>
        <w:t xml:space="preserve"> of size vs time during an empire cycle? And how typical is this average? These points are addressed in Fig. 4. As we want to aggregate data for all the empires, we define for each of them a “normalized age”, that is a time variable going from 0 (start date) to 1 (end date). Once we do this operation, which comprises resetting and rescaling, we can safely combine different empires and compute the average and standard deviation of the size over the lifespan: the result is shown in the left panel of Fig. 4. A few comments are in order:</w:t>
      </w:r>
    </w:p>
    <w:p w14:paraId="5FB8E825" w14:textId="77777777" w:rsidR="007D7087" w:rsidRDefault="00BA5BCB" w:rsidP="00CC2C6B">
      <w:pPr>
        <w:ind w:left="426"/>
        <w:rPr>
          <w:rFonts w:asciiTheme="majorHAnsi" w:hAnsiTheme="majorHAnsi"/>
        </w:rPr>
      </w:pPr>
      <w:r w:rsidRPr="00BA5BCB">
        <w:rPr>
          <w:rFonts w:asciiTheme="majorHAnsi" w:hAnsiTheme="majorHAnsi"/>
        </w:rPr>
        <w:t>•</w:t>
      </w:r>
      <w:r w:rsidRPr="00BA5BCB">
        <w:rPr>
          <w:rFonts w:asciiTheme="majorHAnsi" w:hAnsiTheme="majorHAnsi"/>
        </w:rPr>
        <w:tab/>
        <w:t>The average size is not close to zero at the beginning, and it is roughly 2/3 of the maximum size (recall that the unit on the y-axis is somewhat arbitrary so we cannot easily translate it into square kilometers)</w:t>
      </w:r>
    </w:p>
    <w:p w14:paraId="53AECA94" w14:textId="77777777" w:rsidR="00BA5BCB" w:rsidRDefault="00BA5BCB" w:rsidP="00BA5BCB">
      <w:pPr>
        <w:rPr>
          <w:rFonts w:asciiTheme="majorHAnsi" w:hAnsiTheme="majorHAnsi"/>
        </w:rPr>
      </w:pPr>
    </w:p>
    <w:p w14:paraId="739E6242" w14:textId="77777777" w:rsidR="00BA5BCB" w:rsidRDefault="00CC2C6B" w:rsidP="00BA5BCB">
      <w:pPr>
        <w:rPr>
          <w:rFonts w:asciiTheme="majorHAnsi" w:hAnsiTheme="majorHAnsi"/>
        </w:rPr>
      </w:pPr>
      <w:r>
        <w:rPr>
          <w:noProof/>
          <w:spacing w:val="121"/>
        </w:rPr>
        <w:lastRenderedPageBreak/>
        <w:drawing>
          <wp:anchor distT="0" distB="0" distL="114300" distR="114300" simplePos="0" relativeHeight="251661312" behindDoc="0" locked="0" layoutInCell="1" allowOverlap="1" wp14:anchorId="1F38306D" wp14:editId="49A699F7">
            <wp:simplePos x="0" y="0"/>
            <wp:positionH relativeFrom="margin">
              <wp:align>right</wp:align>
            </wp:positionH>
            <wp:positionV relativeFrom="paragraph">
              <wp:posOffset>304</wp:posOffset>
            </wp:positionV>
            <wp:extent cx="1869440" cy="1454785"/>
            <wp:effectExtent l="0" t="0" r="0" b="0"/>
            <wp:wrapThrough wrapText="bothSides">
              <wp:wrapPolygon edited="0">
                <wp:start x="0" y="0"/>
                <wp:lineTo x="0" y="21213"/>
                <wp:lineTo x="21351" y="21213"/>
                <wp:lineTo x="21351" y="0"/>
                <wp:lineTo x="0" y="0"/>
              </wp:wrapPolygon>
            </wp:wrapThrough>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9440" cy="14547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76D86CE" wp14:editId="5FD939CB">
            <wp:simplePos x="0" y="0"/>
            <wp:positionH relativeFrom="column">
              <wp:posOffset>443009</wp:posOffset>
            </wp:positionH>
            <wp:positionV relativeFrom="paragraph">
              <wp:posOffset>3175</wp:posOffset>
            </wp:positionV>
            <wp:extent cx="1852930" cy="1470660"/>
            <wp:effectExtent l="0" t="0" r="0" b="0"/>
            <wp:wrapThrough wrapText="bothSides">
              <wp:wrapPolygon edited="0">
                <wp:start x="0" y="0"/>
                <wp:lineTo x="0" y="21264"/>
                <wp:lineTo x="21319" y="21264"/>
                <wp:lineTo x="21319" y="0"/>
                <wp:lineTo x="0" y="0"/>
              </wp:wrapPolygon>
            </wp:wrapThrough>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2930" cy="1470660"/>
                    </a:xfrm>
                    <a:prstGeom prst="rect">
                      <a:avLst/>
                    </a:prstGeom>
                  </pic:spPr>
                </pic:pic>
              </a:graphicData>
            </a:graphic>
            <wp14:sizeRelH relativeFrom="margin">
              <wp14:pctWidth>0</wp14:pctWidth>
            </wp14:sizeRelH>
            <wp14:sizeRelV relativeFrom="margin">
              <wp14:pctHeight>0</wp14:pctHeight>
            </wp14:sizeRelV>
          </wp:anchor>
        </w:drawing>
      </w:r>
    </w:p>
    <w:p w14:paraId="1E2C7DA8" w14:textId="77777777" w:rsidR="00BA5BCB" w:rsidRPr="0018150B" w:rsidRDefault="00BA5BCB" w:rsidP="00BA5BCB">
      <w:pPr>
        <w:rPr>
          <w:rFonts w:asciiTheme="majorHAnsi" w:hAnsiTheme="majorHAnsi"/>
        </w:rPr>
      </w:pPr>
    </w:p>
    <w:p w14:paraId="2BDD5D4A" w14:textId="77777777" w:rsidR="00CC2C6B" w:rsidRDefault="00CC2C6B" w:rsidP="00BA5BCB">
      <w:pPr>
        <w:rPr>
          <w:rFonts w:asciiTheme="majorHAnsi" w:hAnsiTheme="majorHAnsi"/>
        </w:rPr>
      </w:pPr>
    </w:p>
    <w:p w14:paraId="6650AFC1" w14:textId="77777777" w:rsidR="00CC2C6B" w:rsidRDefault="00CC2C6B" w:rsidP="00BA5BCB">
      <w:pPr>
        <w:rPr>
          <w:rFonts w:asciiTheme="majorHAnsi" w:hAnsiTheme="majorHAnsi"/>
        </w:rPr>
      </w:pPr>
    </w:p>
    <w:p w14:paraId="40737114" w14:textId="77777777" w:rsidR="00CC2C6B" w:rsidRDefault="00CC2C6B" w:rsidP="00BA5BCB">
      <w:pPr>
        <w:rPr>
          <w:rFonts w:asciiTheme="majorHAnsi" w:hAnsiTheme="majorHAnsi"/>
        </w:rPr>
      </w:pPr>
    </w:p>
    <w:p w14:paraId="27C5F0AC" w14:textId="77777777" w:rsidR="00CC2C6B" w:rsidRDefault="00CC2C6B" w:rsidP="00BA5BCB">
      <w:pPr>
        <w:rPr>
          <w:rFonts w:asciiTheme="majorHAnsi" w:hAnsiTheme="majorHAnsi"/>
        </w:rPr>
      </w:pPr>
    </w:p>
    <w:p w14:paraId="6FAEB93E" w14:textId="77777777" w:rsidR="00CC2C6B" w:rsidRDefault="00CC2C6B" w:rsidP="00BA5BCB">
      <w:pPr>
        <w:rPr>
          <w:rFonts w:asciiTheme="majorHAnsi" w:hAnsiTheme="majorHAnsi"/>
        </w:rPr>
      </w:pPr>
    </w:p>
    <w:p w14:paraId="1D0579A9" w14:textId="77777777" w:rsidR="00CC2C6B" w:rsidRDefault="00CC2C6B" w:rsidP="00BA5BCB">
      <w:pPr>
        <w:rPr>
          <w:rFonts w:asciiTheme="majorHAnsi" w:hAnsiTheme="majorHAnsi"/>
        </w:rPr>
      </w:pPr>
    </w:p>
    <w:p w14:paraId="7618FEDD" w14:textId="77777777" w:rsidR="00CC2C6B" w:rsidRDefault="00CC2C6B" w:rsidP="00BA5BCB">
      <w:pPr>
        <w:rPr>
          <w:rFonts w:asciiTheme="majorHAnsi" w:hAnsiTheme="majorHAnsi"/>
        </w:rPr>
      </w:pPr>
    </w:p>
    <w:p w14:paraId="37F66683" w14:textId="77777777" w:rsidR="00CC2C6B" w:rsidRDefault="00CC2C6B" w:rsidP="00BA5BCB">
      <w:pPr>
        <w:rPr>
          <w:rFonts w:asciiTheme="majorHAnsi" w:hAnsiTheme="majorHAnsi"/>
        </w:rPr>
      </w:pPr>
    </w:p>
    <w:p w14:paraId="02C77DBE" w14:textId="77777777" w:rsidR="00CC2C6B" w:rsidRDefault="00CC2C6B" w:rsidP="00BA5BCB">
      <w:pPr>
        <w:rPr>
          <w:rFonts w:asciiTheme="majorHAnsi" w:hAnsiTheme="majorHAnsi"/>
        </w:rPr>
      </w:pPr>
    </w:p>
    <w:p w14:paraId="3A2FA6CF" w14:textId="266F9EF3" w:rsidR="00BA5BCB" w:rsidRPr="00BA5BCB" w:rsidRDefault="00BA5BCB" w:rsidP="00BA5BCB">
      <w:pPr>
        <w:rPr>
          <w:rFonts w:asciiTheme="majorHAnsi" w:hAnsiTheme="majorHAnsi"/>
        </w:rPr>
      </w:pPr>
      <w:r w:rsidRPr="004C582D">
        <w:rPr>
          <w:rFonts w:asciiTheme="majorHAnsi" w:hAnsiTheme="majorHAnsi"/>
          <w:b/>
          <w:bCs/>
        </w:rPr>
        <w:t>Figure 4</w:t>
      </w:r>
      <w:r w:rsidR="004C582D" w:rsidRPr="004C582D">
        <w:rPr>
          <w:rFonts w:asciiTheme="majorHAnsi" w:hAnsiTheme="majorHAnsi"/>
          <w:b/>
          <w:bCs/>
        </w:rPr>
        <w:t>.</w:t>
      </w:r>
      <w:r w:rsidRPr="00BA5BCB">
        <w:rPr>
          <w:rFonts w:asciiTheme="majorHAnsi" w:hAnsiTheme="majorHAnsi"/>
        </w:rPr>
        <w:t xml:space="preserve"> Left: the average size of empires is computed as a function of their normalized age; the logistic fit is also shown. Right: the average size is computed separately for short-lived and long-lived empires. See text for more explanations.</w:t>
      </w:r>
    </w:p>
    <w:p w14:paraId="511F234D" w14:textId="77777777" w:rsidR="00BA5BCB" w:rsidRPr="00BA5BCB" w:rsidRDefault="00BA5BCB" w:rsidP="00BA5BCB">
      <w:pPr>
        <w:rPr>
          <w:rFonts w:asciiTheme="majorHAnsi" w:hAnsiTheme="majorHAnsi"/>
        </w:rPr>
      </w:pPr>
    </w:p>
    <w:p w14:paraId="329A121F" w14:textId="77777777" w:rsidR="00BA5BCB" w:rsidRPr="00BA5BCB" w:rsidRDefault="00BA5BCB" w:rsidP="00CC2C6B">
      <w:pPr>
        <w:ind w:left="567"/>
        <w:rPr>
          <w:rFonts w:asciiTheme="majorHAnsi" w:hAnsiTheme="majorHAnsi"/>
        </w:rPr>
      </w:pPr>
      <w:r w:rsidRPr="00BA5BCB">
        <w:rPr>
          <w:rFonts w:asciiTheme="majorHAnsi" w:hAnsiTheme="majorHAnsi"/>
        </w:rPr>
        <w:t>•</w:t>
      </w:r>
      <w:r w:rsidRPr="00BA5BCB">
        <w:rPr>
          <w:rFonts w:asciiTheme="majorHAnsi" w:hAnsiTheme="majorHAnsi"/>
        </w:rPr>
        <w:tab/>
        <w:t>The average curve shows an increase for 80% of its lifetime (expansion), after which the size decreases (contraction).</w:t>
      </w:r>
    </w:p>
    <w:p w14:paraId="5BB5FE3C" w14:textId="77777777" w:rsidR="00BA5BCB" w:rsidRPr="00BA5BCB" w:rsidRDefault="00BA5BCB" w:rsidP="00CC2C6B">
      <w:pPr>
        <w:ind w:left="567"/>
        <w:rPr>
          <w:rFonts w:asciiTheme="majorHAnsi" w:hAnsiTheme="majorHAnsi"/>
        </w:rPr>
      </w:pPr>
      <w:r w:rsidRPr="00BA5BCB">
        <w:rPr>
          <w:rFonts w:asciiTheme="majorHAnsi" w:hAnsiTheme="majorHAnsi"/>
        </w:rPr>
        <w:t>•</w:t>
      </w:r>
      <w:r w:rsidRPr="00BA5BCB">
        <w:rPr>
          <w:rFonts w:asciiTheme="majorHAnsi" w:hAnsiTheme="majorHAnsi"/>
        </w:rPr>
        <w:tab/>
        <w:t>On average, the size of the empire is not small before it collapses. As a matter of fact, the last point in the chart is very close to the average of all the previous numbers.</w:t>
      </w:r>
    </w:p>
    <w:p w14:paraId="6FE72EDE" w14:textId="77777777" w:rsidR="00BA5BCB" w:rsidRPr="00BA5BCB" w:rsidRDefault="00BA5BCB" w:rsidP="00CC2C6B">
      <w:pPr>
        <w:ind w:left="567"/>
        <w:rPr>
          <w:rFonts w:asciiTheme="majorHAnsi" w:hAnsiTheme="majorHAnsi"/>
        </w:rPr>
      </w:pPr>
      <w:r w:rsidRPr="00BA5BCB">
        <w:rPr>
          <w:rFonts w:asciiTheme="majorHAnsi" w:hAnsiTheme="majorHAnsi"/>
        </w:rPr>
        <w:t>•</w:t>
      </w:r>
      <w:r w:rsidRPr="00BA5BCB">
        <w:rPr>
          <w:rFonts w:asciiTheme="majorHAnsi" w:hAnsiTheme="majorHAnsi"/>
        </w:rPr>
        <w:tab/>
        <w:t xml:space="preserve">The </w:t>
      </w:r>
      <w:proofErr w:type="spellStart"/>
      <w:r w:rsidRPr="00BA5BCB">
        <w:rPr>
          <w:rFonts w:asciiTheme="majorHAnsi" w:hAnsiTheme="majorHAnsi"/>
        </w:rPr>
        <w:t>errorbars</w:t>
      </w:r>
      <w:proofErr w:type="spellEnd"/>
      <w:r w:rsidRPr="00BA5BCB">
        <w:rPr>
          <w:rFonts w:asciiTheme="majorHAnsi" w:hAnsiTheme="majorHAnsi"/>
        </w:rPr>
        <w:t xml:space="preserve">, here computed in the textbook way as the empirical standard deviation divided by the square root of the number of data points, are relatively small. This fact implies that the average </w:t>
      </w:r>
      <w:proofErr w:type="spellStart"/>
      <w:r w:rsidRPr="00BA5BCB">
        <w:rPr>
          <w:rFonts w:asciiTheme="majorHAnsi" w:hAnsiTheme="majorHAnsi"/>
        </w:rPr>
        <w:t>behaviour</w:t>
      </w:r>
      <w:proofErr w:type="spellEnd"/>
      <w:r w:rsidRPr="00BA5BCB">
        <w:rPr>
          <w:rFonts w:asciiTheme="majorHAnsi" w:hAnsiTheme="majorHAnsi"/>
        </w:rPr>
        <w:t xml:space="preserve"> is representative of the typical one.</w:t>
      </w:r>
    </w:p>
    <w:p w14:paraId="12FDEA25" w14:textId="77777777" w:rsidR="00BA5BCB" w:rsidRPr="00BA5BCB" w:rsidRDefault="00BA5BCB" w:rsidP="00CC2C6B">
      <w:pPr>
        <w:ind w:left="567"/>
        <w:rPr>
          <w:rFonts w:asciiTheme="majorHAnsi" w:hAnsiTheme="majorHAnsi"/>
        </w:rPr>
      </w:pPr>
      <w:r w:rsidRPr="00BA5BCB">
        <w:rPr>
          <w:rFonts w:asciiTheme="majorHAnsi" w:hAnsiTheme="majorHAnsi"/>
        </w:rPr>
        <w:t>•</w:t>
      </w:r>
      <w:r w:rsidRPr="00BA5BCB">
        <w:rPr>
          <w:rFonts w:asciiTheme="majorHAnsi" w:hAnsiTheme="majorHAnsi"/>
        </w:rPr>
        <w:tab/>
        <w:t xml:space="preserve">If we were to go back to natural time </w:t>
      </w:r>
      <w:r w:rsidR="00CC2C6B" w:rsidRPr="00BA5BCB">
        <w:rPr>
          <w:rFonts w:asciiTheme="majorHAnsi" w:hAnsiTheme="majorHAnsi"/>
        </w:rPr>
        <w:t>units,</w:t>
      </w:r>
      <w:r w:rsidRPr="00BA5BCB">
        <w:rPr>
          <w:rFonts w:asciiTheme="majorHAnsi" w:hAnsiTheme="majorHAnsi"/>
        </w:rPr>
        <w:t xml:space="preserve"> we should multiply the x-axis by the average duration, which we have seen before to be about 300 years; this means for instance that the peak happens, on average, after two and a half centuries from the birth.</w:t>
      </w:r>
    </w:p>
    <w:p w14:paraId="320C4BB5" w14:textId="77777777" w:rsidR="00BA5BCB" w:rsidRPr="00BA5BCB" w:rsidRDefault="00BA5BCB" w:rsidP="00CC2C6B">
      <w:pPr>
        <w:ind w:left="567"/>
        <w:rPr>
          <w:rFonts w:asciiTheme="majorHAnsi" w:hAnsiTheme="majorHAnsi"/>
        </w:rPr>
      </w:pPr>
      <w:r w:rsidRPr="00BA5BCB">
        <w:rPr>
          <w:rFonts w:asciiTheme="majorHAnsi" w:hAnsiTheme="majorHAnsi"/>
        </w:rPr>
        <w:t>•</w:t>
      </w:r>
      <w:r w:rsidRPr="00BA5BCB">
        <w:rPr>
          <w:rFonts w:asciiTheme="majorHAnsi" w:hAnsiTheme="majorHAnsi"/>
        </w:rPr>
        <w:tab/>
        <w:t>The data are well fitted by a logistic function up to the maximum, but this fit fails at describing the last 20% of the curve: we address this point below.</w:t>
      </w:r>
    </w:p>
    <w:p w14:paraId="1CC1366C" w14:textId="77777777" w:rsidR="00BA5BCB" w:rsidRPr="00BA5BCB" w:rsidRDefault="00BA5BCB" w:rsidP="00BA5BCB">
      <w:pPr>
        <w:rPr>
          <w:rFonts w:asciiTheme="majorHAnsi" w:hAnsiTheme="majorHAnsi"/>
        </w:rPr>
      </w:pPr>
      <w:r w:rsidRPr="00BA5BCB">
        <w:rPr>
          <w:rFonts w:asciiTheme="majorHAnsi" w:hAnsiTheme="majorHAnsi"/>
        </w:rPr>
        <w:t xml:space="preserve"> </w:t>
      </w:r>
    </w:p>
    <w:p w14:paraId="3B5194A4" w14:textId="77777777" w:rsidR="00BA5BCB" w:rsidRPr="00BA5BCB" w:rsidRDefault="00BA5BCB" w:rsidP="00BA5BCB">
      <w:pPr>
        <w:rPr>
          <w:rFonts w:asciiTheme="majorHAnsi" w:hAnsiTheme="majorHAnsi"/>
        </w:rPr>
      </w:pPr>
      <w:r w:rsidRPr="00BA5BCB">
        <w:rPr>
          <w:rFonts w:asciiTheme="majorHAnsi" w:hAnsiTheme="majorHAnsi"/>
        </w:rPr>
        <w:t>This result would lead us to interpret the average life cycle of an empire as one entity which is already big when created, it grows for some time, then starts decaying to some extent and collapses when its size is still close to its own historical average.</w:t>
      </w:r>
    </w:p>
    <w:p w14:paraId="43C03563" w14:textId="77777777" w:rsidR="00BA5BCB" w:rsidRPr="00BA5BCB" w:rsidRDefault="00CC2C6B" w:rsidP="00BA5BCB">
      <w:pPr>
        <w:rPr>
          <w:rFonts w:asciiTheme="majorHAnsi" w:hAnsiTheme="majorHAnsi"/>
        </w:rPr>
      </w:pPr>
      <w:r>
        <w:rPr>
          <w:rFonts w:asciiTheme="majorHAnsi" w:hAnsiTheme="majorHAnsi"/>
        </w:rPr>
        <w:tab/>
      </w:r>
      <w:r w:rsidR="00BA5BCB" w:rsidRPr="00BA5BCB">
        <w:rPr>
          <w:rFonts w:asciiTheme="majorHAnsi" w:hAnsiTheme="majorHAnsi"/>
        </w:rPr>
        <w:t xml:space="preserve">How robust is this interpretation? In order to test the reliability of this idea we have ran two numerical experiments: in one case we have split our data set into different periods (i.e. before or after 500 CE), in the other scenario the split is based on the duration (i.e. smaller or bigger than the average). While the ancient vs modern split does not lead to two significantly different curves, the short-lived vs </w:t>
      </w:r>
      <w:r w:rsidR="00BA5BCB" w:rsidRPr="00BA5BCB">
        <w:rPr>
          <w:rFonts w:asciiTheme="majorHAnsi" w:hAnsiTheme="majorHAnsi"/>
        </w:rPr>
        <w:lastRenderedPageBreak/>
        <w:t>long-lived separation shows something interesting (right panel of Fig. 4). The pattern of empires lasting less than three centuries is monotonous: they grow until they reach their maximum (typically 50% higher than their dimension at the start), then remain at that level until their death – which we can suppose sudden and unexpected because of the lack of visible signs of contraction. On the other hand, long-lasting empires have a similar pattern in the first part but decay in a significant way before their death: this piece of the curve in the global average (left panel) thus mainly comes from the empires that last more than the average duration of three centuries.</w:t>
      </w:r>
    </w:p>
    <w:p w14:paraId="36A04517" w14:textId="77777777" w:rsidR="00BA5BCB" w:rsidRPr="00BA5BCB" w:rsidRDefault="00BA5BCB" w:rsidP="00CC2C6B">
      <w:pPr>
        <w:pStyle w:val="21"/>
      </w:pPr>
      <w:r w:rsidRPr="00BA5BCB">
        <w:t>2.3</w:t>
      </w:r>
      <w:r w:rsidR="00CC2C6B">
        <w:t>.</w:t>
      </w:r>
      <w:r w:rsidRPr="00BA5BCB">
        <w:tab/>
        <w:t>Modeling</w:t>
      </w:r>
    </w:p>
    <w:p w14:paraId="3D876570" w14:textId="523F31E1" w:rsidR="00BA5BCB" w:rsidRPr="00BA5BCB" w:rsidRDefault="00BA5BCB" w:rsidP="004C582D">
      <w:pPr>
        <w:spacing w:after="240"/>
        <w:rPr>
          <w:rFonts w:asciiTheme="majorHAnsi" w:hAnsiTheme="majorHAnsi"/>
        </w:rPr>
      </w:pPr>
      <w:r w:rsidRPr="00BA5BCB">
        <w:rPr>
          <w:rFonts w:asciiTheme="majorHAnsi" w:hAnsiTheme="majorHAnsi"/>
        </w:rPr>
        <w:t xml:space="preserve">The last point to discuss about this chart is the logistic fit, which calls for an explanation. We can build a model for the dynamics of an empire’s size (let’s call it </w:t>
      </w:r>
      <w:r w:rsidRPr="00CC2C6B">
        <w:rPr>
          <w:rFonts w:asciiTheme="majorHAnsi" w:hAnsiTheme="majorHAnsi"/>
          <w:i/>
          <w:iCs/>
        </w:rPr>
        <w:t>X</w:t>
      </w:r>
      <w:r w:rsidRPr="00CC2C6B">
        <w:rPr>
          <w:rFonts w:asciiTheme="majorHAnsi" w:hAnsiTheme="majorHAnsi"/>
          <w:vertAlign w:val="superscript"/>
        </w:rPr>
        <w:t>(k)</w:t>
      </w:r>
      <w:r w:rsidRPr="00BA5BCB">
        <w:rPr>
          <w:rFonts w:asciiTheme="majorHAnsi" w:hAnsiTheme="majorHAnsi"/>
        </w:rPr>
        <w:t>(</w:t>
      </w:r>
      <w:r w:rsidRPr="00CC2C6B">
        <w:rPr>
          <w:rFonts w:asciiTheme="majorHAnsi" w:hAnsiTheme="majorHAnsi"/>
          <w:i/>
          <w:iCs/>
        </w:rPr>
        <w:t>t</w:t>
      </w:r>
      <w:r w:rsidRPr="00BA5BCB">
        <w:rPr>
          <w:rFonts w:asciiTheme="majorHAnsi" w:hAnsiTheme="majorHAnsi"/>
        </w:rPr>
        <w:t xml:space="preserve">), k being just the label of the empire) by assuming that its yearly variation is driven by three factors: </w:t>
      </w:r>
      <w:proofErr w:type="spellStart"/>
      <w:r w:rsidRPr="00CC2C6B">
        <w:rPr>
          <w:rFonts w:asciiTheme="majorHAnsi" w:hAnsiTheme="majorHAnsi"/>
          <w:i/>
          <w:iCs/>
        </w:rPr>
        <w:t>i</w:t>
      </w:r>
      <w:proofErr w:type="spellEnd"/>
      <w:r w:rsidRPr="00BA5BCB">
        <w:rPr>
          <w:rFonts w:asciiTheme="majorHAnsi" w:hAnsiTheme="majorHAnsi"/>
        </w:rPr>
        <w:t xml:space="preserve">) a natural expansion process happening along the current boundaries (thus proportional to the actual size); </w:t>
      </w:r>
      <w:r w:rsidRPr="00CC2C6B">
        <w:rPr>
          <w:rFonts w:asciiTheme="majorHAnsi" w:hAnsiTheme="majorHAnsi"/>
          <w:i/>
          <w:iCs/>
        </w:rPr>
        <w:t>ii</w:t>
      </w:r>
      <w:r w:rsidRPr="00BA5BCB">
        <w:rPr>
          <w:rFonts w:asciiTheme="majorHAnsi" w:hAnsiTheme="majorHAnsi"/>
        </w:rPr>
        <w:t>) the pressure from the surrounding states which counterbalances the previous factor and is proportional to the size of both the states sharing a boundary;</w:t>
      </w:r>
      <w:r w:rsidRPr="00CC2C6B">
        <w:rPr>
          <w:rFonts w:asciiTheme="majorHAnsi" w:hAnsiTheme="majorHAnsi"/>
          <w:i/>
          <w:iCs/>
        </w:rPr>
        <w:t xml:space="preserve"> iii</w:t>
      </w:r>
      <w:r w:rsidRPr="00BA5BCB">
        <w:rPr>
          <w:rFonts w:asciiTheme="majorHAnsi" w:hAnsiTheme="majorHAnsi"/>
        </w:rPr>
        <w:t>) exogenous factors completely independent from the</w:t>
      </w:r>
      <w:r w:rsidR="00CC2C6B">
        <w:rPr>
          <w:rFonts w:asciiTheme="majorHAnsi" w:hAnsiTheme="majorHAnsi"/>
        </w:rPr>
        <w:t xml:space="preserve"> </w:t>
      </w:r>
      <w:r w:rsidRPr="00BA5BCB">
        <w:rPr>
          <w:rFonts w:asciiTheme="majorHAnsi" w:hAnsiTheme="majorHAnsi"/>
        </w:rPr>
        <w:t>empire size. In formulas:</w:t>
      </w:r>
    </w:p>
    <w:p w14:paraId="0E4B4A9D" w14:textId="09E6CE3F" w:rsidR="00CC2C6B" w:rsidRDefault="007D7F13" w:rsidP="001B0A2C">
      <w:pPr>
        <w:jc w:val="right"/>
        <w:rPr>
          <w:rFonts w:asciiTheme="majorHAnsi" w:hAnsiTheme="majorHAnsi"/>
        </w:rPr>
      </w:pPr>
      <m:oMath>
        <m:f>
          <m:fPr>
            <m:ctrlPr>
              <w:rPr>
                <w:rFonts w:ascii="Cambria Math" w:hAnsi="Cambria Math"/>
                <w:i/>
              </w:rPr>
            </m:ctrlPr>
          </m:fPr>
          <m:num>
            <m:sSup>
              <m:sSupPr>
                <m:ctrlPr>
                  <w:rPr>
                    <w:rFonts w:ascii="Cambria Math" w:hAnsi="Cambria Math"/>
                    <w:vertAlign w:val="superscript"/>
                  </w:rPr>
                </m:ctrlPr>
              </m:sSupPr>
              <m:e>
                <m:r>
                  <w:rPr>
                    <w:rFonts w:ascii="Cambria Math" w:hAnsi="Cambria Math"/>
                  </w:rPr>
                  <m:t>dX</m:t>
                </m:r>
                <m:ctrlPr>
                  <w:rPr>
                    <w:rFonts w:ascii="Cambria Math" w:hAnsi="Cambria Math"/>
                    <w:i/>
                  </w:rPr>
                </m:ctrlPr>
              </m:e>
              <m:sup>
                <m:d>
                  <m:dPr>
                    <m:ctrlPr>
                      <w:rPr>
                        <w:rFonts w:ascii="Cambria Math" w:hAnsi="Cambria Math"/>
                        <w:vertAlign w:val="superscript"/>
                      </w:rPr>
                    </m:ctrlPr>
                  </m:dPr>
                  <m:e>
                    <m:r>
                      <m:rPr>
                        <m:sty m:val="p"/>
                      </m:rPr>
                      <w:rPr>
                        <w:rFonts w:ascii="Cambria Math" w:hAnsi="Cambria Math"/>
                        <w:vertAlign w:val="superscript"/>
                      </w:rPr>
                      <m:t>0</m:t>
                    </m:r>
                  </m:e>
                </m:d>
              </m:sup>
            </m:sSup>
          </m:num>
          <m:den>
            <m:r>
              <w:rPr>
                <w:rFonts w:ascii="Cambria Math" w:hAnsi="Cambria Math"/>
              </w:rPr>
              <m:t>dt</m:t>
            </m:r>
          </m:den>
        </m:f>
        <m:r>
          <w:rPr>
            <w:rFonts w:ascii="Cambria Math" w:hAnsi="Cambria Math"/>
          </w:rPr>
          <m:t xml:space="preserve"> =α</m:t>
        </m:r>
        <m:sSup>
          <m:sSupPr>
            <m:ctrlPr>
              <w:rPr>
                <w:rFonts w:ascii="Cambria Math" w:hAnsi="Cambria Math"/>
                <w:i/>
                <w:iCs/>
              </w:rPr>
            </m:ctrlPr>
          </m:sSupPr>
          <m:e>
            <m:r>
              <w:rPr>
                <w:rFonts w:ascii="Cambria Math" w:hAnsi="Cambria Math"/>
              </w:rPr>
              <m:t>X</m:t>
            </m:r>
            <m:ctrlPr>
              <w:rPr>
                <w:rFonts w:ascii="Cambria Math" w:hAnsi="Cambria Math"/>
                <w:i/>
              </w:rPr>
            </m:ctrlPr>
          </m:e>
          <m:sup>
            <m:d>
              <m:dPr>
                <m:ctrlPr>
                  <w:rPr>
                    <w:rFonts w:ascii="Cambria Math" w:hAnsi="Cambria Math"/>
                    <w:i/>
                  </w:rPr>
                </m:ctrlPr>
              </m:dPr>
              <m:e>
                <m:r>
                  <w:rPr>
                    <w:rFonts w:ascii="Cambria Math" w:hAnsi="Cambria Math"/>
                  </w:rPr>
                  <m:t>0</m:t>
                </m:r>
              </m:e>
            </m:d>
          </m:sup>
        </m:sSup>
        <m:r>
          <w:rPr>
            <w:rFonts w:ascii="Cambria Math" w:hAnsi="Cambria Math"/>
          </w:rPr>
          <m:t xml:space="preserve"> </m:t>
        </m:r>
        <m:d>
          <m:dPr>
            <m:ctrlPr>
              <w:rPr>
                <w:rFonts w:ascii="Cambria Math" w:hAnsi="Cambria Math"/>
                <w:i/>
              </w:rPr>
            </m:ctrlPr>
          </m:dPr>
          <m:e>
            <m:sSup>
              <m:sSupPr>
                <m:ctrlPr>
                  <w:rPr>
                    <w:rFonts w:ascii="Cambria Math" w:hAnsi="Cambria Math"/>
                    <w:i/>
                    <w:iCs/>
                  </w:rPr>
                </m:ctrlPr>
              </m:sSupPr>
              <m:e>
                <m:r>
                  <w:rPr>
                    <w:rFonts w:ascii="Cambria Math" w:hAnsi="Cambria Math"/>
                  </w:rPr>
                  <m:t>1 -γ</m:t>
                </m:r>
                <m:nary>
                  <m:naryPr>
                    <m:chr m:val="∑"/>
                    <m:limLoc m:val="undOvr"/>
                    <m:supHide m:val="1"/>
                    <m:ctrlPr>
                      <w:rPr>
                        <w:rFonts w:ascii="Cambria Math" w:hAnsi="Cambria Math"/>
                        <w:i/>
                      </w:rPr>
                    </m:ctrlPr>
                  </m:naryPr>
                  <m:sub>
                    <m:r>
                      <w:rPr>
                        <w:rFonts w:ascii="Cambria Math" w:hAnsi="Cambria Math"/>
                      </w:rPr>
                      <m:t>k∈0</m:t>
                    </m:r>
                  </m:sub>
                  <m:sup/>
                  <m:e>
                    <m:r>
                      <w:rPr>
                        <w:rFonts w:ascii="Cambria Math" w:hAnsi="Cambria Math"/>
                      </w:rPr>
                      <m:t>X</m:t>
                    </m:r>
                  </m:e>
                </m:nary>
                <m:ctrlPr>
                  <w:rPr>
                    <w:rFonts w:ascii="Cambria Math" w:hAnsi="Cambria Math"/>
                    <w:i/>
                  </w:rPr>
                </m:ctrlPr>
              </m:e>
              <m:sup>
                <m:d>
                  <m:dPr>
                    <m:ctrlPr>
                      <w:rPr>
                        <w:rFonts w:ascii="Cambria Math" w:hAnsi="Cambria Math"/>
                        <w:i/>
                      </w:rPr>
                    </m:ctrlPr>
                  </m:dPr>
                  <m:e>
                    <m:r>
                      <w:rPr>
                        <w:rFonts w:ascii="Cambria Math" w:hAnsi="Cambria Math"/>
                      </w:rPr>
                      <m:t>k</m:t>
                    </m:r>
                  </m:e>
                </m:d>
              </m:sup>
            </m:sSup>
          </m:e>
        </m:d>
        <m:r>
          <w:rPr>
            <w:rFonts w:ascii="Cambria Math" w:hAnsi="Cambria Math"/>
          </w:rPr>
          <m:t>+</m:t>
        </m:r>
        <m:r>
          <w:rPr>
            <w:rFonts w:ascii="Cambria Math" w:hAnsi="Cambria Math"/>
          </w:rPr>
          <m:t>η</m:t>
        </m:r>
        <m:r>
          <m:rPr>
            <m:sty m:val="p"/>
          </m:rPr>
          <w:rPr>
            <w:rFonts w:ascii="Cambria Math" w:hAnsi="Cambria Math"/>
          </w:rPr>
          <m:t>,</m:t>
        </m:r>
      </m:oMath>
      <w:r w:rsidR="001B0A2C">
        <w:rPr>
          <w:rFonts w:asciiTheme="majorHAnsi" w:hAnsiTheme="majorHAnsi"/>
        </w:rPr>
        <w:t xml:space="preserve">                                             (1)</w:t>
      </w:r>
    </w:p>
    <w:p w14:paraId="5DA193E1" w14:textId="21C39C30" w:rsidR="00BA5BCB" w:rsidRPr="00BA5BCB" w:rsidRDefault="00BA5BCB" w:rsidP="004C582D">
      <w:pPr>
        <w:spacing w:before="240"/>
        <w:rPr>
          <w:rFonts w:asciiTheme="majorHAnsi" w:hAnsiTheme="majorHAnsi"/>
        </w:rPr>
      </w:pPr>
      <w:r w:rsidRPr="00BA5BCB">
        <w:rPr>
          <w:rFonts w:asciiTheme="majorHAnsi" w:hAnsiTheme="majorHAnsi"/>
        </w:rPr>
        <w:t xml:space="preserve">where α is the natural rate of growth of an empire in absence of its </w:t>
      </w:r>
      <w:proofErr w:type="spellStart"/>
      <w:r w:rsidRPr="00BA5BCB">
        <w:rPr>
          <w:rFonts w:asciiTheme="majorHAnsi" w:hAnsiTheme="majorHAnsi"/>
        </w:rPr>
        <w:t>neighbours</w:t>
      </w:r>
      <w:proofErr w:type="spellEnd"/>
      <w:r w:rsidRPr="00BA5BCB">
        <w:rPr>
          <w:rFonts w:asciiTheme="majorHAnsi" w:hAnsiTheme="majorHAnsi"/>
        </w:rPr>
        <w:t>: a ballpark figure for this parameter should be one percent bec</w:t>
      </w:r>
      <w:bookmarkStart w:id="0" w:name="_GoBack"/>
      <w:bookmarkEnd w:id="0"/>
      <w:r w:rsidRPr="00BA5BCB">
        <w:rPr>
          <w:rFonts w:asciiTheme="majorHAnsi" w:hAnsiTheme="majorHAnsi"/>
        </w:rPr>
        <w:t>ause a too large yearly variation of the size is unlikely to be compatible with some stability</w:t>
      </w:r>
      <w:r w:rsidR="004C582D">
        <w:rPr>
          <w:rStyle w:val="a6"/>
          <w:rFonts w:asciiTheme="majorHAnsi" w:hAnsiTheme="majorHAnsi"/>
        </w:rPr>
        <w:footnoteReference w:id="3"/>
      </w:r>
      <w:r w:rsidRPr="00BA5BCB">
        <w:rPr>
          <w:rFonts w:asciiTheme="majorHAnsi" w:hAnsiTheme="majorHAnsi"/>
        </w:rPr>
        <w:t xml:space="preserve">; γ represents the average weight of the </w:t>
      </w:r>
      <w:proofErr w:type="spellStart"/>
      <w:r w:rsidRPr="00BA5BCB">
        <w:rPr>
          <w:rFonts w:asciiTheme="majorHAnsi" w:hAnsiTheme="majorHAnsi"/>
        </w:rPr>
        <w:t>neighbours</w:t>
      </w:r>
      <w:proofErr w:type="spellEnd"/>
      <w:r w:rsidRPr="00BA5BCB">
        <w:rPr>
          <w:rFonts w:asciiTheme="majorHAnsi" w:hAnsiTheme="majorHAnsi"/>
        </w:rPr>
        <w:t xml:space="preserve">, whose impact is proportional to their own size (the sum runs over all the nearest </w:t>
      </w:r>
      <w:proofErr w:type="spellStart"/>
      <w:r w:rsidRPr="00BA5BCB">
        <w:rPr>
          <w:rFonts w:asciiTheme="majorHAnsi" w:hAnsiTheme="majorHAnsi"/>
        </w:rPr>
        <w:t>neighbours</w:t>
      </w:r>
      <w:proofErr w:type="spellEnd"/>
      <w:r w:rsidRPr="00BA5BCB">
        <w:rPr>
          <w:rFonts w:asciiTheme="majorHAnsi" w:hAnsiTheme="majorHAnsi"/>
        </w:rPr>
        <w:t xml:space="preserve"> k of the empire 0); η is a stochastic external noise whose time scale we expect to be large and which can be taught of as the exogenous random factor.</w:t>
      </w:r>
    </w:p>
    <w:p w14:paraId="1AB30D43" w14:textId="77777777" w:rsidR="00BA5BCB" w:rsidRDefault="001B0A2C" w:rsidP="004C582D">
      <w:pPr>
        <w:spacing w:after="240"/>
        <w:rPr>
          <w:rFonts w:asciiTheme="majorHAnsi" w:hAnsiTheme="majorHAnsi"/>
        </w:rPr>
      </w:pPr>
      <w:r>
        <w:rPr>
          <w:rFonts w:asciiTheme="majorHAnsi" w:hAnsiTheme="majorHAnsi"/>
        </w:rPr>
        <w:tab/>
      </w:r>
      <w:r w:rsidR="00BA5BCB" w:rsidRPr="00BA5BCB">
        <w:rPr>
          <w:rFonts w:asciiTheme="majorHAnsi" w:hAnsiTheme="majorHAnsi"/>
        </w:rPr>
        <w:t>Given that there is nothing special about empire (0) with respect to all the others in the above equation, we can assume that the dynamics for the average of all of them is well approximated by the following:</w:t>
      </w:r>
    </w:p>
    <w:p w14:paraId="621073BE" w14:textId="55F3A52A" w:rsidR="00BA5BCB" w:rsidRPr="00BA5BCB" w:rsidRDefault="007D7F13" w:rsidP="00282DC2">
      <w:pPr>
        <w:jc w:val="right"/>
        <w:rPr>
          <w:rFonts w:asciiTheme="majorHAnsi" w:hAnsiTheme="majorHAnsi"/>
        </w:rPr>
      </w:pPr>
      <m:oMath>
        <m:f>
          <m:fPr>
            <m:ctrlPr>
              <w:rPr>
                <w:rFonts w:ascii="Cambria Math" w:hAnsi="Cambria Math"/>
                <w:i/>
              </w:rPr>
            </m:ctrlPr>
          </m:fPr>
          <m:num>
            <m:r>
              <w:rPr>
                <w:rFonts w:ascii="Cambria Math" w:hAnsi="Cambria Math"/>
              </w:rPr>
              <m:t>d</m:t>
            </m:r>
            <m:d>
              <m:dPr>
                <m:begChr m:val="⟨"/>
                <m:endChr m:val="⟩"/>
                <m:ctrlPr>
                  <w:rPr>
                    <w:rFonts w:ascii="Cambria Math" w:hAnsi="Cambria Math"/>
                    <w:i/>
                  </w:rPr>
                </m:ctrlPr>
              </m:dPr>
              <m:e>
                <m:r>
                  <w:rPr>
                    <w:rFonts w:ascii="Cambria Math" w:hAnsi="Cambria Math"/>
                  </w:rPr>
                  <m:t>X</m:t>
                </m:r>
              </m:e>
            </m:d>
          </m:num>
          <m:den>
            <m:r>
              <w:rPr>
                <w:rFonts w:ascii="Cambria Math" w:hAnsi="Cambria Math"/>
              </w:rPr>
              <m:t>dt</m:t>
            </m:r>
          </m:den>
        </m:f>
        <m:r>
          <w:rPr>
            <w:rFonts w:ascii="Cambria Math" w:hAnsi="Cambria Math"/>
          </w:rPr>
          <m:t>≈</m:t>
        </m:r>
        <m:r>
          <m:rPr>
            <m:sty m:val="p"/>
          </m:rPr>
          <w:rPr>
            <w:rFonts w:ascii="Cambria Math" w:hAnsi="Cambria Math"/>
          </w:rPr>
          <m:t>α</m:t>
        </m:r>
        <m:d>
          <m:dPr>
            <m:begChr m:val="⟨"/>
            <m:endChr m:val="⟩"/>
            <m:ctrlPr>
              <w:rPr>
                <w:rFonts w:ascii="Cambria Math" w:hAnsi="Cambria Math"/>
              </w:rPr>
            </m:ctrlPr>
          </m:dPr>
          <m:e>
            <m:r>
              <w:rPr>
                <w:rFonts w:ascii="Cambria Math" w:hAnsi="Cambria Math"/>
              </w:rPr>
              <m:t>X</m:t>
            </m:r>
          </m:e>
        </m:d>
        <m:d>
          <m:dPr>
            <m:ctrlPr>
              <w:rPr>
                <w:rFonts w:ascii="Cambria Math" w:hAnsi="Cambria Math"/>
              </w:rPr>
            </m:ctrlPr>
          </m:dPr>
          <m:e>
            <m:r>
              <m:rPr>
                <m:sty m:val="p"/>
              </m:rPr>
              <w:rPr>
                <w:rFonts w:ascii="Cambria Math" w:hAnsi="Cambria Math"/>
              </w:rPr>
              <m:t>1 -  γ</m:t>
            </m:r>
            <m:d>
              <m:dPr>
                <m:begChr m:val="⟨"/>
                <m:endChr m:val="⟩"/>
                <m:ctrlPr>
                  <w:rPr>
                    <w:rFonts w:ascii="Cambria Math" w:hAnsi="Cambria Math"/>
                  </w:rPr>
                </m:ctrlPr>
              </m:dPr>
              <m:e>
                <m:r>
                  <w:rPr>
                    <w:rFonts w:ascii="Cambria Math" w:hAnsi="Cambria Math"/>
                  </w:rPr>
                  <m:t>X</m:t>
                </m:r>
              </m:e>
            </m:d>
          </m:e>
        </m:d>
        <m:r>
          <m:rPr>
            <m:sty m:val="p"/>
          </m:rPr>
          <w:rPr>
            <w:rFonts w:ascii="Cambria Math" w:hAnsi="Cambria Math"/>
          </w:rPr>
          <m:t xml:space="preserve"> + </m:t>
        </m:r>
        <m:d>
          <m:dPr>
            <m:begChr m:val="⟨"/>
            <m:endChr m:val="⟩"/>
            <m:ctrlPr>
              <w:rPr>
                <w:rFonts w:ascii="Cambria Math" w:hAnsi="Cambria Math"/>
              </w:rPr>
            </m:ctrlPr>
          </m:dPr>
          <m:e>
            <m:r>
              <w:rPr>
                <w:rFonts w:ascii="Cambria Math" w:hAnsi="Cambria Math"/>
              </w:rPr>
              <m:t>η</m:t>
            </m:r>
          </m:e>
        </m:d>
        <m:r>
          <m:rPr>
            <m:sty m:val="p"/>
          </m:rPr>
          <w:rPr>
            <w:rFonts w:ascii="Cambria Math" w:hAnsi="Cambria Math"/>
          </w:rPr>
          <m:t xml:space="preserve">,                                             </m:t>
        </m:r>
      </m:oMath>
      <w:r w:rsidR="00282DC2" w:rsidRPr="00BA5BCB">
        <w:rPr>
          <w:rFonts w:asciiTheme="majorHAnsi" w:hAnsiTheme="majorHAnsi"/>
        </w:rPr>
        <w:t xml:space="preserve"> </w:t>
      </w:r>
      <w:r w:rsidR="00BA5BCB" w:rsidRPr="00BA5BCB">
        <w:rPr>
          <w:rFonts w:asciiTheme="majorHAnsi" w:hAnsiTheme="majorHAnsi"/>
        </w:rPr>
        <w:t>(2)</w:t>
      </w:r>
    </w:p>
    <w:p w14:paraId="2C3526E7" w14:textId="26BFFDFE" w:rsidR="00BA5BCB" w:rsidRPr="00BA5BCB" w:rsidRDefault="00BA5BCB" w:rsidP="004C582D">
      <w:pPr>
        <w:spacing w:before="240"/>
        <w:rPr>
          <w:rFonts w:asciiTheme="majorHAnsi" w:hAnsiTheme="majorHAnsi"/>
        </w:rPr>
      </w:pPr>
      <w:r w:rsidRPr="00BA5BCB">
        <w:rPr>
          <w:rFonts w:asciiTheme="majorHAnsi" w:hAnsiTheme="majorHAnsi"/>
        </w:rPr>
        <w:t xml:space="preserve">within a mean-field kind of approximation on the </w:t>
      </w:r>
      <w:r w:rsidR="00F812D5" w:rsidRPr="00BA5BCB">
        <w:rPr>
          <w:rFonts w:asciiTheme="majorHAnsi" w:hAnsiTheme="majorHAnsi"/>
        </w:rPr>
        <w:t>right-hand</w:t>
      </w:r>
      <w:r w:rsidRPr="00BA5BCB">
        <w:rPr>
          <w:rFonts w:asciiTheme="majorHAnsi" w:hAnsiTheme="majorHAnsi"/>
        </w:rPr>
        <w:t xml:space="preserve"> side: ⟨</w:t>
      </w:r>
      <w:r w:rsidRPr="00282DC2">
        <w:rPr>
          <w:rFonts w:asciiTheme="majorHAnsi" w:hAnsiTheme="majorHAnsi"/>
          <w:i/>
          <w:iCs/>
        </w:rPr>
        <w:t>X</w:t>
      </w:r>
      <w:r w:rsidRPr="00282DC2">
        <w:rPr>
          <w:rFonts w:asciiTheme="majorHAnsi" w:hAnsiTheme="majorHAnsi"/>
          <w:i/>
          <w:iCs/>
          <w:vertAlign w:val="superscript"/>
        </w:rPr>
        <w:t>(</w:t>
      </w:r>
      <w:proofErr w:type="spellStart"/>
      <w:r w:rsidRPr="00282DC2">
        <w:rPr>
          <w:rFonts w:asciiTheme="majorHAnsi" w:hAnsiTheme="majorHAnsi"/>
          <w:i/>
          <w:iCs/>
          <w:vertAlign w:val="superscript"/>
        </w:rPr>
        <w:t>i</w:t>
      </w:r>
      <w:proofErr w:type="spellEnd"/>
      <w:r w:rsidRPr="00282DC2">
        <w:rPr>
          <w:rFonts w:asciiTheme="majorHAnsi" w:hAnsiTheme="majorHAnsi"/>
          <w:i/>
          <w:iCs/>
          <w:vertAlign w:val="superscript"/>
        </w:rPr>
        <w:t>)</w:t>
      </w:r>
      <w:r w:rsidRPr="00282DC2">
        <w:rPr>
          <w:rFonts w:asciiTheme="majorHAnsi" w:hAnsiTheme="majorHAnsi"/>
          <w:i/>
          <w:iCs/>
        </w:rPr>
        <w:t>X</w:t>
      </w:r>
      <w:r w:rsidRPr="00282DC2">
        <w:rPr>
          <w:rFonts w:asciiTheme="majorHAnsi" w:hAnsiTheme="majorHAnsi"/>
          <w:i/>
          <w:iCs/>
          <w:vertAlign w:val="superscript"/>
        </w:rPr>
        <w:t>(j)</w:t>
      </w:r>
      <w:r w:rsidRPr="00BA5BCB">
        <w:rPr>
          <w:rFonts w:asciiTheme="majorHAnsi" w:hAnsiTheme="majorHAnsi"/>
        </w:rPr>
        <w:t>⟩ ≃</w:t>
      </w:r>
    </w:p>
    <w:p w14:paraId="0E222E75" w14:textId="77777777" w:rsidR="00BA5BCB" w:rsidRPr="00BA5BCB" w:rsidRDefault="00BA5BCB" w:rsidP="00BA5BCB">
      <w:pPr>
        <w:rPr>
          <w:rFonts w:asciiTheme="majorHAnsi" w:hAnsiTheme="majorHAnsi"/>
        </w:rPr>
      </w:pPr>
      <w:r w:rsidRPr="00BA5BCB">
        <w:rPr>
          <w:rFonts w:asciiTheme="majorHAnsi" w:hAnsiTheme="majorHAnsi"/>
        </w:rPr>
        <w:lastRenderedPageBreak/>
        <w:t>⟨</w:t>
      </w:r>
      <w:r w:rsidRPr="00282DC2">
        <w:rPr>
          <w:rFonts w:asciiTheme="majorHAnsi" w:hAnsiTheme="majorHAnsi"/>
          <w:i/>
          <w:iCs/>
        </w:rPr>
        <w:t>X</w:t>
      </w:r>
      <w:r w:rsidRPr="00282DC2">
        <w:rPr>
          <w:rFonts w:asciiTheme="majorHAnsi" w:hAnsiTheme="majorHAnsi"/>
          <w:i/>
          <w:iCs/>
          <w:vertAlign w:val="superscript"/>
        </w:rPr>
        <w:t>(</w:t>
      </w:r>
      <w:proofErr w:type="spellStart"/>
      <w:r w:rsidRPr="00282DC2">
        <w:rPr>
          <w:rFonts w:asciiTheme="majorHAnsi" w:hAnsiTheme="majorHAnsi"/>
          <w:i/>
          <w:iCs/>
          <w:vertAlign w:val="superscript"/>
        </w:rPr>
        <w:t>i</w:t>
      </w:r>
      <w:proofErr w:type="spellEnd"/>
      <w:r w:rsidRPr="00282DC2">
        <w:rPr>
          <w:rFonts w:asciiTheme="majorHAnsi" w:hAnsiTheme="majorHAnsi"/>
          <w:i/>
          <w:iCs/>
          <w:vertAlign w:val="superscript"/>
        </w:rPr>
        <w:t>)</w:t>
      </w:r>
      <w:r w:rsidRPr="00BA5BCB">
        <w:rPr>
          <w:rFonts w:asciiTheme="majorHAnsi" w:hAnsiTheme="majorHAnsi"/>
        </w:rPr>
        <w:t>⟩⟨</w:t>
      </w:r>
      <w:r w:rsidRPr="00282DC2">
        <w:rPr>
          <w:rFonts w:asciiTheme="majorHAnsi" w:hAnsiTheme="majorHAnsi"/>
          <w:i/>
          <w:iCs/>
        </w:rPr>
        <w:t>X</w:t>
      </w:r>
      <w:r w:rsidRPr="00282DC2">
        <w:rPr>
          <w:rFonts w:asciiTheme="majorHAnsi" w:hAnsiTheme="majorHAnsi"/>
          <w:i/>
          <w:iCs/>
          <w:vertAlign w:val="superscript"/>
        </w:rPr>
        <w:t>(j)</w:t>
      </w:r>
      <w:r w:rsidRPr="00BA5BCB">
        <w:rPr>
          <w:rFonts w:asciiTheme="majorHAnsi" w:hAnsiTheme="majorHAnsi"/>
        </w:rPr>
        <w:t>⟩. If we now suppose that the average impact of external factors ⟨</w:t>
      </w:r>
      <w:r w:rsidRPr="00282DC2">
        <w:rPr>
          <w:rFonts w:asciiTheme="majorHAnsi" w:hAnsiTheme="majorHAnsi"/>
          <w:i/>
          <w:iCs/>
        </w:rPr>
        <w:t>η</w:t>
      </w:r>
      <w:r w:rsidRPr="00BA5BCB">
        <w:rPr>
          <w:rFonts w:asciiTheme="majorHAnsi" w:hAnsiTheme="majorHAnsi"/>
        </w:rPr>
        <w:t>⟩ can be neglected then we are left with a classical differential equation whose solution is given by the logistic function:</w:t>
      </w:r>
    </w:p>
    <w:p w14:paraId="505CFD5E" w14:textId="77777777" w:rsidR="00BA5BCB" w:rsidRPr="00D56D01" w:rsidRDefault="00BA5BCB" w:rsidP="00BA5BCB">
      <w:pPr>
        <w:rPr>
          <w:rFonts w:asciiTheme="majorHAnsi" w:hAnsiTheme="majorHAnsi"/>
        </w:rPr>
      </w:pPr>
    </w:p>
    <w:p w14:paraId="1A70E833" w14:textId="08002332" w:rsidR="00BA5BCB" w:rsidRPr="00D56D01" w:rsidRDefault="007D7F13" w:rsidP="00282DC2">
      <w:pPr>
        <w:jc w:val="right"/>
        <w:rPr>
          <w:rFonts w:asciiTheme="majorHAnsi" w:hAnsiTheme="majorHAnsi"/>
        </w:rPr>
      </w:pPr>
      <m:oMath>
        <m:d>
          <m:dPr>
            <m:begChr m:val="⟨"/>
            <m:endChr m:val="⟩"/>
            <m:ctrlPr>
              <w:rPr>
                <w:rFonts w:ascii="Cambria Math" w:hAnsi="Cambria Math"/>
              </w:rPr>
            </m:ctrlPr>
          </m:dPr>
          <m:e>
            <m:r>
              <w:rPr>
                <w:rFonts w:ascii="Cambria Math" w:hAnsi="Cambria Math"/>
              </w:rPr>
              <m:t>X</m:t>
            </m:r>
            <m:d>
              <m:dPr>
                <m:ctrlPr>
                  <w:rPr>
                    <w:rFonts w:ascii="Cambria Math" w:hAnsi="Cambria Math"/>
                    <w:i/>
                    <w:iCs/>
                  </w:rPr>
                </m:ctrlPr>
              </m:dPr>
              <m:e>
                <m:r>
                  <w:rPr>
                    <w:rFonts w:ascii="Cambria Math" w:hAnsi="Cambria Math"/>
                  </w:rPr>
                  <m:t>t</m:t>
                </m:r>
              </m:e>
            </m:d>
          </m:e>
        </m:d>
        <m:r>
          <m:rPr>
            <m:sty m:val="p"/>
          </m:rPr>
          <w:rPr>
            <w:rFonts w:ascii="Cambria Math" w:hAnsi="Cambria Math"/>
          </w:rPr>
          <m:t>=</m:t>
        </m:r>
        <m:f>
          <m:fPr>
            <m:ctrlPr>
              <w:rPr>
                <w:rFonts w:ascii="Cambria Math" w:hAnsi="Cambria Math"/>
              </w:rPr>
            </m:ctrlPr>
          </m:fPr>
          <m:num>
            <m:sSup>
              <m:sSupPr>
                <m:ctrlPr>
                  <w:rPr>
                    <w:rFonts w:ascii="Cambria Math" w:hAnsi="Cambria Math"/>
                    <w:i/>
                  </w:rPr>
                </m:ctrlPr>
              </m:sSupPr>
              <m:e>
                <m:r>
                  <w:rPr>
                    <w:rFonts w:ascii="Cambria Math" w:hAnsi="Cambria Math"/>
                  </w:rPr>
                  <m:t>γ</m:t>
                </m:r>
                <m:ctrlPr>
                  <w:rPr>
                    <w:rFonts w:ascii="Cambria Math" w:hAnsi="Cambria Math"/>
                  </w:rPr>
                </m:ctrlPr>
              </m:e>
              <m:sup>
                <m:r>
                  <m:rPr>
                    <m:sty m:val="p"/>
                  </m:rPr>
                  <w:rPr>
                    <w:rFonts w:ascii="Cambria Math" w:hAnsi="Cambria Math"/>
                    <w:vertAlign w:val="superscript"/>
                  </w:rPr>
                  <m:t>-1</m:t>
                </m:r>
              </m:sup>
            </m:sSup>
          </m:num>
          <m:den>
            <m:r>
              <m:rPr>
                <m:sty m:val="p"/>
              </m:rPr>
              <w:rPr>
                <w:rFonts w:ascii="Cambria Math" w:hAnsi="Cambria Math"/>
              </w:rPr>
              <m:t xml:space="preserve">1 + </m:t>
            </m:r>
            <m:sSup>
              <m:sSupPr>
                <m:ctrlPr>
                  <w:rPr>
                    <w:rFonts w:ascii="Cambria Math" w:hAnsi="Cambria Math"/>
                    <w:i/>
                  </w:rPr>
                </m:ctrlPr>
              </m:sSupPr>
              <m:e>
                <m:r>
                  <w:rPr>
                    <w:rFonts w:ascii="Cambria Math" w:hAnsi="Cambria Math"/>
                  </w:rPr>
                  <m:t>e</m:t>
                </m:r>
                <m:ctrlPr>
                  <w:rPr>
                    <w:rFonts w:ascii="Cambria Math" w:hAnsi="Cambria Math"/>
                  </w:rPr>
                </m:ctrlPr>
              </m:e>
              <m:sup>
                <m:r>
                  <w:rPr>
                    <w:rFonts w:ascii="Cambria Math" w:hAnsi="Cambria Math"/>
                  </w:rPr>
                  <m:t>-α</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d>
              </m:sup>
            </m:sSup>
          </m:den>
        </m:f>
      </m:oMath>
      <w:r w:rsidR="00BA5BCB" w:rsidRPr="00D56D01">
        <w:rPr>
          <w:rFonts w:asciiTheme="majorHAnsi" w:hAnsiTheme="majorHAnsi"/>
        </w:rPr>
        <w:t>,</w:t>
      </w:r>
      <w:r w:rsidR="00BA5BCB" w:rsidRPr="00D56D01">
        <w:rPr>
          <w:rFonts w:asciiTheme="majorHAnsi" w:hAnsiTheme="majorHAnsi"/>
        </w:rPr>
        <w:tab/>
      </w:r>
      <w:r w:rsidR="00282DC2" w:rsidRPr="00D56D01">
        <w:rPr>
          <w:rFonts w:asciiTheme="majorHAnsi" w:hAnsiTheme="majorHAnsi"/>
        </w:rPr>
        <w:t xml:space="preserve">                                        </w:t>
      </w:r>
      <w:proofErr w:type="gramStart"/>
      <w:r w:rsidR="00282DC2" w:rsidRPr="00D56D01">
        <w:rPr>
          <w:rFonts w:asciiTheme="majorHAnsi" w:hAnsiTheme="majorHAnsi"/>
        </w:rPr>
        <w:t xml:space="preserve">   </w:t>
      </w:r>
      <w:r w:rsidR="00BA5BCB" w:rsidRPr="00D56D01">
        <w:rPr>
          <w:rFonts w:asciiTheme="majorHAnsi" w:hAnsiTheme="majorHAnsi"/>
        </w:rPr>
        <w:t>(</w:t>
      </w:r>
      <w:proofErr w:type="gramEnd"/>
      <w:r w:rsidR="00BA5BCB" w:rsidRPr="00D56D01">
        <w:rPr>
          <w:rFonts w:asciiTheme="majorHAnsi" w:hAnsiTheme="majorHAnsi"/>
        </w:rPr>
        <w:t>3)</w:t>
      </w:r>
    </w:p>
    <w:p w14:paraId="7888B953" w14:textId="77777777" w:rsidR="00282DC2" w:rsidRPr="00D56D01" w:rsidRDefault="00282DC2" w:rsidP="00282DC2">
      <w:pPr>
        <w:jc w:val="right"/>
        <w:rPr>
          <w:rFonts w:asciiTheme="majorHAnsi" w:hAnsiTheme="majorHAnsi"/>
        </w:rPr>
      </w:pPr>
    </w:p>
    <w:p w14:paraId="303AAC53" w14:textId="77777777" w:rsidR="00BA5BCB" w:rsidRPr="00BA5BCB" w:rsidRDefault="00BA5BCB" w:rsidP="00BA5BCB">
      <w:pPr>
        <w:rPr>
          <w:rFonts w:asciiTheme="majorHAnsi" w:hAnsiTheme="majorHAnsi"/>
        </w:rPr>
      </w:pPr>
      <w:r w:rsidRPr="00BA5BCB">
        <w:rPr>
          <w:rFonts w:asciiTheme="majorHAnsi" w:hAnsiTheme="majorHAnsi"/>
        </w:rPr>
        <w:t xml:space="preserve">where </w:t>
      </w:r>
      <w:r w:rsidRPr="00282DC2">
        <w:rPr>
          <w:rFonts w:asciiTheme="majorHAnsi" w:hAnsiTheme="majorHAnsi"/>
          <w:i/>
          <w:iCs/>
        </w:rPr>
        <w:t>γ</w:t>
      </w:r>
      <w:r w:rsidRPr="00614F15">
        <w:rPr>
          <w:rFonts w:asciiTheme="majorHAnsi" w:hAnsiTheme="majorHAnsi"/>
          <w:vertAlign w:val="superscript"/>
        </w:rPr>
        <w:t>−1</w:t>
      </w:r>
      <w:r w:rsidRPr="00BA5BCB">
        <w:rPr>
          <w:rFonts w:asciiTheme="majorHAnsi" w:hAnsiTheme="majorHAnsi"/>
        </w:rPr>
        <w:t xml:space="preserve"> is the </w:t>
      </w:r>
      <w:r w:rsidRPr="00282DC2">
        <w:rPr>
          <w:rFonts w:asciiTheme="majorHAnsi" w:hAnsiTheme="majorHAnsi"/>
          <w:i/>
          <w:iCs/>
        </w:rPr>
        <w:t>t</w:t>
      </w:r>
      <w:r w:rsidRPr="00BA5BCB">
        <w:rPr>
          <w:rFonts w:asciiTheme="majorHAnsi" w:hAnsiTheme="majorHAnsi"/>
        </w:rPr>
        <w:t xml:space="preserve"> → ∞ limit of ⟨</w:t>
      </w:r>
      <w:r w:rsidRPr="00282DC2">
        <w:rPr>
          <w:rFonts w:asciiTheme="majorHAnsi" w:hAnsiTheme="majorHAnsi"/>
          <w:i/>
          <w:iCs/>
        </w:rPr>
        <w:t>X(t)</w:t>
      </w:r>
      <w:r w:rsidRPr="00BA5BCB">
        <w:rPr>
          <w:rFonts w:asciiTheme="majorHAnsi" w:hAnsiTheme="majorHAnsi"/>
        </w:rPr>
        <w:t>⟩, α</w:t>
      </w:r>
      <w:r w:rsidRPr="00282DC2">
        <w:rPr>
          <w:rFonts w:asciiTheme="majorHAnsi" w:hAnsiTheme="majorHAnsi"/>
          <w:vertAlign w:val="superscript"/>
        </w:rPr>
        <w:t>−1</w:t>
      </w:r>
      <w:r w:rsidRPr="00BA5BCB">
        <w:rPr>
          <w:rFonts w:asciiTheme="majorHAnsi" w:hAnsiTheme="majorHAnsi"/>
        </w:rPr>
        <w:t xml:space="preserve"> is the time scale of the process, and t</w:t>
      </w:r>
      <w:r w:rsidRPr="004C582D">
        <w:rPr>
          <w:rFonts w:asciiTheme="majorHAnsi" w:hAnsiTheme="majorHAnsi"/>
          <w:vertAlign w:val="subscript"/>
        </w:rPr>
        <w:t>0</w:t>
      </w:r>
      <w:r w:rsidRPr="00BA5BCB">
        <w:rPr>
          <w:rFonts w:asciiTheme="majorHAnsi" w:hAnsiTheme="majorHAnsi"/>
        </w:rPr>
        <w:t xml:space="preserve"> is the first observation time. This function can now be used to fit the data in Fig. 4 and the parameters used are </w:t>
      </w:r>
      <w:r w:rsidRPr="00282DC2">
        <w:rPr>
          <w:rFonts w:asciiTheme="majorHAnsi" w:hAnsiTheme="majorHAnsi"/>
          <w:i/>
          <w:iCs/>
        </w:rPr>
        <w:t>γ</w:t>
      </w:r>
      <w:r w:rsidRPr="00282DC2">
        <w:rPr>
          <w:rFonts w:asciiTheme="majorHAnsi" w:hAnsiTheme="majorHAnsi"/>
          <w:vertAlign w:val="superscript"/>
        </w:rPr>
        <w:t>−1</w:t>
      </w:r>
      <w:r w:rsidRPr="00BA5BCB">
        <w:rPr>
          <w:rFonts w:asciiTheme="majorHAnsi" w:hAnsiTheme="majorHAnsi"/>
        </w:rPr>
        <w:t xml:space="preserve"> ≃ 8, </w:t>
      </w:r>
      <w:r w:rsidRPr="00282DC2">
        <w:rPr>
          <w:rFonts w:asciiTheme="majorHAnsi" w:hAnsiTheme="majorHAnsi"/>
          <w:i/>
          <w:iCs/>
        </w:rPr>
        <w:t>t</w:t>
      </w:r>
      <w:r w:rsidRPr="004C582D">
        <w:rPr>
          <w:rFonts w:asciiTheme="majorHAnsi" w:hAnsiTheme="majorHAnsi"/>
          <w:vertAlign w:val="subscript"/>
        </w:rPr>
        <w:t>0</w:t>
      </w:r>
      <w:r w:rsidRPr="00BA5BCB">
        <w:rPr>
          <w:rFonts w:asciiTheme="majorHAnsi" w:hAnsiTheme="majorHAnsi"/>
        </w:rPr>
        <w:t xml:space="preserve"> ≃ −0.1, and </w:t>
      </w:r>
      <w:r w:rsidRPr="00282DC2">
        <w:rPr>
          <w:rFonts w:asciiTheme="majorHAnsi" w:hAnsiTheme="majorHAnsi"/>
          <w:i/>
          <w:iCs/>
        </w:rPr>
        <w:t>α</w:t>
      </w:r>
      <w:r w:rsidRPr="004C582D">
        <w:rPr>
          <w:rFonts w:asciiTheme="majorHAnsi" w:hAnsiTheme="majorHAnsi"/>
          <w:vertAlign w:val="superscript"/>
        </w:rPr>
        <w:t>−1</w:t>
      </w:r>
      <w:r w:rsidRPr="00BA5BCB">
        <w:rPr>
          <w:rFonts w:asciiTheme="majorHAnsi" w:hAnsiTheme="majorHAnsi"/>
        </w:rPr>
        <w:t xml:space="preserve"> ≃ 0.3: these last two numbers can be easily translated into natural units after multiplying them by the average lifetime measured in the previous section, yielding to </w:t>
      </w:r>
      <w:r w:rsidRPr="00282DC2">
        <w:rPr>
          <w:rFonts w:asciiTheme="majorHAnsi" w:hAnsiTheme="majorHAnsi"/>
          <w:i/>
          <w:iCs/>
        </w:rPr>
        <w:t>t</w:t>
      </w:r>
      <w:r w:rsidRPr="004C582D">
        <w:rPr>
          <w:rFonts w:asciiTheme="majorHAnsi" w:hAnsiTheme="majorHAnsi"/>
          <w:vertAlign w:val="subscript"/>
        </w:rPr>
        <w:t>0</w:t>
      </w:r>
      <w:r w:rsidRPr="00BA5BCB">
        <w:rPr>
          <w:rFonts w:asciiTheme="majorHAnsi" w:hAnsiTheme="majorHAnsi"/>
        </w:rPr>
        <w:t xml:space="preserve"> ≃ −30 years</w:t>
      </w:r>
      <w:r w:rsidR="00282DC2">
        <w:rPr>
          <w:rStyle w:val="a6"/>
          <w:rFonts w:asciiTheme="majorHAnsi" w:hAnsiTheme="majorHAnsi"/>
        </w:rPr>
        <w:footnoteReference w:id="4"/>
      </w:r>
      <w:r w:rsidRPr="00BA5BCB">
        <w:rPr>
          <w:rFonts w:asciiTheme="majorHAnsi" w:hAnsiTheme="majorHAnsi"/>
        </w:rPr>
        <w:t>,</w:t>
      </w:r>
      <w:r w:rsidR="00282DC2">
        <w:rPr>
          <w:rFonts w:asciiTheme="majorHAnsi" w:hAnsiTheme="majorHAnsi"/>
        </w:rPr>
        <w:t xml:space="preserve"> </w:t>
      </w:r>
      <w:r w:rsidRPr="00BA5BCB">
        <w:rPr>
          <w:rFonts w:asciiTheme="majorHAnsi" w:hAnsiTheme="majorHAnsi"/>
        </w:rPr>
        <w:t>and α</w:t>
      </w:r>
      <w:r w:rsidRPr="00282DC2">
        <w:rPr>
          <w:rFonts w:asciiTheme="majorHAnsi" w:hAnsiTheme="majorHAnsi"/>
          <w:vertAlign w:val="superscript"/>
        </w:rPr>
        <w:t>−1</w:t>
      </w:r>
      <w:r w:rsidRPr="00BA5BCB">
        <w:rPr>
          <w:rFonts w:asciiTheme="majorHAnsi" w:hAnsiTheme="majorHAnsi"/>
        </w:rPr>
        <w:t xml:space="preserve"> ≃ 90 years. This step clears the way for an interpretation: such a negative value for t</w:t>
      </w:r>
      <w:r w:rsidRPr="004C582D">
        <w:rPr>
          <w:rFonts w:asciiTheme="majorHAnsi" w:hAnsiTheme="majorHAnsi"/>
          <w:vertAlign w:val="subscript"/>
        </w:rPr>
        <w:t>0</w:t>
      </w:r>
      <w:r w:rsidRPr="00BA5BCB">
        <w:rPr>
          <w:rFonts w:asciiTheme="majorHAnsi" w:hAnsiTheme="majorHAnsi"/>
        </w:rPr>
        <w:t xml:space="preserve"> hints at a narrative where some growth dynamics has already occurred over the previous generation when we start observing the process; as for the second parameter, α ≃ 1/90 ≃ 1.1% per year, it confirms our intuition about the order of magnitude of the natural expansion of an isolated empire, and indicates that the most significant increase in size (the acceleration in the expansion phase) happens over a period slightly smaller than a century.</w:t>
      </w:r>
    </w:p>
    <w:p w14:paraId="55F1B9B4" w14:textId="77777777" w:rsidR="00BA5BCB" w:rsidRPr="00BA5BCB" w:rsidRDefault="00282DC2" w:rsidP="00BA5BCB">
      <w:pPr>
        <w:rPr>
          <w:rFonts w:asciiTheme="majorHAnsi" w:hAnsiTheme="majorHAnsi"/>
        </w:rPr>
      </w:pPr>
      <w:r>
        <w:rPr>
          <w:rFonts w:asciiTheme="majorHAnsi" w:hAnsiTheme="majorHAnsi"/>
        </w:rPr>
        <w:tab/>
      </w:r>
      <w:r w:rsidR="00BA5BCB" w:rsidRPr="00BA5BCB">
        <w:rPr>
          <w:rFonts w:asciiTheme="majorHAnsi" w:hAnsiTheme="majorHAnsi"/>
        </w:rPr>
        <w:t>It is important to stress that the logistic function (eq. 3) is a solution to the model only when the average impact of external factors is neglected (⟨</w:t>
      </w:r>
      <w:r w:rsidR="00BA5BCB" w:rsidRPr="00282DC2">
        <w:rPr>
          <w:rFonts w:asciiTheme="majorHAnsi" w:hAnsiTheme="majorHAnsi"/>
          <w:i/>
          <w:iCs/>
        </w:rPr>
        <w:t>η</w:t>
      </w:r>
      <w:r w:rsidR="00BA5BCB" w:rsidRPr="00BA5BCB">
        <w:rPr>
          <w:rFonts w:asciiTheme="majorHAnsi" w:hAnsiTheme="majorHAnsi"/>
        </w:rPr>
        <w:t>⟩ = 0 in eq. (2)). This is not a realistic assumption but as the fit seems to work well on short-lived empires (see the right panel of Fig. 4) we can conclude that the time-scale of this exogenous factor is longer than a few centuries: in other words, the collapse of a large empire is more likely to be induced by a massive invasion, a major climate crisis or a significant natural catastrophe – in any case a relatively rare event.</w:t>
      </w:r>
    </w:p>
    <w:p w14:paraId="356E0828" w14:textId="77777777" w:rsidR="00BA5BCB" w:rsidRPr="00BA5BCB" w:rsidRDefault="00BA5BCB" w:rsidP="00BA5BCB">
      <w:pPr>
        <w:rPr>
          <w:rFonts w:asciiTheme="majorHAnsi" w:hAnsiTheme="majorHAnsi"/>
        </w:rPr>
      </w:pPr>
    </w:p>
    <w:p w14:paraId="593BB13C" w14:textId="77777777" w:rsidR="00BA5BCB" w:rsidRPr="00BA5BCB" w:rsidRDefault="00BA5BCB" w:rsidP="00343417">
      <w:pPr>
        <w:pStyle w:val="1"/>
      </w:pPr>
      <w:r w:rsidRPr="00BA5BCB">
        <w:t>3</w:t>
      </w:r>
      <w:r w:rsidRPr="00BA5BCB">
        <w:tab/>
        <w:t>Discussion and perspectives</w:t>
      </w:r>
    </w:p>
    <w:p w14:paraId="620B284E" w14:textId="77777777" w:rsidR="00BA5BCB" w:rsidRPr="00BA5BCB" w:rsidRDefault="00BA5BCB" w:rsidP="00BA5BCB">
      <w:pPr>
        <w:rPr>
          <w:rFonts w:asciiTheme="majorHAnsi" w:hAnsiTheme="majorHAnsi"/>
        </w:rPr>
      </w:pPr>
      <w:r w:rsidRPr="00BA5BCB">
        <w:rPr>
          <w:rFonts w:asciiTheme="majorHAnsi" w:hAnsiTheme="majorHAnsi"/>
        </w:rPr>
        <w:t>In this paper, we address fundamental questions regarding the temporal and spatial dynamics of empires: How long do empires last? How large do they grow relative to their initial and final states? Can we identify distinct phases of expansion and contraction within their life cycle? And, from these patterns, can we infer the most probable causes of collapse?</w:t>
      </w:r>
    </w:p>
    <w:p w14:paraId="61162C8C" w14:textId="77777777" w:rsidR="00BA5BCB" w:rsidRPr="00BA5BCB" w:rsidRDefault="00343417" w:rsidP="00BA5BCB">
      <w:pPr>
        <w:rPr>
          <w:rFonts w:asciiTheme="majorHAnsi" w:hAnsiTheme="majorHAnsi"/>
        </w:rPr>
      </w:pPr>
      <w:r>
        <w:rPr>
          <w:rFonts w:asciiTheme="majorHAnsi" w:hAnsiTheme="majorHAnsi"/>
        </w:rPr>
        <w:tab/>
      </w:r>
      <w:r w:rsidR="00BA5BCB" w:rsidRPr="00BA5BCB">
        <w:rPr>
          <w:rFonts w:asciiTheme="majorHAnsi" w:hAnsiTheme="majorHAnsi"/>
        </w:rPr>
        <w:t xml:space="preserve">We do not lay claim to settling such complex problems, but our statistical analysis highlights a “typical” pattern of behavior. Based on the 168 political entities studied, we confirm that the lifespan of empires follows an exponential distribution: older empires are not necessarily more stable than more recent ones. </w:t>
      </w:r>
      <w:r w:rsidR="00BA5BCB" w:rsidRPr="00BA5BCB">
        <w:rPr>
          <w:rFonts w:asciiTheme="majorHAnsi" w:hAnsiTheme="majorHAnsi"/>
        </w:rPr>
        <w:lastRenderedPageBreak/>
        <w:t>Using territorial extent as an indicator allows us to reconstruct a typical life cycle: an initial phase of expansion – sometimes preceding the formal constitution of the political entity – is followed by a</w:t>
      </w:r>
      <w:r w:rsidR="000C7D96" w:rsidRPr="000C7D96">
        <w:rPr>
          <w:rFonts w:asciiTheme="majorHAnsi" w:hAnsiTheme="majorHAnsi"/>
        </w:rPr>
        <w:t xml:space="preserve"> </w:t>
      </w:r>
      <w:r w:rsidR="00BA5BCB" w:rsidRPr="00BA5BCB">
        <w:rPr>
          <w:rFonts w:asciiTheme="majorHAnsi" w:hAnsiTheme="majorHAnsi"/>
        </w:rPr>
        <w:t>period of stability at maximum size, which may end abruptly. When this phase lasts for several centuries without external disruption, a slight decline is generally observed before disappearance, often triggered by an exogenous event. On average, empires endure for about three centuries, reach their peak after roughly one century, and then experience either rapid collapse or keep alive longer, shrink to a mild extent, and die while still big.</w:t>
      </w:r>
    </w:p>
    <w:p w14:paraId="2AB7EC80" w14:textId="77777777" w:rsidR="00BA5BCB" w:rsidRPr="00BA5BCB" w:rsidRDefault="00343417" w:rsidP="00BA5BCB">
      <w:pPr>
        <w:rPr>
          <w:rFonts w:asciiTheme="majorHAnsi" w:hAnsiTheme="majorHAnsi"/>
        </w:rPr>
      </w:pPr>
      <w:r>
        <w:rPr>
          <w:rFonts w:asciiTheme="majorHAnsi" w:hAnsiTheme="majorHAnsi"/>
        </w:rPr>
        <w:tab/>
      </w:r>
      <w:r w:rsidR="00BA5BCB" w:rsidRPr="00BA5BCB">
        <w:rPr>
          <w:rFonts w:asciiTheme="majorHAnsi" w:hAnsiTheme="majorHAnsi"/>
        </w:rPr>
        <w:t xml:space="preserve">Mathematical models capturing this dynamic remain rare and simplified, often isolating a single factor </w:t>
      </w:r>
      <w:r>
        <w:rPr>
          <w:rFonts w:asciiTheme="majorHAnsi" w:hAnsiTheme="majorHAnsi"/>
        </w:rPr>
        <w:t>(Aldous 2009)</w:t>
      </w:r>
      <w:r w:rsidR="00BA5BCB" w:rsidRPr="00BA5BCB">
        <w:rPr>
          <w:rFonts w:asciiTheme="majorHAnsi" w:hAnsiTheme="majorHAnsi"/>
        </w:rPr>
        <w:t xml:space="preserve">. Developing a model that combines territory, population, and wealth would provide a deeper understanding of the mechanisms underlying imperial growth and collapse. Our model represents a first, imperfect step in this direction: it would be relevant to incorporate interactions between empires, processes of fusion and fragmentation, and to connect these dynamics with </w:t>
      </w:r>
      <w:proofErr w:type="spellStart"/>
      <w:r w:rsidR="00BA5BCB" w:rsidRPr="00BA5BCB">
        <w:rPr>
          <w:rFonts w:asciiTheme="majorHAnsi" w:hAnsiTheme="majorHAnsi"/>
        </w:rPr>
        <w:t>Turchin’s</w:t>
      </w:r>
      <w:proofErr w:type="spellEnd"/>
      <w:r w:rsidR="00BA5BCB" w:rsidRPr="00BA5BCB">
        <w:rPr>
          <w:rFonts w:asciiTheme="majorHAnsi" w:hAnsiTheme="majorHAnsi"/>
        </w:rPr>
        <w:t xml:space="preserve"> theories, in which the interaction of distinct populations can give rise to new empires.</w:t>
      </w:r>
    </w:p>
    <w:p w14:paraId="6CF8A4B8" w14:textId="77777777" w:rsidR="00BA5BCB" w:rsidRPr="00BA5BCB" w:rsidRDefault="00343417" w:rsidP="00BA5BCB">
      <w:pPr>
        <w:rPr>
          <w:rFonts w:asciiTheme="majorHAnsi" w:hAnsiTheme="majorHAnsi"/>
        </w:rPr>
      </w:pPr>
      <w:r>
        <w:rPr>
          <w:rFonts w:asciiTheme="majorHAnsi" w:hAnsiTheme="majorHAnsi"/>
        </w:rPr>
        <w:tab/>
      </w:r>
      <w:r w:rsidR="00BA5BCB" w:rsidRPr="00BA5BCB">
        <w:rPr>
          <w:rFonts w:asciiTheme="majorHAnsi" w:hAnsiTheme="majorHAnsi"/>
        </w:rPr>
        <w:t>In summary, despite the complexity and variability of trajectories, statistical analysis allows us to identify an average imperial life cycle with measurable timescales: initial growth, peak, and then decline or collapse. This perspective provides a reference framework for comparative study and paves the way for more refined models that integrate both internal and external factors, thereby contributing to a better understanding of the historical dynamics of empires.</w:t>
      </w:r>
    </w:p>
    <w:p w14:paraId="19D405DB" w14:textId="77777777" w:rsidR="00C3751B" w:rsidRPr="0018150B" w:rsidRDefault="00C3751B" w:rsidP="009F61AC">
      <w:pPr>
        <w:pStyle w:val="21"/>
        <w:rPr>
          <w:rFonts w:asciiTheme="majorHAnsi" w:hAnsiTheme="majorHAnsi"/>
        </w:rPr>
      </w:pPr>
      <w:r w:rsidRPr="0018150B">
        <w:rPr>
          <w:rFonts w:asciiTheme="majorHAnsi" w:hAnsiTheme="majorHAnsi"/>
        </w:rPr>
        <w:t>Acknowledgment</w:t>
      </w:r>
    </w:p>
    <w:p w14:paraId="75F16252" w14:textId="4D6A548C" w:rsidR="00343417" w:rsidRDefault="00343417" w:rsidP="008646B7">
      <w:pPr>
        <w:pStyle w:val="1"/>
        <w:rPr>
          <w:rFonts w:asciiTheme="majorHAnsi" w:hAnsiTheme="majorHAnsi" w:cs="Times New Roman"/>
          <w:b w:val="0"/>
          <w:bCs w:val="0"/>
          <w:kern w:val="0"/>
          <w:sz w:val="20"/>
          <w:szCs w:val="20"/>
        </w:rPr>
      </w:pPr>
      <w:r w:rsidRPr="00343417">
        <w:rPr>
          <w:rFonts w:asciiTheme="majorHAnsi" w:hAnsiTheme="majorHAnsi" w:cs="Times New Roman"/>
          <w:b w:val="0"/>
          <w:bCs w:val="0"/>
          <w:kern w:val="0"/>
          <w:sz w:val="20"/>
          <w:szCs w:val="20"/>
        </w:rPr>
        <w:t xml:space="preserve">I am deeply grateful to Stéphane </w:t>
      </w:r>
      <w:proofErr w:type="spellStart"/>
      <w:r w:rsidRPr="00343417">
        <w:rPr>
          <w:rFonts w:asciiTheme="majorHAnsi" w:hAnsiTheme="majorHAnsi" w:cs="Times New Roman"/>
          <w:b w:val="0"/>
          <w:bCs w:val="0"/>
          <w:kern w:val="0"/>
          <w:sz w:val="20"/>
          <w:szCs w:val="20"/>
        </w:rPr>
        <w:t>Pequignot</w:t>
      </w:r>
      <w:proofErr w:type="spellEnd"/>
      <w:r w:rsidR="00614F15">
        <w:rPr>
          <w:rFonts w:asciiTheme="majorHAnsi" w:hAnsiTheme="majorHAnsi" w:cs="Times New Roman"/>
          <w:b w:val="0"/>
          <w:bCs w:val="0"/>
          <w:kern w:val="0"/>
          <w:sz w:val="20"/>
          <w:szCs w:val="20"/>
        </w:rPr>
        <w:t>,</w:t>
      </w:r>
      <w:r w:rsidRPr="00343417">
        <w:rPr>
          <w:rFonts w:asciiTheme="majorHAnsi" w:hAnsiTheme="majorHAnsi" w:cs="Times New Roman"/>
          <w:b w:val="0"/>
          <w:bCs w:val="0"/>
          <w:kern w:val="0"/>
          <w:sz w:val="20"/>
          <w:szCs w:val="20"/>
        </w:rPr>
        <w:t xml:space="preserve"> Alma </w:t>
      </w:r>
      <w:proofErr w:type="spellStart"/>
      <w:r w:rsidRPr="00343417">
        <w:rPr>
          <w:rFonts w:asciiTheme="majorHAnsi" w:hAnsiTheme="majorHAnsi" w:cs="Times New Roman"/>
          <w:b w:val="0"/>
          <w:bCs w:val="0"/>
          <w:kern w:val="0"/>
          <w:sz w:val="20"/>
          <w:szCs w:val="20"/>
        </w:rPr>
        <w:t>Poloni</w:t>
      </w:r>
      <w:proofErr w:type="spellEnd"/>
      <w:r w:rsidR="00614F15">
        <w:rPr>
          <w:rFonts w:asciiTheme="majorHAnsi" w:hAnsiTheme="majorHAnsi" w:cs="Times New Roman"/>
          <w:b w:val="0"/>
          <w:bCs w:val="0"/>
          <w:kern w:val="0"/>
          <w:sz w:val="20"/>
          <w:szCs w:val="20"/>
        </w:rPr>
        <w:t xml:space="preserve"> </w:t>
      </w:r>
      <w:r w:rsidR="00614F15" w:rsidRPr="00343417">
        <w:rPr>
          <w:rFonts w:asciiTheme="majorHAnsi" w:hAnsiTheme="majorHAnsi" w:cs="Times New Roman"/>
          <w:b w:val="0"/>
          <w:bCs w:val="0"/>
          <w:kern w:val="0"/>
          <w:sz w:val="20"/>
          <w:szCs w:val="20"/>
        </w:rPr>
        <w:t>and</w:t>
      </w:r>
      <w:r w:rsidR="00614F15">
        <w:rPr>
          <w:rFonts w:asciiTheme="majorHAnsi" w:hAnsiTheme="majorHAnsi" w:cs="Times New Roman"/>
          <w:b w:val="0"/>
          <w:bCs w:val="0"/>
          <w:kern w:val="0"/>
          <w:sz w:val="20"/>
          <w:szCs w:val="20"/>
        </w:rPr>
        <w:t xml:space="preserve"> Andrea Puglisi</w:t>
      </w:r>
      <w:r w:rsidRPr="00343417">
        <w:rPr>
          <w:rFonts w:asciiTheme="majorHAnsi" w:hAnsiTheme="majorHAnsi" w:cs="Times New Roman"/>
          <w:b w:val="0"/>
          <w:bCs w:val="0"/>
          <w:kern w:val="0"/>
          <w:sz w:val="20"/>
          <w:szCs w:val="20"/>
        </w:rPr>
        <w:t xml:space="preserve"> for their support and comments to this work </w:t>
      </w:r>
    </w:p>
    <w:p w14:paraId="4855D3BB" w14:textId="77777777" w:rsidR="00637AA4" w:rsidRPr="0018150B" w:rsidRDefault="00637AA4" w:rsidP="008646B7">
      <w:pPr>
        <w:pStyle w:val="1"/>
        <w:rPr>
          <w:rFonts w:asciiTheme="majorHAnsi" w:hAnsiTheme="majorHAnsi"/>
        </w:rPr>
      </w:pPr>
      <w:r w:rsidRPr="0018150B">
        <w:rPr>
          <w:rFonts w:asciiTheme="majorHAnsi" w:hAnsiTheme="majorHAnsi"/>
        </w:rPr>
        <w:t>References</w:t>
      </w:r>
    </w:p>
    <w:p w14:paraId="7D151EA9" w14:textId="77777777" w:rsidR="00614F15" w:rsidRPr="00343417" w:rsidRDefault="00614F15" w:rsidP="008646B7">
      <w:pPr>
        <w:pStyle w:val="References"/>
        <w:rPr>
          <w:rFonts w:asciiTheme="majorHAnsi" w:hAnsiTheme="majorHAnsi"/>
          <w:iCs/>
        </w:rPr>
      </w:pPr>
    </w:p>
    <w:p w14:paraId="2E46424A" w14:textId="77777777" w:rsidR="00614F15" w:rsidRDefault="00614F15" w:rsidP="00F912A2">
      <w:pPr>
        <w:pStyle w:val="References"/>
        <w:rPr>
          <w:rFonts w:asciiTheme="majorHAnsi" w:hAnsiTheme="majorHAnsi"/>
        </w:rPr>
      </w:pPr>
      <w:r w:rsidRPr="00F912A2">
        <w:rPr>
          <w:rFonts w:asciiTheme="majorHAnsi" w:hAnsiTheme="majorHAnsi"/>
        </w:rPr>
        <w:t xml:space="preserve">Aldous, </w:t>
      </w:r>
      <w:r>
        <w:rPr>
          <w:rFonts w:asciiTheme="majorHAnsi" w:hAnsiTheme="majorHAnsi"/>
        </w:rPr>
        <w:t>David</w:t>
      </w:r>
      <w:r w:rsidRPr="00ED54DA">
        <w:rPr>
          <w:rFonts w:asciiTheme="majorHAnsi" w:hAnsiTheme="majorHAnsi"/>
        </w:rPr>
        <w:t xml:space="preserve"> </w:t>
      </w:r>
      <w:r w:rsidRPr="00F912A2">
        <w:rPr>
          <w:rFonts w:asciiTheme="majorHAnsi" w:hAnsiTheme="majorHAnsi"/>
        </w:rPr>
        <w:t>J.</w:t>
      </w:r>
      <w:r>
        <w:rPr>
          <w:rFonts w:asciiTheme="majorHAnsi" w:hAnsiTheme="majorHAnsi"/>
        </w:rPr>
        <w:t xml:space="preserve">, </w:t>
      </w:r>
      <w:r w:rsidRPr="00F912A2">
        <w:rPr>
          <w:rFonts w:asciiTheme="majorHAnsi" w:hAnsiTheme="majorHAnsi"/>
        </w:rPr>
        <w:t>J. R. Ong, and W. Zhou</w:t>
      </w:r>
      <w:r>
        <w:rPr>
          <w:rFonts w:asciiTheme="majorHAnsi" w:hAnsiTheme="majorHAnsi"/>
        </w:rPr>
        <w:t>. 2009.</w:t>
      </w:r>
      <w:r w:rsidRPr="00F912A2">
        <w:rPr>
          <w:rFonts w:asciiTheme="majorHAnsi" w:hAnsiTheme="majorHAnsi"/>
        </w:rPr>
        <w:t xml:space="preserve"> Empires and percolation: stochastic merging of adjacent regions</w:t>
      </w:r>
      <w:r>
        <w:rPr>
          <w:rFonts w:asciiTheme="majorHAnsi" w:hAnsiTheme="majorHAnsi"/>
        </w:rPr>
        <w:t xml:space="preserve">. </w:t>
      </w:r>
      <w:r w:rsidRPr="00ED54DA">
        <w:rPr>
          <w:rFonts w:asciiTheme="majorHAnsi" w:hAnsiTheme="majorHAnsi"/>
          <w:i/>
          <w:iCs/>
        </w:rPr>
        <w:t>Journal of Physics A: Mathematical and Theoretical</w:t>
      </w:r>
      <w:r w:rsidRPr="00F912A2">
        <w:rPr>
          <w:rFonts w:asciiTheme="majorHAnsi" w:hAnsiTheme="majorHAnsi"/>
        </w:rPr>
        <w:t xml:space="preserve"> 2</w:t>
      </w:r>
      <w:r>
        <w:rPr>
          <w:rFonts w:asciiTheme="majorHAnsi" w:hAnsiTheme="majorHAnsi"/>
        </w:rPr>
        <w:t>:</w:t>
      </w:r>
      <w:r w:rsidRPr="00F912A2">
        <w:rPr>
          <w:rFonts w:asciiTheme="majorHAnsi" w:hAnsiTheme="majorHAnsi"/>
        </w:rPr>
        <w:t xml:space="preserve"> 025001</w:t>
      </w:r>
      <w:r>
        <w:rPr>
          <w:rFonts w:asciiTheme="majorHAnsi" w:hAnsiTheme="majorHAnsi"/>
        </w:rPr>
        <w:t>.</w:t>
      </w:r>
    </w:p>
    <w:p w14:paraId="5869E553" w14:textId="77777777" w:rsidR="00614F15" w:rsidRPr="00F912A2" w:rsidRDefault="00614F15" w:rsidP="00F912A2">
      <w:pPr>
        <w:pStyle w:val="References"/>
        <w:rPr>
          <w:rFonts w:asciiTheme="majorHAnsi" w:hAnsiTheme="majorHAnsi"/>
        </w:rPr>
      </w:pPr>
      <w:proofErr w:type="spellStart"/>
      <w:r w:rsidRPr="00F912A2">
        <w:rPr>
          <w:rFonts w:asciiTheme="majorHAnsi" w:hAnsiTheme="majorHAnsi"/>
        </w:rPr>
        <w:t>Arbesman</w:t>
      </w:r>
      <w:proofErr w:type="spellEnd"/>
      <w:r w:rsidRPr="00F912A2">
        <w:rPr>
          <w:rFonts w:asciiTheme="majorHAnsi" w:hAnsiTheme="majorHAnsi"/>
        </w:rPr>
        <w:t>,</w:t>
      </w:r>
      <w:r>
        <w:rPr>
          <w:rFonts w:asciiTheme="majorHAnsi" w:hAnsiTheme="majorHAnsi"/>
        </w:rPr>
        <w:t xml:space="preserve"> Samuel. 2011.</w:t>
      </w:r>
      <w:r w:rsidRPr="00F912A2">
        <w:rPr>
          <w:rFonts w:asciiTheme="majorHAnsi" w:hAnsiTheme="majorHAnsi"/>
        </w:rPr>
        <w:t xml:space="preserve"> The Life-Spans of Empires</w:t>
      </w:r>
      <w:r>
        <w:rPr>
          <w:rFonts w:asciiTheme="majorHAnsi" w:hAnsiTheme="majorHAnsi"/>
        </w:rPr>
        <w:t>.</w:t>
      </w:r>
      <w:r w:rsidRPr="00F912A2">
        <w:rPr>
          <w:rFonts w:asciiTheme="majorHAnsi" w:hAnsiTheme="majorHAnsi"/>
        </w:rPr>
        <w:t xml:space="preserve"> </w:t>
      </w:r>
      <w:r w:rsidRPr="000C3B23">
        <w:rPr>
          <w:rFonts w:asciiTheme="majorHAnsi" w:hAnsiTheme="majorHAnsi"/>
          <w:i/>
          <w:iCs/>
        </w:rPr>
        <w:t>Historical Methods: A Journal of Quantitative and Interdisciplinary History</w:t>
      </w:r>
      <w:r w:rsidRPr="00F912A2">
        <w:rPr>
          <w:rFonts w:asciiTheme="majorHAnsi" w:hAnsiTheme="majorHAnsi"/>
        </w:rPr>
        <w:t xml:space="preserve"> 44 (3)</w:t>
      </w:r>
      <w:r>
        <w:rPr>
          <w:rFonts w:asciiTheme="majorHAnsi" w:hAnsiTheme="majorHAnsi"/>
        </w:rPr>
        <w:t>:</w:t>
      </w:r>
      <w:r w:rsidRPr="00F912A2">
        <w:rPr>
          <w:rFonts w:asciiTheme="majorHAnsi" w:hAnsiTheme="majorHAnsi"/>
        </w:rPr>
        <w:t xml:space="preserve"> 127-129.</w:t>
      </w:r>
    </w:p>
    <w:p w14:paraId="718F9630" w14:textId="77777777" w:rsidR="00614F15" w:rsidRDefault="00614F15" w:rsidP="008646B7">
      <w:pPr>
        <w:pStyle w:val="References"/>
        <w:rPr>
          <w:rFonts w:asciiTheme="majorHAnsi" w:hAnsiTheme="majorHAnsi"/>
        </w:rPr>
      </w:pPr>
      <w:r w:rsidRPr="00B65895">
        <w:rPr>
          <w:rFonts w:asciiTheme="majorHAnsi" w:hAnsiTheme="majorHAnsi"/>
        </w:rPr>
        <w:t xml:space="preserve">Bang, </w:t>
      </w:r>
      <w:r>
        <w:rPr>
          <w:rFonts w:asciiTheme="majorHAnsi" w:hAnsiTheme="majorHAnsi"/>
        </w:rPr>
        <w:t xml:space="preserve">Peter F., </w:t>
      </w:r>
      <w:r w:rsidRPr="00B65895">
        <w:rPr>
          <w:rFonts w:asciiTheme="majorHAnsi" w:hAnsiTheme="majorHAnsi"/>
        </w:rPr>
        <w:t>C</w:t>
      </w:r>
      <w:r>
        <w:rPr>
          <w:rFonts w:asciiTheme="majorHAnsi" w:hAnsiTheme="majorHAnsi"/>
        </w:rPr>
        <w:t xml:space="preserve">hristopher </w:t>
      </w:r>
      <w:r w:rsidRPr="00B65895">
        <w:rPr>
          <w:rFonts w:asciiTheme="majorHAnsi" w:hAnsiTheme="majorHAnsi"/>
        </w:rPr>
        <w:t xml:space="preserve">A. </w:t>
      </w:r>
      <w:proofErr w:type="spellStart"/>
      <w:r w:rsidRPr="00B65895">
        <w:rPr>
          <w:rFonts w:asciiTheme="majorHAnsi" w:hAnsiTheme="majorHAnsi"/>
        </w:rPr>
        <w:t>Bayly</w:t>
      </w:r>
      <w:proofErr w:type="spellEnd"/>
      <w:r w:rsidRPr="00B65895">
        <w:rPr>
          <w:rFonts w:asciiTheme="majorHAnsi" w:hAnsiTheme="majorHAnsi"/>
        </w:rPr>
        <w:t>, and W</w:t>
      </w:r>
      <w:r>
        <w:rPr>
          <w:rFonts w:asciiTheme="majorHAnsi" w:hAnsiTheme="majorHAnsi"/>
        </w:rPr>
        <w:t>alter</w:t>
      </w:r>
      <w:r w:rsidRPr="00B65895">
        <w:rPr>
          <w:rFonts w:asciiTheme="majorHAnsi" w:hAnsiTheme="majorHAnsi"/>
        </w:rPr>
        <w:t xml:space="preserve"> </w:t>
      </w:r>
      <w:proofErr w:type="spellStart"/>
      <w:r w:rsidRPr="00B65895">
        <w:rPr>
          <w:rFonts w:asciiTheme="majorHAnsi" w:hAnsiTheme="majorHAnsi"/>
        </w:rPr>
        <w:t>Scheidel</w:t>
      </w:r>
      <w:proofErr w:type="spellEnd"/>
      <w:r>
        <w:rPr>
          <w:rFonts w:asciiTheme="majorHAnsi" w:hAnsiTheme="majorHAnsi"/>
        </w:rPr>
        <w:t xml:space="preserve">. 2021. </w:t>
      </w:r>
      <w:r w:rsidRPr="00B65895">
        <w:rPr>
          <w:rFonts w:asciiTheme="majorHAnsi" w:hAnsiTheme="majorHAnsi"/>
          <w:i/>
          <w:iCs/>
        </w:rPr>
        <w:t>The Oxford World History of Empire, Oxford</w:t>
      </w:r>
      <w:r>
        <w:rPr>
          <w:rFonts w:asciiTheme="majorHAnsi" w:hAnsiTheme="majorHAnsi"/>
        </w:rPr>
        <w:t>.</w:t>
      </w:r>
      <w:r w:rsidRPr="00B65895">
        <w:rPr>
          <w:rFonts w:asciiTheme="majorHAnsi" w:hAnsiTheme="majorHAnsi"/>
        </w:rPr>
        <w:t xml:space="preserve"> Oxford University Press</w:t>
      </w:r>
      <w:r>
        <w:rPr>
          <w:rFonts w:asciiTheme="majorHAnsi" w:hAnsiTheme="majorHAnsi"/>
        </w:rPr>
        <w:t>.</w:t>
      </w:r>
    </w:p>
    <w:p w14:paraId="2C81A500" w14:textId="77777777" w:rsidR="00614F15" w:rsidRDefault="00614F15" w:rsidP="008646B7">
      <w:pPr>
        <w:pStyle w:val="References"/>
        <w:rPr>
          <w:rFonts w:asciiTheme="majorHAnsi" w:hAnsiTheme="majorHAnsi"/>
          <w:iCs/>
        </w:rPr>
      </w:pPr>
      <w:r w:rsidRPr="00343417">
        <w:rPr>
          <w:rFonts w:asciiTheme="majorHAnsi" w:hAnsiTheme="majorHAnsi"/>
          <w:iCs/>
        </w:rPr>
        <w:t>Braudel, Fernand. 1949.</w:t>
      </w:r>
      <w:r>
        <w:rPr>
          <w:rFonts w:asciiTheme="majorHAnsi" w:hAnsiTheme="majorHAnsi"/>
          <w:i/>
        </w:rPr>
        <w:t xml:space="preserve"> </w:t>
      </w:r>
      <w:r w:rsidRPr="00343417">
        <w:rPr>
          <w:rFonts w:asciiTheme="majorHAnsi" w:hAnsiTheme="majorHAnsi"/>
          <w:i/>
        </w:rPr>
        <w:t>The Mediterranean and the Mediterranean World in the Age of Philip II</w:t>
      </w:r>
      <w:r>
        <w:rPr>
          <w:rFonts w:asciiTheme="majorHAnsi" w:hAnsiTheme="majorHAnsi"/>
          <w:i/>
        </w:rPr>
        <w:t>.</w:t>
      </w:r>
      <w:r w:rsidRPr="00343417">
        <w:rPr>
          <w:rFonts w:asciiTheme="majorHAnsi" w:hAnsiTheme="majorHAnsi"/>
          <w:i/>
        </w:rPr>
        <w:t xml:space="preserve"> </w:t>
      </w:r>
      <w:r w:rsidRPr="00343417">
        <w:rPr>
          <w:rFonts w:asciiTheme="majorHAnsi" w:hAnsiTheme="majorHAnsi"/>
          <w:iCs/>
        </w:rPr>
        <w:t xml:space="preserve">Armand Colin </w:t>
      </w:r>
      <w:proofErr w:type="spellStart"/>
      <w:r w:rsidRPr="00343417">
        <w:rPr>
          <w:rFonts w:asciiTheme="majorHAnsi" w:hAnsiTheme="majorHAnsi"/>
          <w:iCs/>
        </w:rPr>
        <w:t>editeur</w:t>
      </w:r>
      <w:proofErr w:type="spellEnd"/>
      <w:r w:rsidRPr="00343417">
        <w:rPr>
          <w:rFonts w:asciiTheme="majorHAnsi" w:hAnsiTheme="majorHAnsi"/>
          <w:iCs/>
        </w:rPr>
        <w:t>.</w:t>
      </w:r>
    </w:p>
    <w:p w14:paraId="04A3CAB1" w14:textId="77777777" w:rsidR="00614F15" w:rsidRDefault="00614F15" w:rsidP="008646B7">
      <w:pPr>
        <w:pStyle w:val="References"/>
        <w:rPr>
          <w:rFonts w:asciiTheme="majorHAnsi" w:hAnsiTheme="majorHAnsi"/>
          <w:i/>
        </w:rPr>
      </w:pPr>
      <w:r w:rsidRPr="00343417">
        <w:rPr>
          <w:rFonts w:asciiTheme="majorHAnsi" w:hAnsiTheme="majorHAnsi"/>
          <w:iCs/>
        </w:rPr>
        <w:lastRenderedPageBreak/>
        <w:t>Diamond</w:t>
      </w:r>
      <w:r>
        <w:rPr>
          <w:rFonts w:asciiTheme="majorHAnsi" w:hAnsiTheme="majorHAnsi"/>
          <w:iCs/>
        </w:rPr>
        <w:t>,</w:t>
      </w:r>
      <w:r w:rsidRPr="00343417">
        <w:rPr>
          <w:rFonts w:asciiTheme="majorHAnsi" w:hAnsiTheme="majorHAnsi"/>
          <w:iCs/>
        </w:rPr>
        <w:t xml:space="preserve"> Jared. 1997.</w:t>
      </w:r>
      <w:r>
        <w:rPr>
          <w:rFonts w:asciiTheme="majorHAnsi" w:hAnsiTheme="majorHAnsi"/>
          <w:i/>
        </w:rPr>
        <w:t xml:space="preserve"> </w:t>
      </w:r>
      <w:r w:rsidRPr="00343417">
        <w:rPr>
          <w:rFonts w:asciiTheme="majorHAnsi" w:hAnsiTheme="majorHAnsi"/>
          <w:i/>
        </w:rPr>
        <w:t>Guns, Germs, and Steel: The Fates of Human Societies</w:t>
      </w:r>
      <w:r>
        <w:rPr>
          <w:rFonts w:asciiTheme="majorHAnsi" w:hAnsiTheme="majorHAnsi"/>
          <w:i/>
        </w:rPr>
        <w:t>.</w:t>
      </w:r>
      <w:r w:rsidRPr="00343417">
        <w:rPr>
          <w:rFonts w:asciiTheme="majorHAnsi" w:hAnsiTheme="majorHAnsi"/>
          <w:i/>
        </w:rPr>
        <w:t xml:space="preserve"> </w:t>
      </w:r>
      <w:r w:rsidRPr="00343417">
        <w:rPr>
          <w:rFonts w:asciiTheme="majorHAnsi" w:hAnsiTheme="majorHAnsi"/>
          <w:iCs/>
        </w:rPr>
        <w:t>W.W. Norton</w:t>
      </w:r>
      <w:r w:rsidRPr="00343417">
        <w:rPr>
          <w:rFonts w:asciiTheme="majorHAnsi" w:hAnsiTheme="majorHAnsi"/>
          <w:i/>
        </w:rPr>
        <w:t>.</w:t>
      </w:r>
    </w:p>
    <w:p w14:paraId="1AA3AC0A" w14:textId="77777777" w:rsidR="00614F15" w:rsidRPr="00F912A2" w:rsidRDefault="00614F15" w:rsidP="00F912A2">
      <w:pPr>
        <w:pStyle w:val="References"/>
        <w:rPr>
          <w:rFonts w:asciiTheme="majorHAnsi" w:hAnsiTheme="majorHAnsi"/>
        </w:rPr>
      </w:pPr>
      <w:r w:rsidRPr="00F912A2">
        <w:rPr>
          <w:rFonts w:asciiTheme="majorHAnsi" w:hAnsiTheme="majorHAnsi"/>
        </w:rPr>
        <w:t>Diamond,</w:t>
      </w:r>
      <w:r>
        <w:rPr>
          <w:rFonts w:asciiTheme="majorHAnsi" w:hAnsiTheme="majorHAnsi"/>
        </w:rPr>
        <w:t xml:space="preserve"> Jared. 2005.</w:t>
      </w:r>
      <w:r w:rsidRPr="00F912A2">
        <w:rPr>
          <w:rFonts w:asciiTheme="majorHAnsi" w:hAnsiTheme="majorHAnsi"/>
        </w:rPr>
        <w:t xml:space="preserve"> </w:t>
      </w:r>
      <w:r w:rsidRPr="004F7C65">
        <w:rPr>
          <w:rFonts w:asciiTheme="majorHAnsi" w:hAnsiTheme="majorHAnsi"/>
          <w:i/>
          <w:iCs/>
        </w:rPr>
        <w:t>Collapse: How societies choose to fail or succeed</w:t>
      </w:r>
      <w:r>
        <w:rPr>
          <w:rFonts w:asciiTheme="majorHAnsi" w:hAnsiTheme="majorHAnsi"/>
        </w:rPr>
        <w:t>.</w:t>
      </w:r>
      <w:r w:rsidRPr="00F912A2">
        <w:rPr>
          <w:rFonts w:asciiTheme="majorHAnsi" w:hAnsiTheme="majorHAnsi"/>
        </w:rPr>
        <w:t xml:space="preserve"> New York: Penguin.</w:t>
      </w:r>
    </w:p>
    <w:p w14:paraId="140BB6E7" w14:textId="77777777" w:rsidR="00614F15" w:rsidRDefault="00614F15" w:rsidP="008646B7">
      <w:pPr>
        <w:pStyle w:val="References"/>
        <w:rPr>
          <w:rFonts w:asciiTheme="majorHAnsi" w:hAnsiTheme="majorHAnsi"/>
        </w:rPr>
      </w:pPr>
      <w:r w:rsidRPr="00B65895">
        <w:rPr>
          <w:rFonts w:asciiTheme="majorHAnsi" w:hAnsiTheme="majorHAnsi"/>
        </w:rPr>
        <w:t>Gibbon,</w:t>
      </w:r>
      <w:r>
        <w:rPr>
          <w:rFonts w:asciiTheme="majorHAnsi" w:hAnsiTheme="majorHAnsi"/>
        </w:rPr>
        <w:t xml:space="preserve"> Edvard.</w:t>
      </w:r>
      <w:r w:rsidRPr="00B65895">
        <w:rPr>
          <w:rFonts w:asciiTheme="majorHAnsi" w:hAnsiTheme="majorHAnsi"/>
        </w:rPr>
        <w:t xml:space="preserve"> </w:t>
      </w:r>
      <w:r>
        <w:rPr>
          <w:rFonts w:asciiTheme="majorHAnsi" w:hAnsiTheme="majorHAnsi"/>
        </w:rPr>
        <w:t xml:space="preserve">1932. </w:t>
      </w:r>
      <w:r w:rsidRPr="00F912A2">
        <w:rPr>
          <w:rFonts w:asciiTheme="majorHAnsi" w:hAnsiTheme="majorHAnsi"/>
          <w:i/>
          <w:iCs/>
        </w:rPr>
        <w:t>The decline and fall of the Roman Empire</w:t>
      </w:r>
      <w:r>
        <w:rPr>
          <w:rFonts w:asciiTheme="majorHAnsi" w:hAnsiTheme="majorHAnsi"/>
        </w:rPr>
        <w:t>.</w:t>
      </w:r>
      <w:r w:rsidRPr="00B65895">
        <w:rPr>
          <w:rFonts w:asciiTheme="majorHAnsi" w:hAnsiTheme="majorHAnsi"/>
        </w:rPr>
        <w:t xml:space="preserve"> New York: Modern Library</w:t>
      </w:r>
      <w:r>
        <w:rPr>
          <w:rFonts w:asciiTheme="majorHAnsi" w:hAnsiTheme="majorHAnsi"/>
        </w:rPr>
        <w:t>.</w:t>
      </w:r>
    </w:p>
    <w:p w14:paraId="20748965" w14:textId="77777777" w:rsidR="00614F15" w:rsidRPr="007D7F13" w:rsidRDefault="00614F15" w:rsidP="00F912A2">
      <w:pPr>
        <w:pStyle w:val="References"/>
        <w:rPr>
          <w:rFonts w:asciiTheme="majorHAnsi" w:hAnsiTheme="majorHAnsi"/>
        </w:rPr>
      </w:pPr>
      <w:proofErr w:type="spellStart"/>
      <w:r w:rsidRPr="00F912A2">
        <w:rPr>
          <w:rFonts w:asciiTheme="majorHAnsi" w:hAnsiTheme="majorHAnsi"/>
        </w:rPr>
        <w:t>Gokmen</w:t>
      </w:r>
      <w:proofErr w:type="spellEnd"/>
      <w:r w:rsidRPr="00F912A2">
        <w:rPr>
          <w:rFonts w:asciiTheme="majorHAnsi" w:hAnsiTheme="majorHAnsi"/>
        </w:rPr>
        <w:t>,</w:t>
      </w:r>
      <w:r>
        <w:rPr>
          <w:rFonts w:asciiTheme="majorHAnsi" w:hAnsiTheme="majorHAnsi"/>
        </w:rPr>
        <w:t xml:space="preserve"> </w:t>
      </w:r>
      <w:proofErr w:type="spellStart"/>
      <w:r>
        <w:rPr>
          <w:rFonts w:asciiTheme="majorHAnsi" w:hAnsiTheme="majorHAnsi"/>
        </w:rPr>
        <w:t>Gunes</w:t>
      </w:r>
      <w:proofErr w:type="spellEnd"/>
      <w:r>
        <w:rPr>
          <w:rFonts w:asciiTheme="majorHAnsi" w:hAnsiTheme="majorHAnsi"/>
        </w:rPr>
        <w:t>,</w:t>
      </w:r>
      <w:r w:rsidRPr="00F912A2">
        <w:rPr>
          <w:rFonts w:asciiTheme="majorHAnsi" w:hAnsiTheme="majorHAnsi"/>
        </w:rPr>
        <w:t xml:space="preserve"> W</w:t>
      </w:r>
      <w:r>
        <w:rPr>
          <w:rFonts w:asciiTheme="majorHAnsi" w:hAnsiTheme="majorHAnsi"/>
        </w:rPr>
        <w:t>essel</w:t>
      </w:r>
      <w:r w:rsidRPr="00F912A2">
        <w:rPr>
          <w:rFonts w:asciiTheme="majorHAnsi" w:hAnsiTheme="majorHAnsi"/>
        </w:rPr>
        <w:t xml:space="preserve"> N. Vermeulen, and </w:t>
      </w:r>
      <w:r w:rsidRPr="000C3B23">
        <w:rPr>
          <w:rFonts w:asciiTheme="majorHAnsi" w:hAnsiTheme="majorHAnsi"/>
        </w:rPr>
        <w:t xml:space="preserve">Pierre-Louis </w:t>
      </w:r>
      <w:proofErr w:type="spellStart"/>
      <w:r w:rsidRPr="000C3B23">
        <w:rPr>
          <w:rFonts w:asciiTheme="majorHAnsi" w:hAnsiTheme="majorHAnsi"/>
        </w:rPr>
        <w:t>Vézina</w:t>
      </w:r>
      <w:proofErr w:type="spellEnd"/>
      <w:r>
        <w:rPr>
          <w:rFonts w:asciiTheme="majorHAnsi" w:hAnsiTheme="majorHAnsi"/>
        </w:rPr>
        <w:t>. 2020.</w:t>
      </w:r>
      <w:r w:rsidRPr="00F912A2">
        <w:rPr>
          <w:rFonts w:asciiTheme="majorHAnsi" w:hAnsiTheme="majorHAnsi"/>
        </w:rPr>
        <w:t xml:space="preserve"> The imperial roots of global trade</w:t>
      </w:r>
      <w:r>
        <w:rPr>
          <w:rFonts w:asciiTheme="majorHAnsi" w:hAnsiTheme="majorHAnsi"/>
        </w:rPr>
        <w:t>.</w:t>
      </w:r>
      <w:r w:rsidRPr="00F912A2">
        <w:rPr>
          <w:rFonts w:asciiTheme="majorHAnsi" w:hAnsiTheme="majorHAnsi"/>
        </w:rPr>
        <w:t xml:space="preserve"> </w:t>
      </w:r>
      <w:r w:rsidRPr="000C3B23">
        <w:rPr>
          <w:rFonts w:asciiTheme="majorHAnsi" w:hAnsiTheme="majorHAnsi"/>
          <w:i/>
          <w:iCs/>
        </w:rPr>
        <w:t>Journal of Economic Growth</w:t>
      </w:r>
      <w:r w:rsidRPr="00F912A2">
        <w:rPr>
          <w:rFonts w:asciiTheme="majorHAnsi" w:hAnsiTheme="majorHAnsi"/>
        </w:rPr>
        <w:t xml:space="preserve"> 25</w:t>
      </w:r>
      <w:r>
        <w:rPr>
          <w:rFonts w:asciiTheme="majorHAnsi" w:hAnsiTheme="majorHAnsi"/>
        </w:rPr>
        <w:t>:</w:t>
      </w:r>
      <w:r w:rsidRPr="00F912A2">
        <w:rPr>
          <w:rFonts w:asciiTheme="majorHAnsi" w:hAnsiTheme="majorHAnsi"/>
        </w:rPr>
        <w:t xml:space="preserve"> 87–145.</w:t>
      </w:r>
      <w:r w:rsidRPr="007D7F13">
        <w:rPr>
          <w:rFonts w:asciiTheme="majorHAnsi" w:hAnsiTheme="majorHAnsi"/>
        </w:rPr>
        <w:t xml:space="preserve"> </w:t>
      </w:r>
      <w:hyperlink r:id="rId14" w:history="1">
        <w:r w:rsidRPr="007D7F13">
          <w:rPr>
            <w:rStyle w:val="affa"/>
            <w:rFonts w:asciiTheme="majorHAnsi" w:hAnsiTheme="majorHAnsi"/>
          </w:rPr>
          <w:t>https://empires.wnvermeulen.com/</w:t>
        </w:r>
      </w:hyperlink>
      <w:r w:rsidRPr="007D7F13">
        <w:rPr>
          <w:rFonts w:asciiTheme="majorHAnsi" w:hAnsiTheme="majorHAnsi"/>
        </w:rPr>
        <w:t xml:space="preserve"> </w:t>
      </w:r>
    </w:p>
    <w:p w14:paraId="31C7BA7D" w14:textId="77777777" w:rsidR="00614F15" w:rsidRDefault="00614F15" w:rsidP="008646B7">
      <w:pPr>
        <w:pStyle w:val="References"/>
        <w:rPr>
          <w:rFonts w:asciiTheme="majorHAnsi" w:hAnsiTheme="majorHAnsi"/>
        </w:rPr>
      </w:pPr>
      <w:r w:rsidRPr="00343417">
        <w:rPr>
          <w:rFonts w:asciiTheme="majorHAnsi" w:hAnsiTheme="majorHAnsi"/>
        </w:rPr>
        <w:t xml:space="preserve">Reynolds, </w:t>
      </w:r>
      <w:r>
        <w:rPr>
          <w:rFonts w:asciiTheme="majorHAnsi" w:hAnsiTheme="majorHAnsi"/>
        </w:rPr>
        <w:t xml:space="preserve">Susan. </w:t>
      </w:r>
      <w:r w:rsidRPr="00343417">
        <w:rPr>
          <w:rFonts w:asciiTheme="majorHAnsi" w:hAnsiTheme="majorHAnsi"/>
        </w:rPr>
        <w:t>Empires: a problem of comparative history</w:t>
      </w:r>
      <w:r>
        <w:rPr>
          <w:rFonts w:asciiTheme="majorHAnsi" w:hAnsiTheme="majorHAnsi"/>
        </w:rPr>
        <w:t>.</w:t>
      </w:r>
      <w:r w:rsidRPr="00343417">
        <w:rPr>
          <w:rFonts w:asciiTheme="majorHAnsi" w:hAnsiTheme="majorHAnsi"/>
        </w:rPr>
        <w:t xml:space="preserve"> </w:t>
      </w:r>
      <w:r w:rsidRPr="00343417">
        <w:rPr>
          <w:rFonts w:asciiTheme="majorHAnsi" w:hAnsiTheme="majorHAnsi"/>
          <w:i/>
          <w:iCs/>
        </w:rPr>
        <w:t>Historical Research</w:t>
      </w:r>
      <w:r>
        <w:rPr>
          <w:rFonts w:asciiTheme="majorHAnsi" w:hAnsiTheme="majorHAnsi"/>
          <w:i/>
          <w:iCs/>
        </w:rPr>
        <w:t xml:space="preserve"> </w:t>
      </w:r>
      <w:r w:rsidRPr="00343417">
        <w:rPr>
          <w:rFonts w:asciiTheme="majorHAnsi" w:hAnsiTheme="majorHAnsi"/>
        </w:rPr>
        <w:t>79 (204)</w:t>
      </w:r>
      <w:r>
        <w:rPr>
          <w:rFonts w:asciiTheme="majorHAnsi" w:hAnsiTheme="majorHAnsi"/>
        </w:rPr>
        <w:t>:</w:t>
      </w:r>
      <w:r w:rsidRPr="00343417">
        <w:rPr>
          <w:rFonts w:asciiTheme="majorHAnsi" w:hAnsiTheme="majorHAnsi"/>
        </w:rPr>
        <w:t xml:space="preserve"> 151–165</w:t>
      </w:r>
      <w:r>
        <w:rPr>
          <w:rFonts w:asciiTheme="majorHAnsi" w:hAnsiTheme="majorHAnsi"/>
        </w:rPr>
        <w:t>.</w:t>
      </w:r>
    </w:p>
    <w:p w14:paraId="564A1C3C" w14:textId="77777777" w:rsidR="00614F15" w:rsidRPr="00F912A2" w:rsidRDefault="00614F15" w:rsidP="00F912A2">
      <w:pPr>
        <w:pStyle w:val="References"/>
        <w:rPr>
          <w:rFonts w:asciiTheme="majorHAnsi" w:hAnsiTheme="majorHAnsi"/>
        </w:rPr>
      </w:pPr>
      <w:proofErr w:type="spellStart"/>
      <w:r w:rsidRPr="00F912A2">
        <w:rPr>
          <w:rFonts w:asciiTheme="majorHAnsi" w:hAnsiTheme="majorHAnsi"/>
        </w:rPr>
        <w:t>Taagepera</w:t>
      </w:r>
      <w:proofErr w:type="spellEnd"/>
      <w:r w:rsidRPr="00F912A2">
        <w:rPr>
          <w:rFonts w:asciiTheme="majorHAnsi" w:hAnsiTheme="majorHAnsi"/>
        </w:rPr>
        <w:t xml:space="preserve">, </w:t>
      </w:r>
      <w:r>
        <w:rPr>
          <w:rFonts w:asciiTheme="majorHAnsi" w:hAnsiTheme="majorHAnsi"/>
        </w:rPr>
        <w:t xml:space="preserve">Rein. 1978. </w:t>
      </w:r>
      <w:r w:rsidRPr="00F912A2">
        <w:rPr>
          <w:rFonts w:asciiTheme="majorHAnsi" w:hAnsiTheme="majorHAnsi"/>
        </w:rPr>
        <w:t xml:space="preserve">Size and Duration of Empires: Growth-Decline Curves, 3000 to 600 B.C. </w:t>
      </w:r>
      <w:r w:rsidRPr="000C3B23">
        <w:rPr>
          <w:rFonts w:asciiTheme="majorHAnsi" w:hAnsiTheme="majorHAnsi"/>
          <w:i/>
          <w:iCs/>
        </w:rPr>
        <w:t>Social Science Research</w:t>
      </w:r>
      <w:r w:rsidRPr="00F912A2">
        <w:rPr>
          <w:rFonts w:asciiTheme="majorHAnsi" w:hAnsiTheme="majorHAnsi"/>
        </w:rPr>
        <w:t xml:space="preserve"> 7 (2)</w:t>
      </w:r>
      <w:r>
        <w:rPr>
          <w:rFonts w:asciiTheme="majorHAnsi" w:hAnsiTheme="majorHAnsi"/>
        </w:rPr>
        <w:t>:</w:t>
      </w:r>
      <w:r w:rsidRPr="00F912A2">
        <w:rPr>
          <w:rFonts w:asciiTheme="majorHAnsi" w:hAnsiTheme="majorHAnsi"/>
        </w:rPr>
        <w:t>180-196.</w:t>
      </w:r>
    </w:p>
    <w:p w14:paraId="742A06EE" w14:textId="77777777" w:rsidR="00614F15" w:rsidRPr="00F912A2" w:rsidRDefault="00614F15" w:rsidP="00F912A2">
      <w:pPr>
        <w:pStyle w:val="References"/>
        <w:rPr>
          <w:rFonts w:asciiTheme="majorHAnsi" w:hAnsiTheme="majorHAnsi"/>
        </w:rPr>
      </w:pPr>
      <w:r w:rsidRPr="00F912A2">
        <w:rPr>
          <w:rFonts w:asciiTheme="majorHAnsi" w:hAnsiTheme="majorHAnsi"/>
        </w:rPr>
        <w:t xml:space="preserve"> </w:t>
      </w:r>
      <w:proofErr w:type="spellStart"/>
      <w:r w:rsidRPr="00F912A2">
        <w:rPr>
          <w:rFonts w:asciiTheme="majorHAnsi" w:hAnsiTheme="majorHAnsi"/>
        </w:rPr>
        <w:t>Taagepera</w:t>
      </w:r>
      <w:proofErr w:type="spellEnd"/>
      <w:r w:rsidRPr="00F912A2">
        <w:rPr>
          <w:rFonts w:asciiTheme="majorHAnsi" w:hAnsiTheme="majorHAnsi"/>
        </w:rPr>
        <w:t xml:space="preserve">, </w:t>
      </w:r>
      <w:r>
        <w:rPr>
          <w:rFonts w:asciiTheme="majorHAnsi" w:hAnsiTheme="majorHAnsi"/>
        </w:rPr>
        <w:t xml:space="preserve">Rein. 1979. </w:t>
      </w:r>
      <w:r w:rsidRPr="00F912A2">
        <w:rPr>
          <w:rFonts w:asciiTheme="majorHAnsi" w:hAnsiTheme="majorHAnsi"/>
        </w:rPr>
        <w:t xml:space="preserve">Size and Duration of Empires: Growth-Decline Curves, 600 B.C. to 600 A.D. </w:t>
      </w:r>
      <w:r w:rsidRPr="000C3B23">
        <w:rPr>
          <w:rFonts w:asciiTheme="majorHAnsi" w:hAnsiTheme="majorHAnsi"/>
          <w:i/>
          <w:iCs/>
        </w:rPr>
        <w:t>Social Science History</w:t>
      </w:r>
      <w:r w:rsidRPr="00F912A2">
        <w:rPr>
          <w:rFonts w:asciiTheme="majorHAnsi" w:hAnsiTheme="majorHAnsi"/>
        </w:rPr>
        <w:t xml:space="preserve"> 3 (3-4)</w:t>
      </w:r>
      <w:r>
        <w:rPr>
          <w:rFonts w:asciiTheme="majorHAnsi" w:hAnsiTheme="majorHAnsi"/>
        </w:rPr>
        <w:t>:</w:t>
      </w:r>
      <w:r w:rsidRPr="00F912A2">
        <w:rPr>
          <w:rFonts w:asciiTheme="majorHAnsi" w:hAnsiTheme="majorHAnsi"/>
        </w:rPr>
        <w:t>115-138.</w:t>
      </w:r>
    </w:p>
    <w:p w14:paraId="0B58D033" w14:textId="77777777" w:rsidR="00614F15" w:rsidRPr="00F912A2" w:rsidRDefault="00614F15" w:rsidP="00F912A2">
      <w:pPr>
        <w:pStyle w:val="References"/>
        <w:rPr>
          <w:rFonts w:asciiTheme="majorHAnsi" w:hAnsiTheme="majorHAnsi"/>
        </w:rPr>
      </w:pPr>
      <w:proofErr w:type="spellStart"/>
      <w:r w:rsidRPr="00F912A2">
        <w:rPr>
          <w:rFonts w:asciiTheme="majorHAnsi" w:hAnsiTheme="majorHAnsi"/>
        </w:rPr>
        <w:t>Taagepera</w:t>
      </w:r>
      <w:proofErr w:type="spellEnd"/>
      <w:r w:rsidRPr="00F912A2">
        <w:rPr>
          <w:rFonts w:asciiTheme="majorHAnsi" w:hAnsiTheme="majorHAnsi"/>
        </w:rPr>
        <w:t xml:space="preserve">, </w:t>
      </w:r>
      <w:r>
        <w:rPr>
          <w:rFonts w:asciiTheme="majorHAnsi" w:hAnsiTheme="majorHAnsi"/>
        </w:rPr>
        <w:t xml:space="preserve">Rein. 1997. </w:t>
      </w:r>
      <w:r w:rsidRPr="00F912A2">
        <w:rPr>
          <w:rFonts w:asciiTheme="majorHAnsi" w:hAnsiTheme="majorHAnsi"/>
        </w:rPr>
        <w:t>Expansion and Contraction Patterns of Large Polities: Context for Russia</w:t>
      </w:r>
      <w:r>
        <w:rPr>
          <w:rFonts w:asciiTheme="majorHAnsi" w:hAnsiTheme="majorHAnsi"/>
        </w:rPr>
        <w:t xml:space="preserve">. </w:t>
      </w:r>
      <w:r w:rsidRPr="000C3B23">
        <w:rPr>
          <w:rFonts w:asciiTheme="majorHAnsi" w:hAnsiTheme="majorHAnsi"/>
          <w:i/>
          <w:iCs/>
        </w:rPr>
        <w:t>International Studies Quarterly</w:t>
      </w:r>
      <w:r w:rsidRPr="00F912A2">
        <w:rPr>
          <w:rFonts w:asciiTheme="majorHAnsi" w:hAnsiTheme="majorHAnsi"/>
        </w:rPr>
        <w:t xml:space="preserve"> 41(3)</w:t>
      </w:r>
      <w:r>
        <w:rPr>
          <w:rFonts w:asciiTheme="majorHAnsi" w:hAnsiTheme="majorHAnsi"/>
        </w:rPr>
        <w:t xml:space="preserve">: </w:t>
      </w:r>
      <w:r w:rsidRPr="00F912A2">
        <w:rPr>
          <w:rFonts w:asciiTheme="majorHAnsi" w:hAnsiTheme="majorHAnsi"/>
        </w:rPr>
        <w:t>475-504.</w:t>
      </w:r>
    </w:p>
    <w:p w14:paraId="6937F231" w14:textId="77777777" w:rsidR="00614F15" w:rsidRPr="00F912A2" w:rsidRDefault="00614F15" w:rsidP="00F912A2">
      <w:pPr>
        <w:pStyle w:val="References"/>
        <w:rPr>
          <w:rFonts w:asciiTheme="majorHAnsi" w:hAnsiTheme="majorHAnsi"/>
        </w:rPr>
      </w:pPr>
      <w:proofErr w:type="spellStart"/>
      <w:r w:rsidRPr="00F912A2">
        <w:rPr>
          <w:rFonts w:asciiTheme="majorHAnsi" w:hAnsiTheme="majorHAnsi"/>
        </w:rPr>
        <w:t>Tainter</w:t>
      </w:r>
      <w:proofErr w:type="spellEnd"/>
      <w:r w:rsidRPr="00F912A2">
        <w:rPr>
          <w:rFonts w:asciiTheme="majorHAnsi" w:hAnsiTheme="majorHAnsi"/>
        </w:rPr>
        <w:t>,</w:t>
      </w:r>
      <w:r>
        <w:rPr>
          <w:rFonts w:asciiTheme="majorHAnsi" w:hAnsiTheme="majorHAnsi"/>
        </w:rPr>
        <w:t xml:space="preserve"> Joseph A. 1988.</w:t>
      </w:r>
      <w:r w:rsidRPr="00F912A2">
        <w:rPr>
          <w:rFonts w:asciiTheme="majorHAnsi" w:hAnsiTheme="majorHAnsi"/>
        </w:rPr>
        <w:t xml:space="preserve"> </w:t>
      </w:r>
      <w:r w:rsidRPr="00F912A2">
        <w:rPr>
          <w:rFonts w:asciiTheme="majorHAnsi" w:hAnsiTheme="majorHAnsi"/>
          <w:i/>
          <w:iCs/>
        </w:rPr>
        <w:t>The collapse of complex societies</w:t>
      </w:r>
      <w:r>
        <w:rPr>
          <w:rFonts w:asciiTheme="majorHAnsi" w:hAnsiTheme="majorHAnsi"/>
        </w:rPr>
        <w:t>.</w:t>
      </w:r>
      <w:r w:rsidRPr="00F912A2">
        <w:rPr>
          <w:rFonts w:asciiTheme="majorHAnsi" w:hAnsiTheme="majorHAnsi"/>
        </w:rPr>
        <w:t xml:space="preserve"> Cambridge: Cambridge University Press.</w:t>
      </w:r>
    </w:p>
    <w:p w14:paraId="22532E73" w14:textId="77777777" w:rsidR="00614F15" w:rsidRDefault="00614F15" w:rsidP="008646B7">
      <w:pPr>
        <w:pStyle w:val="References"/>
        <w:rPr>
          <w:rFonts w:asciiTheme="majorHAnsi" w:hAnsiTheme="majorHAnsi"/>
        </w:rPr>
      </w:pPr>
      <w:r w:rsidRPr="00343417">
        <w:rPr>
          <w:rFonts w:asciiTheme="majorHAnsi" w:hAnsiTheme="majorHAnsi"/>
        </w:rPr>
        <w:t>Toynbee</w:t>
      </w:r>
      <w:r w:rsidRPr="0018150B">
        <w:rPr>
          <w:rFonts w:asciiTheme="majorHAnsi" w:hAnsiTheme="majorHAnsi"/>
        </w:rPr>
        <w:t xml:space="preserve">, </w:t>
      </w:r>
      <w:r>
        <w:rPr>
          <w:rFonts w:asciiTheme="majorHAnsi" w:hAnsiTheme="majorHAnsi"/>
        </w:rPr>
        <w:t>Arnold J</w:t>
      </w:r>
      <w:r w:rsidRPr="0018150B">
        <w:rPr>
          <w:rFonts w:asciiTheme="majorHAnsi" w:hAnsiTheme="majorHAnsi"/>
        </w:rPr>
        <w:t xml:space="preserve">. </w:t>
      </w:r>
      <w:r>
        <w:rPr>
          <w:rFonts w:asciiTheme="majorHAnsi" w:hAnsiTheme="majorHAnsi"/>
        </w:rPr>
        <w:t>1962</w:t>
      </w:r>
      <w:r w:rsidRPr="0018150B">
        <w:rPr>
          <w:rFonts w:asciiTheme="majorHAnsi" w:hAnsiTheme="majorHAnsi"/>
        </w:rPr>
        <w:t xml:space="preserve">. </w:t>
      </w:r>
      <w:r w:rsidRPr="00343417">
        <w:rPr>
          <w:rFonts w:asciiTheme="majorHAnsi" w:hAnsiTheme="majorHAnsi"/>
          <w:i/>
        </w:rPr>
        <w:t xml:space="preserve">A Study of History, </w:t>
      </w:r>
      <w:r w:rsidRPr="00343417">
        <w:rPr>
          <w:rFonts w:asciiTheme="majorHAnsi" w:hAnsiTheme="majorHAnsi"/>
        </w:rPr>
        <w:t>Oxford University Press</w:t>
      </w:r>
      <w:r>
        <w:rPr>
          <w:rFonts w:asciiTheme="majorHAnsi" w:hAnsiTheme="majorHAnsi"/>
        </w:rPr>
        <w:t>.</w:t>
      </w:r>
    </w:p>
    <w:p w14:paraId="6C29B3C9" w14:textId="77777777" w:rsidR="00614F15" w:rsidRDefault="00614F15" w:rsidP="00B65895">
      <w:pPr>
        <w:pStyle w:val="References"/>
        <w:rPr>
          <w:rFonts w:asciiTheme="majorHAnsi" w:hAnsiTheme="majorHAnsi"/>
        </w:rPr>
      </w:pPr>
      <w:proofErr w:type="spellStart"/>
      <w:r w:rsidRPr="00343417">
        <w:rPr>
          <w:rFonts w:asciiTheme="majorHAnsi" w:hAnsiTheme="majorHAnsi"/>
        </w:rPr>
        <w:t>Turchin</w:t>
      </w:r>
      <w:proofErr w:type="spellEnd"/>
      <w:r w:rsidRPr="00343417">
        <w:rPr>
          <w:rFonts w:asciiTheme="majorHAnsi" w:hAnsiTheme="majorHAnsi"/>
        </w:rPr>
        <w:t>,</w:t>
      </w:r>
      <w:r>
        <w:rPr>
          <w:rFonts w:asciiTheme="majorHAnsi" w:hAnsiTheme="majorHAnsi"/>
        </w:rPr>
        <w:t xml:space="preserve"> Peter. 2009.</w:t>
      </w:r>
      <w:r w:rsidRPr="00343417">
        <w:rPr>
          <w:rFonts w:asciiTheme="majorHAnsi" w:hAnsiTheme="majorHAnsi"/>
        </w:rPr>
        <w:t xml:space="preserve"> </w:t>
      </w:r>
      <w:r w:rsidRPr="00B65895">
        <w:rPr>
          <w:rFonts w:asciiTheme="majorHAnsi" w:hAnsiTheme="majorHAnsi"/>
        </w:rPr>
        <w:t>A theory of formation of large empires.</w:t>
      </w:r>
      <w:r w:rsidRPr="00B65895">
        <w:rPr>
          <w:rFonts w:asciiTheme="majorHAnsi" w:hAnsiTheme="majorHAnsi"/>
          <w:i/>
          <w:iCs/>
        </w:rPr>
        <w:t xml:space="preserve"> Journal of Global History </w:t>
      </w:r>
      <w:r w:rsidRPr="00B65895">
        <w:rPr>
          <w:rFonts w:asciiTheme="majorHAnsi" w:hAnsiTheme="majorHAnsi"/>
        </w:rPr>
        <w:t>4: 191–217</w:t>
      </w:r>
      <w:r w:rsidRPr="00343417">
        <w:rPr>
          <w:rFonts w:asciiTheme="majorHAnsi" w:hAnsiTheme="majorHAnsi"/>
        </w:rPr>
        <w:t>.</w:t>
      </w:r>
    </w:p>
    <w:p w14:paraId="16E32733" w14:textId="77777777" w:rsidR="00614F15" w:rsidRDefault="00614F15" w:rsidP="008646B7">
      <w:pPr>
        <w:pStyle w:val="References"/>
        <w:rPr>
          <w:rFonts w:asciiTheme="majorHAnsi" w:hAnsiTheme="majorHAnsi"/>
        </w:rPr>
      </w:pPr>
      <w:proofErr w:type="spellStart"/>
      <w:r w:rsidRPr="00343417">
        <w:rPr>
          <w:rFonts w:asciiTheme="majorHAnsi" w:hAnsiTheme="majorHAnsi"/>
        </w:rPr>
        <w:t>Turchin</w:t>
      </w:r>
      <w:proofErr w:type="spellEnd"/>
      <w:r w:rsidRPr="00343417">
        <w:rPr>
          <w:rFonts w:asciiTheme="majorHAnsi" w:hAnsiTheme="majorHAnsi"/>
        </w:rPr>
        <w:t>,</w:t>
      </w:r>
      <w:r>
        <w:rPr>
          <w:rFonts w:asciiTheme="majorHAnsi" w:hAnsiTheme="majorHAnsi"/>
        </w:rPr>
        <w:t xml:space="preserve"> Peter. 2016.</w:t>
      </w:r>
      <w:r w:rsidRPr="00343417">
        <w:rPr>
          <w:rFonts w:asciiTheme="majorHAnsi" w:hAnsiTheme="majorHAnsi"/>
        </w:rPr>
        <w:t xml:space="preserve"> </w:t>
      </w:r>
      <w:r w:rsidRPr="00343417">
        <w:rPr>
          <w:rFonts w:asciiTheme="majorHAnsi" w:hAnsiTheme="majorHAnsi"/>
          <w:i/>
          <w:iCs/>
        </w:rPr>
        <w:t>Ages of Discord: A Structural-Demographic Analysis of American History</w:t>
      </w:r>
      <w:r>
        <w:rPr>
          <w:rFonts w:asciiTheme="majorHAnsi" w:hAnsiTheme="majorHAnsi"/>
        </w:rPr>
        <w:t>.</w:t>
      </w:r>
      <w:r w:rsidRPr="00343417">
        <w:rPr>
          <w:rFonts w:asciiTheme="majorHAnsi" w:hAnsiTheme="majorHAnsi"/>
        </w:rPr>
        <w:t xml:space="preserve"> </w:t>
      </w:r>
      <w:proofErr w:type="spellStart"/>
      <w:r w:rsidRPr="00343417">
        <w:rPr>
          <w:rFonts w:asciiTheme="majorHAnsi" w:hAnsiTheme="majorHAnsi"/>
        </w:rPr>
        <w:t>Beresta</w:t>
      </w:r>
      <w:proofErr w:type="spellEnd"/>
      <w:r w:rsidRPr="00343417">
        <w:rPr>
          <w:rFonts w:asciiTheme="majorHAnsi" w:hAnsiTheme="majorHAnsi"/>
        </w:rPr>
        <w:t xml:space="preserve"> Books.</w:t>
      </w:r>
    </w:p>
    <w:p w14:paraId="236388B3" w14:textId="77777777" w:rsidR="00614F15" w:rsidRPr="00F912A2" w:rsidRDefault="00614F15" w:rsidP="00F912A2">
      <w:pPr>
        <w:pStyle w:val="References"/>
        <w:rPr>
          <w:rFonts w:asciiTheme="majorHAnsi" w:hAnsiTheme="majorHAnsi"/>
        </w:rPr>
      </w:pPr>
      <w:r w:rsidRPr="00F912A2">
        <w:rPr>
          <w:rFonts w:asciiTheme="majorHAnsi" w:hAnsiTheme="majorHAnsi"/>
        </w:rPr>
        <w:t xml:space="preserve">Van </w:t>
      </w:r>
      <w:proofErr w:type="spellStart"/>
      <w:r w:rsidRPr="00F912A2">
        <w:rPr>
          <w:rFonts w:asciiTheme="majorHAnsi" w:hAnsiTheme="majorHAnsi"/>
        </w:rPr>
        <w:t>Valen</w:t>
      </w:r>
      <w:proofErr w:type="spellEnd"/>
      <w:r w:rsidRPr="00F912A2">
        <w:rPr>
          <w:rFonts w:asciiTheme="majorHAnsi" w:hAnsiTheme="majorHAnsi"/>
        </w:rPr>
        <w:t>, L</w:t>
      </w:r>
      <w:r>
        <w:rPr>
          <w:rFonts w:asciiTheme="majorHAnsi" w:hAnsiTheme="majorHAnsi"/>
        </w:rPr>
        <w:t>eigh.</w:t>
      </w:r>
      <w:r w:rsidRPr="00F912A2">
        <w:rPr>
          <w:rFonts w:asciiTheme="majorHAnsi" w:hAnsiTheme="majorHAnsi"/>
        </w:rPr>
        <w:t xml:space="preserve"> 1973</w:t>
      </w:r>
      <w:r>
        <w:rPr>
          <w:rFonts w:asciiTheme="majorHAnsi" w:hAnsiTheme="majorHAnsi"/>
        </w:rPr>
        <w:t xml:space="preserve">. </w:t>
      </w:r>
      <w:r w:rsidRPr="00F912A2">
        <w:rPr>
          <w:rFonts w:asciiTheme="majorHAnsi" w:hAnsiTheme="majorHAnsi"/>
        </w:rPr>
        <w:t>A new evolutionary law</w:t>
      </w:r>
      <w:r>
        <w:rPr>
          <w:rFonts w:asciiTheme="majorHAnsi" w:hAnsiTheme="majorHAnsi"/>
        </w:rPr>
        <w:t>.</w:t>
      </w:r>
      <w:r w:rsidRPr="00F912A2">
        <w:rPr>
          <w:rFonts w:asciiTheme="majorHAnsi" w:hAnsiTheme="majorHAnsi"/>
        </w:rPr>
        <w:t xml:space="preserve"> </w:t>
      </w:r>
      <w:r w:rsidRPr="000C3B23">
        <w:rPr>
          <w:rFonts w:asciiTheme="majorHAnsi" w:hAnsiTheme="majorHAnsi"/>
          <w:i/>
          <w:iCs/>
        </w:rPr>
        <w:t>Evolutionary Theory</w:t>
      </w:r>
      <w:r w:rsidRPr="00F912A2">
        <w:rPr>
          <w:rFonts w:asciiTheme="majorHAnsi" w:hAnsiTheme="majorHAnsi"/>
        </w:rPr>
        <w:t xml:space="preserve"> 1</w:t>
      </w:r>
      <w:r>
        <w:rPr>
          <w:rFonts w:asciiTheme="majorHAnsi" w:hAnsiTheme="majorHAnsi"/>
        </w:rPr>
        <w:t>:</w:t>
      </w:r>
      <w:r w:rsidRPr="00F912A2">
        <w:rPr>
          <w:rFonts w:asciiTheme="majorHAnsi" w:hAnsiTheme="majorHAnsi"/>
        </w:rPr>
        <w:t xml:space="preserve"> 1–30.</w:t>
      </w:r>
    </w:p>
    <w:p w14:paraId="3C800535" w14:textId="77777777" w:rsidR="00614F15" w:rsidRDefault="00614F15" w:rsidP="008646B7">
      <w:pPr>
        <w:pStyle w:val="References"/>
        <w:rPr>
          <w:rFonts w:asciiTheme="majorHAnsi" w:hAnsiTheme="majorHAnsi"/>
          <w:i/>
        </w:rPr>
      </w:pPr>
      <w:r>
        <w:rPr>
          <w:rFonts w:asciiTheme="majorHAnsi" w:hAnsiTheme="majorHAnsi"/>
        </w:rPr>
        <w:t xml:space="preserve">Wallerstein, Immanuel. 1974. </w:t>
      </w:r>
      <w:r w:rsidRPr="00343417">
        <w:rPr>
          <w:rFonts w:asciiTheme="majorHAnsi" w:hAnsiTheme="majorHAnsi"/>
          <w:i/>
        </w:rPr>
        <w:t>The Modern World-System</w:t>
      </w:r>
      <w:r>
        <w:rPr>
          <w:rFonts w:asciiTheme="majorHAnsi" w:hAnsiTheme="majorHAnsi"/>
          <w:i/>
        </w:rPr>
        <w:t>.</w:t>
      </w:r>
      <w:r w:rsidRPr="00343417">
        <w:rPr>
          <w:rFonts w:asciiTheme="majorHAnsi" w:hAnsiTheme="majorHAnsi"/>
          <w:i/>
        </w:rPr>
        <w:t xml:space="preserve"> Academic Press</w:t>
      </w:r>
      <w:r>
        <w:rPr>
          <w:rFonts w:asciiTheme="majorHAnsi" w:hAnsiTheme="majorHAnsi"/>
          <w:i/>
        </w:rPr>
        <w:t>.</w:t>
      </w:r>
    </w:p>
    <w:p w14:paraId="4087F18F" w14:textId="77777777" w:rsidR="00B65895" w:rsidRDefault="00B65895" w:rsidP="008646B7">
      <w:pPr>
        <w:pStyle w:val="References"/>
        <w:rPr>
          <w:rFonts w:asciiTheme="majorHAnsi" w:hAnsiTheme="majorHAnsi"/>
        </w:rPr>
      </w:pPr>
    </w:p>
    <w:p w14:paraId="3A4AD0AB" w14:textId="77777777" w:rsidR="00B65895" w:rsidRDefault="00B65895" w:rsidP="008646B7">
      <w:pPr>
        <w:pStyle w:val="References"/>
        <w:rPr>
          <w:rFonts w:asciiTheme="majorHAnsi" w:hAnsiTheme="majorHAnsi"/>
        </w:rPr>
      </w:pPr>
    </w:p>
    <w:p w14:paraId="6334022A" w14:textId="77777777" w:rsidR="002D6A29" w:rsidRPr="0018150B" w:rsidRDefault="002D6A29" w:rsidP="008646B7">
      <w:pPr>
        <w:rPr>
          <w:rFonts w:asciiTheme="majorHAnsi" w:hAnsiTheme="majorHAnsi"/>
        </w:rPr>
      </w:pPr>
    </w:p>
    <w:sectPr w:rsidR="002D6A29" w:rsidRPr="0018150B" w:rsidSect="00E40BCF">
      <w:headerReference w:type="even" r:id="rId15"/>
      <w:headerReference w:type="default" r:id="rId16"/>
      <w:footerReference w:type="even" r:id="rId17"/>
      <w:footerReference w:type="default" r:id="rId18"/>
      <w:headerReference w:type="first" r:id="rId19"/>
      <w:footerReference w:type="first" r:id="rId20"/>
      <w:footnotePr>
        <w:numRestart w:val="eachPage"/>
      </w:footnotePr>
      <w:type w:val="continuous"/>
      <w:pgSz w:w="8392" w:h="11907" w:code="11"/>
      <w:pgMar w:top="1134" w:right="567" w:bottom="851" w:left="8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E7D14" w14:textId="77777777" w:rsidR="00AB62FD" w:rsidRDefault="00AB62FD" w:rsidP="008646B7">
      <w:r>
        <w:separator/>
      </w:r>
    </w:p>
  </w:endnote>
  <w:endnote w:type="continuationSeparator" w:id="0">
    <w:p w14:paraId="4235997B" w14:textId="77777777" w:rsidR="00AB62FD" w:rsidRDefault="00AB62FD" w:rsidP="0086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7D80D" w14:textId="77777777" w:rsidR="00337725" w:rsidRDefault="005D0D03" w:rsidP="008646B7">
    <w:pPr>
      <w:pStyle w:val="af6"/>
      <w:rPr>
        <w:rStyle w:val="aff9"/>
      </w:rPr>
    </w:pPr>
    <w:r>
      <w:rPr>
        <w:rStyle w:val="aff9"/>
      </w:rPr>
      <w:fldChar w:fldCharType="begin"/>
    </w:r>
    <w:r w:rsidR="00337725">
      <w:rPr>
        <w:rStyle w:val="aff9"/>
      </w:rPr>
      <w:instrText xml:space="preserve">PAGE  </w:instrText>
    </w:r>
    <w:r>
      <w:rPr>
        <w:rStyle w:val="aff9"/>
      </w:rPr>
      <w:fldChar w:fldCharType="end"/>
    </w:r>
  </w:p>
  <w:p w14:paraId="7D7836C5" w14:textId="77777777" w:rsidR="00337725" w:rsidRDefault="00337725" w:rsidP="008646B7">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49634" w14:textId="77777777" w:rsidR="00337725" w:rsidRPr="0018150B" w:rsidRDefault="005D0D03" w:rsidP="00FB5C1C">
    <w:pPr>
      <w:pStyle w:val="af6"/>
      <w:jc w:val="center"/>
      <w:rPr>
        <w:rStyle w:val="aff9"/>
        <w:rFonts w:asciiTheme="majorHAnsi" w:hAnsiTheme="majorHAnsi"/>
      </w:rPr>
    </w:pPr>
    <w:r w:rsidRPr="0018150B">
      <w:rPr>
        <w:rStyle w:val="aff9"/>
        <w:rFonts w:asciiTheme="majorHAnsi" w:hAnsiTheme="majorHAnsi"/>
      </w:rPr>
      <w:fldChar w:fldCharType="begin"/>
    </w:r>
    <w:r w:rsidR="00337725" w:rsidRPr="0018150B">
      <w:rPr>
        <w:rStyle w:val="aff9"/>
        <w:rFonts w:asciiTheme="majorHAnsi" w:hAnsiTheme="majorHAnsi"/>
      </w:rPr>
      <w:instrText xml:space="preserve">PAGE  </w:instrText>
    </w:r>
    <w:r w:rsidRPr="0018150B">
      <w:rPr>
        <w:rStyle w:val="aff9"/>
        <w:rFonts w:asciiTheme="majorHAnsi" w:hAnsiTheme="majorHAnsi"/>
      </w:rPr>
      <w:fldChar w:fldCharType="separate"/>
    </w:r>
    <w:r w:rsidR="00452C2E">
      <w:rPr>
        <w:rStyle w:val="aff9"/>
        <w:rFonts w:asciiTheme="majorHAnsi" w:hAnsiTheme="majorHAnsi"/>
        <w:noProof/>
      </w:rPr>
      <w:t>5</w:t>
    </w:r>
    <w:r w:rsidRPr="0018150B">
      <w:rPr>
        <w:rStyle w:val="aff9"/>
        <w:rFonts w:asciiTheme="majorHAnsi" w:hAnsiTheme="majorHAnsi"/>
      </w:rPr>
      <w:fldChar w:fldCharType="end"/>
    </w:r>
  </w:p>
  <w:p w14:paraId="22F32CD9" w14:textId="77777777" w:rsidR="00337725" w:rsidRDefault="00337725" w:rsidP="008646B7">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E7942" w14:textId="77777777" w:rsidR="00D61E63" w:rsidRPr="0018150B" w:rsidRDefault="00D61E63" w:rsidP="00676619">
    <w:pPr>
      <w:pStyle w:val="af6"/>
      <w:spacing w:before="120"/>
      <w:rPr>
        <w:rFonts w:asciiTheme="majorHAnsi" w:hAnsiTheme="majorHAnsi"/>
        <w:sz w:val="18"/>
        <w:szCs w:val="18"/>
      </w:rPr>
    </w:pPr>
    <w:r w:rsidRPr="0018150B">
      <w:rPr>
        <w:rFonts w:asciiTheme="majorHAnsi" w:hAnsiTheme="majorHAnsi"/>
        <w:i/>
        <w:sz w:val="18"/>
        <w:szCs w:val="18"/>
      </w:rPr>
      <w:t>Corresponding author’s e-mail:</w:t>
    </w:r>
    <w:r w:rsidRPr="0018150B">
      <w:rPr>
        <w:rFonts w:asciiTheme="majorHAnsi" w:hAnsiTheme="majorHAnsi"/>
        <w:sz w:val="18"/>
        <w:szCs w:val="18"/>
      </w:rPr>
      <w:t xml:space="preserve"> </w:t>
    </w:r>
    <w:r w:rsidR="0036420B" w:rsidRPr="0036420B">
      <w:rPr>
        <w:rFonts w:asciiTheme="majorHAnsi" w:hAnsiTheme="majorHAnsi"/>
        <w:sz w:val="18"/>
        <w:szCs w:val="18"/>
      </w:rPr>
      <w:t>stefano.ciliberti@gmail.com</w:t>
    </w:r>
  </w:p>
  <w:p w14:paraId="09FE985F" w14:textId="77777777" w:rsidR="00194849" w:rsidRPr="0018150B" w:rsidRDefault="00D61E63" w:rsidP="00EC3045">
    <w:pPr>
      <w:pStyle w:val="af6"/>
      <w:spacing w:before="120"/>
      <w:ind w:left="284" w:hanging="284"/>
      <w:rPr>
        <w:rFonts w:asciiTheme="majorHAnsi" w:hAnsiTheme="majorHAnsi"/>
        <w:sz w:val="18"/>
        <w:szCs w:val="18"/>
      </w:rPr>
    </w:pPr>
    <w:r w:rsidRPr="0018150B">
      <w:rPr>
        <w:rFonts w:asciiTheme="majorHAnsi" w:hAnsiTheme="majorHAnsi"/>
        <w:i/>
        <w:sz w:val="18"/>
        <w:szCs w:val="18"/>
      </w:rPr>
      <w:t xml:space="preserve">Citation: </w:t>
    </w:r>
    <w:proofErr w:type="spellStart"/>
    <w:r w:rsidR="0036420B">
      <w:rPr>
        <w:rFonts w:asciiTheme="majorHAnsi" w:hAnsiTheme="majorHAnsi"/>
        <w:sz w:val="18"/>
        <w:szCs w:val="18"/>
      </w:rPr>
      <w:t>Ciliberti</w:t>
    </w:r>
    <w:proofErr w:type="spellEnd"/>
    <w:r w:rsidR="004F712E" w:rsidRPr="0018150B">
      <w:rPr>
        <w:rFonts w:asciiTheme="majorHAnsi" w:hAnsiTheme="majorHAnsi"/>
        <w:sz w:val="18"/>
        <w:szCs w:val="18"/>
      </w:rPr>
      <w:t xml:space="preserve">, </w:t>
    </w:r>
    <w:r w:rsidR="0036420B">
      <w:rPr>
        <w:rFonts w:asciiTheme="majorHAnsi" w:hAnsiTheme="majorHAnsi"/>
        <w:sz w:val="18"/>
        <w:szCs w:val="18"/>
      </w:rPr>
      <w:t>Stefano</w:t>
    </w:r>
    <w:r w:rsidR="004F712E" w:rsidRPr="0018150B">
      <w:rPr>
        <w:rFonts w:asciiTheme="majorHAnsi" w:hAnsiTheme="majorHAnsi"/>
        <w:sz w:val="18"/>
        <w:szCs w:val="18"/>
      </w:rPr>
      <w:t xml:space="preserve">. </w:t>
    </w:r>
    <w:r w:rsidR="00050443" w:rsidRPr="0018150B">
      <w:rPr>
        <w:rFonts w:asciiTheme="majorHAnsi" w:hAnsiTheme="majorHAnsi"/>
        <w:sz w:val="18"/>
        <w:szCs w:val="18"/>
      </w:rPr>
      <w:t>20</w:t>
    </w:r>
    <w:r w:rsidR="0036420B">
      <w:rPr>
        <w:rFonts w:asciiTheme="majorHAnsi" w:hAnsiTheme="majorHAnsi"/>
        <w:sz w:val="18"/>
        <w:szCs w:val="18"/>
      </w:rPr>
      <w:t>2</w:t>
    </w:r>
    <w:r w:rsidR="00050443" w:rsidRPr="0018150B">
      <w:rPr>
        <w:rFonts w:asciiTheme="majorHAnsi" w:hAnsiTheme="majorHAnsi"/>
        <w:sz w:val="18"/>
        <w:szCs w:val="18"/>
      </w:rPr>
      <w:t>5</w:t>
    </w:r>
    <w:r w:rsidR="00194849" w:rsidRPr="0018150B">
      <w:rPr>
        <w:rFonts w:asciiTheme="majorHAnsi" w:hAnsiTheme="majorHAnsi"/>
        <w:sz w:val="18"/>
        <w:szCs w:val="18"/>
      </w:rPr>
      <w:t xml:space="preserve">. </w:t>
    </w:r>
    <w:r w:rsidR="0036420B" w:rsidRPr="0036420B">
      <w:rPr>
        <w:rFonts w:asciiTheme="majorHAnsi" w:hAnsiTheme="majorHAnsi"/>
      </w:rPr>
      <w:t>On the Life Cycle of Empires</w:t>
    </w:r>
    <w:r w:rsidR="00194849" w:rsidRPr="0018150B">
      <w:rPr>
        <w:rFonts w:asciiTheme="majorHAnsi" w:hAnsiTheme="majorHAnsi"/>
        <w:sz w:val="18"/>
        <w:szCs w:val="18"/>
      </w:rPr>
      <w:t xml:space="preserve">. </w:t>
    </w:r>
    <w:proofErr w:type="spellStart"/>
    <w:r w:rsidR="00194849" w:rsidRPr="0018150B">
      <w:rPr>
        <w:rFonts w:asciiTheme="majorHAnsi" w:hAnsiTheme="majorHAnsi"/>
        <w:i/>
        <w:sz w:val="18"/>
        <w:szCs w:val="18"/>
      </w:rPr>
      <w:t>Cliodynamics</w:t>
    </w:r>
    <w:proofErr w:type="spellEnd"/>
    <w:r w:rsidR="004F712E" w:rsidRPr="0018150B">
      <w:rPr>
        <w:rFonts w:asciiTheme="majorHAnsi" w:hAnsiTheme="majorHAnsi"/>
        <w:sz w:val="18"/>
        <w:szCs w:val="18"/>
      </w:rPr>
      <w:t xml:space="preserve"> </w:t>
    </w:r>
    <w:r w:rsidR="0036420B">
      <w:rPr>
        <w:rFonts w:asciiTheme="majorHAnsi" w:hAnsiTheme="majorHAnsi"/>
        <w:sz w:val="18"/>
        <w:szCs w:val="18"/>
      </w:rPr>
      <w:t>16</w:t>
    </w:r>
    <w:r w:rsidR="00194849" w:rsidRPr="0018150B">
      <w:rPr>
        <w:rFonts w:asciiTheme="majorHAnsi" w:hAnsiTheme="majorHAnsi"/>
        <w:sz w:val="18"/>
        <w:szCs w:val="18"/>
      </w:rPr>
      <w:t>:</w:t>
    </w:r>
    <w:r w:rsidR="004D5F70" w:rsidRPr="0018150B">
      <w:rPr>
        <w:rFonts w:asciiTheme="majorHAnsi" w:hAnsiTheme="majorHAnsi"/>
        <w:sz w:val="18"/>
        <w:szCs w:val="18"/>
      </w:rPr>
      <w:t xml:space="preserve"> </w:t>
    </w:r>
    <w:r w:rsidR="0036420B">
      <w:rPr>
        <w:rFonts w:asciiTheme="majorHAnsi" w:hAnsiTheme="majorHAnsi"/>
        <w:sz w:val="18"/>
        <w:szCs w:val="18"/>
      </w:rPr>
      <w:t>1</w:t>
    </w:r>
    <w:r w:rsidR="00B333DE" w:rsidRPr="0018150B">
      <w:rPr>
        <w:rFonts w:asciiTheme="majorHAnsi" w:hAnsiTheme="majorHAnsi"/>
        <w:sz w:val="18"/>
        <w:szCs w:val="18"/>
      </w:rPr>
      <w:t>–</w:t>
    </w:r>
    <w:r w:rsidR="0036420B">
      <w:rPr>
        <w:rFonts w:asciiTheme="majorHAnsi" w:hAnsiTheme="majorHAnsi"/>
        <w:sz w:val="18"/>
        <w:szCs w:val="18"/>
      </w:rPr>
      <w:t>12</w:t>
    </w:r>
    <w:r w:rsidR="00194849" w:rsidRPr="0018150B">
      <w:rPr>
        <w:rFonts w:asciiTheme="majorHAnsi" w:hAnsiTheme="maj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13084" w14:textId="77777777" w:rsidR="00AB62FD" w:rsidRDefault="00AB62FD" w:rsidP="008646B7">
      <w:r>
        <w:separator/>
      </w:r>
    </w:p>
  </w:footnote>
  <w:footnote w:type="continuationSeparator" w:id="0">
    <w:p w14:paraId="6B9CDE76" w14:textId="77777777" w:rsidR="00AB62FD" w:rsidRDefault="00AB62FD" w:rsidP="008646B7">
      <w:r>
        <w:continuationSeparator/>
      </w:r>
    </w:p>
  </w:footnote>
  <w:footnote w:id="1">
    <w:p w14:paraId="5DCB5B87" w14:textId="61A30C62" w:rsidR="00F93261" w:rsidRPr="00F812D5" w:rsidRDefault="00F93261">
      <w:pPr>
        <w:pStyle w:val="a5"/>
        <w:rPr>
          <w:sz w:val="18"/>
          <w:szCs w:val="18"/>
          <w:lang w:val="ru-RU"/>
        </w:rPr>
      </w:pPr>
      <w:r w:rsidRPr="00F812D5">
        <w:rPr>
          <w:rStyle w:val="a6"/>
          <w:sz w:val="18"/>
          <w:szCs w:val="18"/>
        </w:rPr>
        <w:footnoteRef/>
      </w:r>
      <w:hyperlink r:id="rId1" w:history="1">
        <w:r w:rsidR="00826B3A" w:rsidRPr="00F812D5">
          <w:rPr>
            <w:rStyle w:val="affa"/>
            <w:sz w:val="18"/>
            <w:szCs w:val="18"/>
          </w:rPr>
          <w:t>https://empires.wnvermeulen.com</w:t>
        </w:r>
      </w:hyperlink>
      <w:r w:rsidR="00826B3A" w:rsidRPr="00F812D5">
        <w:rPr>
          <w:sz w:val="18"/>
          <w:szCs w:val="18"/>
        </w:rPr>
        <w:t>;</w:t>
      </w:r>
      <w:r w:rsidR="00826B3A" w:rsidRPr="00F812D5">
        <w:rPr>
          <w:sz w:val="18"/>
          <w:szCs w:val="18"/>
          <w:lang w:val="ru-RU"/>
        </w:rPr>
        <w:t xml:space="preserve"> </w:t>
      </w:r>
      <w:hyperlink r:id="rId2" w:history="1">
        <w:r w:rsidR="00826B3A" w:rsidRPr="00F812D5">
          <w:rPr>
            <w:rStyle w:val="affa"/>
            <w:sz w:val="18"/>
            <w:szCs w:val="18"/>
          </w:rPr>
          <w:t>www.britannica.com</w:t>
        </w:r>
      </w:hyperlink>
      <w:r w:rsidR="00826B3A" w:rsidRPr="00F812D5">
        <w:rPr>
          <w:sz w:val="18"/>
          <w:szCs w:val="18"/>
        </w:rPr>
        <w:t xml:space="preserve">; </w:t>
      </w:r>
      <w:hyperlink r:id="rId3" w:history="1">
        <w:r w:rsidR="00826B3A" w:rsidRPr="00F812D5">
          <w:rPr>
            <w:rStyle w:val="affa"/>
            <w:sz w:val="18"/>
            <w:szCs w:val="18"/>
          </w:rPr>
          <w:t>www.worldhistory.org</w:t>
        </w:r>
      </w:hyperlink>
      <w:r w:rsidR="00826B3A" w:rsidRPr="00F812D5">
        <w:rPr>
          <w:sz w:val="18"/>
          <w:szCs w:val="18"/>
          <w:lang w:val="ru-RU"/>
        </w:rPr>
        <w:t xml:space="preserve"> </w:t>
      </w:r>
    </w:p>
  </w:footnote>
  <w:footnote w:id="2">
    <w:p w14:paraId="25E26A1C" w14:textId="77777777" w:rsidR="00BA5BCB" w:rsidRPr="00F812D5" w:rsidRDefault="00BA5BCB">
      <w:pPr>
        <w:pStyle w:val="a5"/>
        <w:rPr>
          <w:sz w:val="18"/>
          <w:szCs w:val="18"/>
        </w:rPr>
      </w:pPr>
      <w:r w:rsidRPr="00F812D5">
        <w:rPr>
          <w:rStyle w:val="a6"/>
          <w:sz w:val="18"/>
          <w:szCs w:val="18"/>
        </w:rPr>
        <w:footnoteRef/>
      </w:r>
      <w:r w:rsidRPr="00F812D5">
        <w:rPr>
          <w:sz w:val="18"/>
          <w:szCs w:val="18"/>
        </w:rPr>
        <w:t xml:space="preserve"> To be precise: a high </w:t>
      </w:r>
      <w:r w:rsidRPr="00F812D5">
        <w:rPr>
          <w:i/>
          <w:iCs/>
          <w:sz w:val="18"/>
          <w:szCs w:val="18"/>
        </w:rPr>
        <w:t>p</w:t>
      </w:r>
      <w:r w:rsidRPr="00F812D5">
        <w:rPr>
          <w:sz w:val="18"/>
          <w:szCs w:val="18"/>
        </w:rPr>
        <w:t>-value does not prove that that data is exponentially distributed, but it points at the lack of statistically significant evidence against that assumption.</w:t>
      </w:r>
    </w:p>
  </w:footnote>
  <w:footnote w:id="3">
    <w:p w14:paraId="684BA644" w14:textId="1FE907E0" w:rsidR="004C582D" w:rsidRPr="00F812D5" w:rsidRDefault="004C582D">
      <w:pPr>
        <w:pStyle w:val="a5"/>
        <w:rPr>
          <w:sz w:val="18"/>
          <w:szCs w:val="18"/>
        </w:rPr>
      </w:pPr>
      <w:r w:rsidRPr="00F812D5">
        <w:rPr>
          <w:rStyle w:val="a6"/>
          <w:sz w:val="18"/>
          <w:szCs w:val="18"/>
        </w:rPr>
        <w:footnoteRef/>
      </w:r>
      <w:r w:rsidRPr="00F812D5">
        <w:rPr>
          <w:sz w:val="18"/>
          <w:szCs w:val="18"/>
        </w:rPr>
        <w:t xml:space="preserve"> An empire can definitely double in size in one year (α ≃ 1), but if this happens every year the process is probably too fast to be stable.</w:t>
      </w:r>
    </w:p>
  </w:footnote>
  <w:footnote w:id="4">
    <w:p w14:paraId="7A0D6911" w14:textId="77777777" w:rsidR="00282DC2" w:rsidRPr="00F812D5" w:rsidRDefault="00282DC2" w:rsidP="00282DC2">
      <w:pPr>
        <w:rPr>
          <w:rFonts w:asciiTheme="majorHAnsi" w:hAnsiTheme="majorHAnsi"/>
          <w:sz w:val="18"/>
          <w:szCs w:val="18"/>
        </w:rPr>
      </w:pPr>
      <w:r w:rsidRPr="00F812D5">
        <w:rPr>
          <w:rStyle w:val="a6"/>
          <w:sz w:val="18"/>
          <w:szCs w:val="18"/>
        </w:rPr>
        <w:footnoteRef/>
      </w:r>
      <w:r w:rsidRPr="00F812D5">
        <w:rPr>
          <w:sz w:val="18"/>
          <w:szCs w:val="18"/>
        </w:rPr>
        <w:t xml:space="preserve"> </w:t>
      </w:r>
      <w:r w:rsidRPr="00F812D5">
        <w:rPr>
          <w:rFonts w:asciiTheme="majorHAnsi" w:hAnsiTheme="majorHAnsi"/>
          <w:sz w:val="18"/>
          <w:szCs w:val="18"/>
        </w:rPr>
        <w:t>An empire can definitely double in size in one year (α ≃ 1), but if this happens every year the process is probably too fast to be stable.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5AC4F" w14:textId="77777777" w:rsidR="00194849" w:rsidRDefault="005D0D03" w:rsidP="008646B7">
    <w:pPr>
      <w:pStyle w:val="af7"/>
      <w:rPr>
        <w:rStyle w:val="aff9"/>
      </w:rPr>
    </w:pPr>
    <w:r>
      <w:rPr>
        <w:rStyle w:val="aff9"/>
      </w:rPr>
      <w:fldChar w:fldCharType="begin"/>
    </w:r>
    <w:r w:rsidR="00194849">
      <w:rPr>
        <w:rStyle w:val="aff9"/>
      </w:rPr>
      <w:instrText xml:space="preserve">PAGE  </w:instrText>
    </w:r>
    <w:r>
      <w:rPr>
        <w:rStyle w:val="aff9"/>
      </w:rPr>
      <w:fldChar w:fldCharType="end"/>
    </w:r>
  </w:p>
  <w:p w14:paraId="04E04292" w14:textId="77777777" w:rsidR="00194849" w:rsidRDefault="00194849" w:rsidP="008646B7">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FE2F4" w14:textId="77777777" w:rsidR="00194849" w:rsidRPr="0018150B" w:rsidRDefault="0036420B" w:rsidP="00C122D7">
    <w:pPr>
      <w:pStyle w:val="af7"/>
      <w:jc w:val="center"/>
      <w:rPr>
        <w:rFonts w:asciiTheme="majorHAnsi" w:hAnsiTheme="majorHAnsi"/>
      </w:rPr>
    </w:pPr>
    <w:r>
      <w:rPr>
        <w:rFonts w:asciiTheme="majorHAnsi" w:hAnsiTheme="majorHAnsi"/>
        <w:i/>
      </w:rPr>
      <w:t>Stefan</w:t>
    </w:r>
    <w:r w:rsidR="000C7D96">
      <w:rPr>
        <w:rFonts w:asciiTheme="majorHAnsi" w:hAnsiTheme="majorHAnsi"/>
        <w:i/>
      </w:rPr>
      <w:t>o</w:t>
    </w:r>
    <w:r>
      <w:rPr>
        <w:rFonts w:asciiTheme="majorHAnsi" w:hAnsiTheme="majorHAnsi"/>
        <w:i/>
      </w:rPr>
      <w:t xml:space="preserve"> </w:t>
    </w:r>
    <w:proofErr w:type="spellStart"/>
    <w:r>
      <w:rPr>
        <w:rFonts w:asciiTheme="majorHAnsi" w:hAnsiTheme="majorHAnsi"/>
        <w:i/>
      </w:rPr>
      <w:t>Ciliberti</w:t>
    </w:r>
    <w:proofErr w:type="spellEnd"/>
    <w:r w:rsidR="00D61E63" w:rsidRPr="0018150B">
      <w:rPr>
        <w:rFonts w:asciiTheme="majorHAnsi" w:hAnsiTheme="majorHAnsi"/>
        <w:i/>
      </w:rPr>
      <w:t>:</w:t>
    </w:r>
    <w:r w:rsidR="00194849" w:rsidRPr="0018150B">
      <w:rPr>
        <w:rFonts w:asciiTheme="majorHAnsi" w:hAnsiTheme="majorHAnsi"/>
      </w:rPr>
      <w:t xml:space="preserve"> </w:t>
    </w:r>
    <w:r w:rsidRPr="0036420B">
      <w:rPr>
        <w:rFonts w:asciiTheme="majorHAnsi" w:hAnsiTheme="majorHAnsi"/>
      </w:rPr>
      <w:t>On the Life Cycle of Empires</w:t>
    </w:r>
    <w:r w:rsidR="00D61E63" w:rsidRPr="0018150B">
      <w:rPr>
        <w:rFonts w:asciiTheme="majorHAnsi" w:hAnsiTheme="majorHAnsi"/>
      </w:rPr>
      <w:t>.</w:t>
    </w:r>
    <w:r w:rsidR="00FE3CD8" w:rsidRPr="0018150B">
      <w:rPr>
        <w:rFonts w:asciiTheme="majorHAnsi" w:hAnsiTheme="majorHAnsi"/>
      </w:rPr>
      <w:t xml:space="preserve"> </w:t>
    </w:r>
    <w:proofErr w:type="spellStart"/>
    <w:r w:rsidR="00FE3CD8" w:rsidRPr="0018150B">
      <w:rPr>
        <w:rFonts w:asciiTheme="majorHAnsi" w:hAnsiTheme="majorHAnsi"/>
        <w:i/>
      </w:rPr>
      <w:t>Cliodynamics</w:t>
    </w:r>
    <w:proofErr w:type="spellEnd"/>
    <w:r w:rsidR="009F61AC" w:rsidRPr="0018150B">
      <w:rPr>
        <w:rFonts w:asciiTheme="majorHAnsi" w:hAnsiTheme="majorHAnsi"/>
        <w:i/>
      </w:rPr>
      <w:t xml:space="preserve"> </w:t>
    </w:r>
    <w:r>
      <w:rPr>
        <w:rFonts w:asciiTheme="majorHAnsi" w:hAnsiTheme="majorHAnsi"/>
        <w:i/>
      </w:rPr>
      <w:t>16</w:t>
    </w:r>
    <w:r w:rsidR="009F61AC" w:rsidRPr="0018150B">
      <w:rPr>
        <w:rFonts w:asciiTheme="majorHAnsi" w:hAnsiTheme="majorHAnsi"/>
        <w:i/>
      </w:rPr>
      <w:t>:</w:t>
    </w:r>
    <w:r>
      <w:rPr>
        <w:rFonts w:asciiTheme="majorHAnsi" w:hAnsiTheme="majorHAnsi"/>
        <w:i/>
      </w:rPr>
      <w:t>2</w:t>
    </w:r>
    <w:r w:rsidR="004F712E" w:rsidRPr="0018150B">
      <w:rPr>
        <w:rFonts w:asciiTheme="majorHAnsi" w:hAnsiTheme="majorHAnsi"/>
        <w:i/>
      </w:rPr>
      <w:t xml:space="preserve"> (</w:t>
    </w:r>
    <w:r w:rsidR="00050443" w:rsidRPr="0018150B">
      <w:rPr>
        <w:rFonts w:asciiTheme="majorHAnsi" w:hAnsiTheme="majorHAnsi"/>
        <w:i/>
      </w:rPr>
      <w:t>20</w:t>
    </w:r>
    <w:r>
      <w:rPr>
        <w:rFonts w:asciiTheme="majorHAnsi" w:hAnsiTheme="majorHAnsi"/>
        <w:i/>
      </w:rPr>
      <w:t>2</w:t>
    </w:r>
    <w:r w:rsidR="00050443" w:rsidRPr="0018150B">
      <w:rPr>
        <w:rFonts w:asciiTheme="majorHAnsi" w:hAnsiTheme="majorHAnsi"/>
        <w:i/>
      </w:rPr>
      <w:t>5</w:t>
    </w:r>
    <w:r w:rsidR="00194849" w:rsidRPr="0018150B">
      <w:rPr>
        <w:rFonts w:asciiTheme="majorHAnsi" w:hAnsiTheme="majorHAnsi"/>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5B7EF" w14:textId="77777777" w:rsidR="00D61E63" w:rsidRPr="0018150B" w:rsidRDefault="00F3285E" w:rsidP="00173B92">
    <w:pPr>
      <w:pStyle w:val="af7"/>
      <w:jc w:val="center"/>
      <w:rPr>
        <w:rFonts w:asciiTheme="majorHAnsi" w:hAnsiTheme="majorHAnsi"/>
      </w:rPr>
    </w:pPr>
    <w:proofErr w:type="spellStart"/>
    <w:r w:rsidRPr="0018150B">
      <w:rPr>
        <w:rFonts w:asciiTheme="majorHAnsi" w:hAnsiTheme="majorHAnsi"/>
        <w:i/>
      </w:rPr>
      <w:t>Cliodynamics</w:t>
    </w:r>
    <w:proofErr w:type="spellEnd"/>
    <w:r w:rsidRPr="0018150B">
      <w:rPr>
        <w:rFonts w:asciiTheme="majorHAnsi" w:hAnsiTheme="majorHAnsi"/>
        <w:i/>
      </w:rPr>
      <w:t>: The Journal of Quantitative History and Cultural Evolution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72837B2"/>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6D0CE69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E97CE12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6B260758"/>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95CA06C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4889DA"/>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C84B9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94439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46F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2FE19E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76970A8"/>
    <w:multiLevelType w:val="hybridMultilevel"/>
    <w:tmpl w:val="D31A3FB4"/>
    <w:lvl w:ilvl="0" w:tplc="E4948B16">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1" w15:restartNumberingAfterBreak="0">
    <w:nsid w:val="2396612B"/>
    <w:multiLevelType w:val="hybridMultilevel"/>
    <w:tmpl w:val="435A525A"/>
    <w:lvl w:ilvl="0" w:tplc="E4948B16">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2" w15:restartNumberingAfterBreak="0">
    <w:nsid w:val="3FC769D0"/>
    <w:multiLevelType w:val="hybridMultilevel"/>
    <w:tmpl w:val="367EEDE6"/>
    <w:lvl w:ilvl="0" w:tplc="E4948B16">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D83947"/>
    <w:multiLevelType w:val="hybridMultilevel"/>
    <w:tmpl w:val="4C9C6640"/>
    <w:lvl w:ilvl="0" w:tplc="E4948B16">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DF3425"/>
    <w:multiLevelType w:val="hybridMultilevel"/>
    <w:tmpl w:val="D496344A"/>
    <w:lvl w:ilvl="0" w:tplc="9D86A0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E7279D"/>
    <w:multiLevelType w:val="hybridMultilevel"/>
    <w:tmpl w:val="FDC86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0"/>
  </w:num>
  <w:num w:numId="15">
    <w:abstractNumId w:val="13"/>
  </w:num>
  <w:num w:numId="16">
    <w:abstractNumId w:val="14"/>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Ec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lio.enl&lt;/item&gt;&lt;/Libraries&gt;&lt;/ENLibraries&gt;"/>
  </w:docVars>
  <w:rsids>
    <w:rsidRoot w:val="00C8401F"/>
    <w:rsid w:val="00000DD5"/>
    <w:rsid w:val="00002D79"/>
    <w:rsid w:val="00007C08"/>
    <w:rsid w:val="00011C4A"/>
    <w:rsid w:val="0002476A"/>
    <w:rsid w:val="00025305"/>
    <w:rsid w:val="0002606F"/>
    <w:rsid w:val="00030E05"/>
    <w:rsid w:val="000342AE"/>
    <w:rsid w:val="000350D7"/>
    <w:rsid w:val="00035D20"/>
    <w:rsid w:val="00036F3C"/>
    <w:rsid w:val="00036FAB"/>
    <w:rsid w:val="000425A8"/>
    <w:rsid w:val="0004432C"/>
    <w:rsid w:val="000449B3"/>
    <w:rsid w:val="000461A7"/>
    <w:rsid w:val="00047E25"/>
    <w:rsid w:val="00050443"/>
    <w:rsid w:val="00051EA3"/>
    <w:rsid w:val="00052C63"/>
    <w:rsid w:val="00054EF2"/>
    <w:rsid w:val="00055B39"/>
    <w:rsid w:val="00063CB8"/>
    <w:rsid w:val="00082ACF"/>
    <w:rsid w:val="00084D99"/>
    <w:rsid w:val="000A0EB0"/>
    <w:rsid w:val="000A1EEC"/>
    <w:rsid w:val="000A4BA1"/>
    <w:rsid w:val="000B1E02"/>
    <w:rsid w:val="000C3B23"/>
    <w:rsid w:val="000C4080"/>
    <w:rsid w:val="000C67BD"/>
    <w:rsid w:val="000C7D96"/>
    <w:rsid w:val="000D2659"/>
    <w:rsid w:val="000D3610"/>
    <w:rsid w:val="000D42AF"/>
    <w:rsid w:val="000D65FE"/>
    <w:rsid w:val="000F25D3"/>
    <w:rsid w:val="000F4F1A"/>
    <w:rsid w:val="00100483"/>
    <w:rsid w:val="00101598"/>
    <w:rsid w:val="00102579"/>
    <w:rsid w:val="00107832"/>
    <w:rsid w:val="00110667"/>
    <w:rsid w:val="001129ED"/>
    <w:rsid w:val="001219AB"/>
    <w:rsid w:val="00122D9F"/>
    <w:rsid w:val="00130DE1"/>
    <w:rsid w:val="001344FB"/>
    <w:rsid w:val="001361F6"/>
    <w:rsid w:val="00137B0A"/>
    <w:rsid w:val="00141267"/>
    <w:rsid w:val="001423A9"/>
    <w:rsid w:val="001465B0"/>
    <w:rsid w:val="001470B1"/>
    <w:rsid w:val="00147282"/>
    <w:rsid w:val="00151919"/>
    <w:rsid w:val="00151B15"/>
    <w:rsid w:val="00155EFF"/>
    <w:rsid w:val="001560EB"/>
    <w:rsid w:val="00160B9F"/>
    <w:rsid w:val="00164224"/>
    <w:rsid w:val="00173B92"/>
    <w:rsid w:val="00174ECB"/>
    <w:rsid w:val="00175438"/>
    <w:rsid w:val="0017545F"/>
    <w:rsid w:val="0018150B"/>
    <w:rsid w:val="00185B68"/>
    <w:rsid w:val="00187653"/>
    <w:rsid w:val="0019313D"/>
    <w:rsid w:val="00193650"/>
    <w:rsid w:val="00194849"/>
    <w:rsid w:val="00195A5C"/>
    <w:rsid w:val="00197988"/>
    <w:rsid w:val="001A0315"/>
    <w:rsid w:val="001A0E94"/>
    <w:rsid w:val="001A2293"/>
    <w:rsid w:val="001A2C39"/>
    <w:rsid w:val="001A34B0"/>
    <w:rsid w:val="001B02A0"/>
    <w:rsid w:val="001B048C"/>
    <w:rsid w:val="001B0A2C"/>
    <w:rsid w:val="001B222E"/>
    <w:rsid w:val="001B3ED6"/>
    <w:rsid w:val="001B4A80"/>
    <w:rsid w:val="001B5B31"/>
    <w:rsid w:val="001B6CAF"/>
    <w:rsid w:val="001C0724"/>
    <w:rsid w:val="001C5B0E"/>
    <w:rsid w:val="001C62C7"/>
    <w:rsid w:val="001C67D9"/>
    <w:rsid w:val="001C7E49"/>
    <w:rsid w:val="001D11BD"/>
    <w:rsid w:val="001D22CB"/>
    <w:rsid w:val="001D2E64"/>
    <w:rsid w:val="001D545A"/>
    <w:rsid w:val="001E5250"/>
    <w:rsid w:val="001F25BE"/>
    <w:rsid w:val="001F3770"/>
    <w:rsid w:val="001F3CF3"/>
    <w:rsid w:val="001F553C"/>
    <w:rsid w:val="001F6929"/>
    <w:rsid w:val="001F7336"/>
    <w:rsid w:val="002061FD"/>
    <w:rsid w:val="002076A0"/>
    <w:rsid w:val="00212973"/>
    <w:rsid w:val="0021369B"/>
    <w:rsid w:val="00213BC0"/>
    <w:rsid w:val="00223E8C"/>
    <w:rsid w:val="002250A3"/>
    <w:rsid w:val="002258C8"/>
    <w:rsid w:val="002305BE"/>
    <w:rsid w:val="00232BAF"/>
    <w:rsid w:val="002362E2"/>
    <w:rsid w:val="00236729"/>
    <w:rsid w:val="00243FD7"/>
    <w:rsid w:val="00246B53"/>
    <w:rsid w:val="00254728"/>
    <w:rsid w:val="00255821"/>
    <w:rsid w:val="002579CD"/>
    <w:rsid w:val="00261DF1"/>
    <w:rsid w:val="002642DA"/>
    <w:rsid w:val="002654AE"/>
    <w:rsid w:val="0026638C"/>
    <w:rsid w:val="002725E3"/>
    <w:rsid w:val="00282DC2"/>
    <w:rsid w:val="002849F8"/>
    <w:rsid w:val="002924A2"/>
    <w:rsid w:val="00294D9E"/>
    <w:rsid w:val="00295523"/>
    <w:rsid w:val="002B033B"/>
    <w:rsid w:val="002C2EC4"/>
    <w:rsid w:val="002C2ED4"/>
    <w:rsid w:val="002C7213"/>
    <w:rsid w:val="002D057B"/>
    <w:rsid w:val="002D5EA5"/>
    <w:rsid w:val="002D6A29"/>
    <w:rsid w:val="002E594B"/>
    <w:rsid w:val="002E6376"/>
    <w:rsid w:val="002F25E2"/>
    <w:rsid w:val="00300D80"/>
    <w:rsid w:val="00302881"/>
    <w:rsid w:val="003149E2"/>
    <w:rsid w:val="0031624C"/>
    <w:rsid w:val="00317BA6"/>
    <w:rsid w:val="00325DF1"/>
    <w:rsid w:val="00330A2E"/>
    <w:rsid w:val="00333845"/>
    <w:rsid w:val="00333F55"/>
    <w:rsid w:val="00335851"/>
    <w:rsid w:val="00337725"/>
    <w:rsid w:val="00343417"/>
    <w:rsid w:val="0035654C"/>
    <w:rsid w:val="00361998"/>
    <w:rsid w:val="00362796"/>
    <w:rsid w:val="0036420B"/>
    <w:rsid w:val="00365153"/>
    <w:rsid w:val="00373178"/>
    <w:rsid w:val="0037767D"/>
    <w:rsid w:val="00377FA9"/>
    <w:rsid w:val="003840ED"/>
    <w:rsid w:val="00384D1D"/>
    <w:rsid w:val="003910E7"/>
    <w:rsid w:val="003A048B"/>
    <w:rsid w:val="003A1070"/>
    <w:rsid w:val="003A622F"/>
    <w:rsid w:val="003C3454"/>
    <w:rsid w:val="003D1FE5"/>
    <w:rsid w:val="003D2743"/>
    <w:rsid w:val="003D758F"/>
    <w:rsid w:val="003D7BE7"/>
    <w:rsid w:val="003E05E7"/>
    <w:rsid w:val="003E2127"/>
    <w:rsid w:val="003E2497"/>
    <w:rsid w:val="003E361A"/>
    <w:rsid w:val="003E3D38"/>
    <w:rsid w:val="003E4C98"/>
    <w:rsid w:val="003F7C3A"/>
    <w:rsid w:val="004019F9"/>
    <w:rsid w:val="00415BDF"/>
    <w:rsid w:val="0042141A"/>
    <w:rsid w:val="00424794"/>
    <w:rsid w:val="004304BC"/>
    <w:rsid w:val="004308F2"/>
    <w:rsid w:val="00431003"/>
    <w:rsid w:val="004316A9"/>
    <w:rsid w:val="00436075"/>
    <w:rsid w:val="0044196F"/>
    <w:rsid w:val="00441A98"/>
    <w:rsid w:val="00441FF3"/>
    <w:rsid w:val="00444F68"/>
    <w:rsid w:val="00447084"/>
    <w:rsid w:val="00451990"/>
    <w:rsid w:val="00452C2E"/>
    <w:rsid w:val="0045721C"/>
    <w:rsid w:val="00464062"/>
    <w:rsid w:val="004648E3"/>
    <w:rsid w:val="00465E63"/>
    <w:rsid w:val="0046729A"/>
    <w:rsid w:val="004701F8"/>
    <w:rsid w:val="00470340"/>
    <w:rsid w:val="00476B4C"/>
    <w:rsid w:val="00476BB2"/>
    <w:rsid w:val="004801D7"/>
    <w:rsid w:val="00480A9D"/>
    <w:rsid w:val="00481170"/>
    <w:rsid w:val="00483E2F"/>
    <w:rsid w:val="00484378"/>
    <w:rsid w:val="00484604"/>
    <w:rsid w:val="00485692"/>
    <w:rsid w:val="004A48ED"/>
    <w:rsid w:val="004B04F6"/>
    <w:rsid w:val="004B2B72"/>
    <w:rsid w:val="004B342E"/>
    <w:rsid w:val="004B501B"/>
    <w:rsid w:val="004B7FFD"/>
    <w:rsid w:val="004C582D"/>
    <w:rsid w:val="004D320B"/>
    <w:rsid w:val="004D37A1"/>
    <w:rsid w:val="004D5F70"/>
    <w:rsid w:val="004E175E"/>
    <w:rsid w:val="004E70C7"/>
    <w:rsid w:val="004F712E"/>
    <w:rsid w:val="004F7C65"/>
    <w:rsid w:val="0050302A"/>
    <w:rsid w:val="0050502C"/>
    <w:rsid w:val="00510403"/>
    <w:rsid w:val="00513B32"/>
    <w:rsid w:val="00514887"/>
    <w:rsid w:val="00514E3A"/>
    <w:rsid w:val="00515F51"/>
    <w:rsid w:val="00516982"/>
    <w:rsid w:val="00521D86"/>
    <w:rsid w:val="00524C49"/>
    <w:rsid w:val="00533176"/>
    <w:rsid w:val="00534AA8"/>
    <w:rsid w:val="00534AEA"/>
    <w:rsid w:val="0053527B"/>
    <w:rsid w:val="00544BC4"/>
    <w:rsid w:val="00545171"/>
    <w:rsid w:val="005455F9"/>
    <w:rsid w:val="005469BD"/>
    <w:rsid w:val="00550D63"/>
    <w:rsid w:val="00551F3C"/>
    <w:rsid w:val="005637A2"/>
    <w:rsid w:val="00570047"/>
    <w:rsid w:val="0057317D"/>
    <w:rsid w:val="00593454"/>
    <w:rsid w:val="0059678F"/>
    <w:rsid w:val="005A76FA"/>
    <w:rsid w:val="005C5ADF"/>
    <w:rsid w:val="005C6100"/>
    <w:rsid w:val="005C64AD"/>
    <w:rsid w:val="005C7F0B"/>
    <w:rsid w:val="005D0D03"/>
    <w:rsid w:val="005D18C9"/>
    <w:rsid w:val="005D5FF3"/>
    <w:rsid w:val="005D63BB"/>
    <w:rsid w:val="005E0C27"/>
    <w:rsid w:val="005E626E"/>
    <w:rsid w:val="005E6E18"/>
    <w:rsid w:val="005E787A"/>
    <w:rsid w:val="005F3457"/>
    <w:rsid w:val="005F442A"/>
    <w:rsid w:val="005F6D61"/>
    <w:rsid w:val="006000C9"/>
    <w:rsid w:val="0060210B"/>
    <w:rsid w:val="00602972"/>
    <w:rsid w:val="00603F45"/>
    <w:rsid w:val="0060489E"/>
    <w:rsid w:val="0060587B"/>
    <w:rsid w:val="00606A68"/>
    <w:rsid w:val="006107B4"/>
    <w:rsid w:val="006116F3"/>
    <w:rsid w:val="00613F75"/>
    <w:rsid w:val="00614A0E"/>
    <w:rsid w:val="00614F15"/>
    <w:rsid w:val="0061657F"/>
    <w:rsid w:val="00620BCB"/>
    <w:rsid w:val="00620CF1"/>
    <w:rsid w:val="0062357E"/>
    <w:rsid w:val="00625BE7"/>
    <w:rsid w:val="00630900"/>
    <w:rsid w:val="00632CA9"/>
    <w:rsid w:val="00637AA4"/>
    <w:rsid w:val="00641FC6"/>
    <w:rsid w:val="00645575"/>
    <w:rsid w:val="006468AA"/>
    <w:rsid w:val="0065680A"/>
    <w:rsid w:val="0066474C"/>
    <w:rsid w:val="00667022"/>
    <w:rsid w:val="0067531F"/>
    <w:rsid w:val="00676619"/>
    <w:rsid w:val="00683D6C"/>
    <w:rsid w:val="00692269"/>
    <w:rsid w:val="00693C21"/>
    <w:rsid w:val="00695F8C"/>
    <w:rsid w:val="006B2EA2"/>
    <w:rsid w:val="006B7422"/>
    <w:rsid w:val="006C2035"/>
    <w:rsid w:val="006C322D"/>
    <w:rsid w:val="006C5427"/>
    <w:rsid w:val="006C70A8"/>
    <w:rsid w:val="006C72BD"/>
    <w:rsid w:val="006D2605"/>
    <w:rsid w:val="006D5721"/>
    <w:rsid w:val="006E0FB7"/>
    <w:rsid w:val="006E2DE4"/>
    <w:rsid w:val="006E3350"/>
    <w:rsid w:val="006E6C54"/>
    <w:rsid w:val="006E6D97"/>
    <w:rsid w:val="006F0EAE"/>
    <w:rsid w:val="006F7D66"/>
    <w:rsid w:val="00706EF3"/>
    <w:rsid w:val="00711299"/>
    <w:rsid w:val="00712CE8"/>
    <w:rsid w:val="0071748A"/>
    <w:rsid w:val="00720392"/>
    <w:rsid w:val="00724C76"/>
    <w:rsid w:val="00725ABF"/>
    <w:rsid w:val="0072687B"/>
    <w:rsid w:val="007269AA"/>
    <w:rsid w:val="00726D3B"/>
    <w:rsid w:val="00735EA6"/>
    <w:rsid w:val="00742488"/>
    <w:rsid w:val="0074379F"/>
    <w:rsid w:val="00745D88"/>
    <w:rsid w:val="00752F85"/>
    <w:rsid w:val="00755B94"/>
    <w:rsid w:val="00760B11"/>
    <w:rsid w:val="00762F76"/>
    <w:rsid w:val="00764084"/>
    <w:rsid w:val="007645E1"/>
    <w:rsid w:val="00767F54"/>
    <w:rsid w:val="00776375"/>
    <w:rsid w:val="007766F3"/>
    <w:rsid w:val="007771A7"/>
    <w:rsid w:val="00780143"/>
    <w:rsid w:val="0078088E"/>
    <w:rsid w:val="00780E4E"/>
    <w:rsid w:val="00781C55"/>
    <w:rsid w:val="00782EB7"/>
    <w:rsid w:val="00785CDB"/>
    <w:rsid w:val="007860AA"/>
    <w:rsid w:val="00786AA7"/>
    <w:rsid w:val="00791824"/>
    <w:rsid w:val="00792CA3"/>
    <w:rsid w:val="00793146"/>
    <w:rsid w:val="00794009"/>
    <w:rsid w:val="00795592"/>
    <w:rsid w:val="007957D3"/>
    <w:rsid w:val="007B04E3"/>
    <w:rsid w:val="007B1CB5"/>
    <w:rsid w:val="007B6DED"/>
    <w:rsid w:val="007C45D2"/>
    <w:rsid w:val="007D2DA1"/>
    <w:rsid w:val="007D7087"/>
    <w:rsid w:val="007D7F13"/>
    <w:rsid w:val="007E71E0"/>
    <w:rsid w:val="007F1977"/>
    <w:rsid w:val="007F47F8"/>
    <w:rsid w:val="007F533A"/>
    <w:rsid w:val="007F6436"/>
    <w:rsid w:val="0080000D"/>
    <w:rsid w:val="0080263A"/>
    <w:rsid w:val="008030E8"/>
    <w:rsid w:val="008040C3"/>
    <w:rsid w:val="00812633"/>
    <w:rsid w:val="00812EA6"/>
    <w:rsid w:val="0081518D"/>
    <w:rsid w:val="00815A19"/>
    <w:rsid w:val="008233BD"/>
    <w:rsid w:val="00823C5D"/>
    <w:rsid w:val="00826B0C"/>
    <w:rsid w:val="00826B3A"/>
    <w:rsid w:val="00830378"/>
    <w:rsid w:val="00835974"/>
    <w:rsid w:val="00837F22"/>
    <w:rsid w:val="0086085D"/>
    <w:rsid w:val="00860B3D"/>
    <w:rsid w:val="008628EC"/>
    <w:rsid w:val="008646B7"/>
    <w:rsid w:val="00872065"/>
    <w:rsid w:val="008769A0"/>
    <w:rsid w:val="00880DF7"/>
    <w:rsid w:val="00881E17"/>
    <w:rsid w:val="00884A00"/>
    <w:rsid w:val="008903EB"/>
    <w:rsid w:val="00890773"/>
    <w:rsid w:val="00894BA8"/>
    <w:rsid w:val="00897856"/>
    <w:rsid w:val="008A3209"/>
    <w:rsid w:val="008A3370"/>
    <w:rsid w:val="008A3679"/>
    <w:rsid w:val="008A634F"/>
    <w:rsid w:val="008B30E5"/>
    <w:rsid w:val="008B686C"/>
    <w:rsid w:val="008B79E3"/>
    <w:rsid w:val="008C5934"/>
    <w:rsid w:val="008C7F0E"/>
    <w:rsid w:val="008D1E31"/>
    <w:rsid w:val="008D4141"/>
    <w:rsid w:val="008E0315"/>
    <w:rsid w:val="008E1F6A"/>
    <w:rsid w:val="008E2DA6"/>
    <w:rsid w:val="008F2B21"/>
    <w:rsid w:val="008F37CE"/>
    <w:rsid w:val="008F5543"/>
    <w:rsid w:val="008F5E96"/>
    <w:rsid w:val="00903AD6"/>
    <w:rsid w:val="00903B8E"/>
    <w:rsid w:val="00903DDD"/>
    <w:rsid w:val="009069B7"/>
    <w:rsid w:val="00912315"/>
    <w:rsid w:val="009200A2"/>
    <w:rsid w:val="00923475"/>
    <w:rsid w:val="00923578"/>
    <w:rsid w:val="00923956"/>
    <w:rsid w:val="00926AA5"/>
    <w:rsid w:val="009300D4"/>
    <w:rsid w:val="009345CB"/>
    <w:rsid w:val="00941216"/>
    <w:rsid w:val="00946D5E"/>
    <w:rsid w:val="00953068"/>
    <w:rsid w:val="00954745"/>
    <w:rsid w:val="009547B9"/>
    <w:rsid w:val="009576F1"/>
    <w:rsid w:val="00957F77"/>
    <w:rsid w:val="009618BF"/>
    <w:rsid w:val="009627FA"/>
    <w:rsid w:val="00972E5B"/>
    <w:rsid w:val="0097493E"/>
    <w:rsid w:val="00980E0E"/>
    <w:rsid w:val="0098299E"/>
    <w:rsid w:val="00983235"/>
    <w:rsid w:val="00987B47"/>
    <w:rsid w:val="00990927"/>
    <w:rsid w:val="00993E16"/>
    <w:rsid w:val="0099490A"/>
    <w:rsid w:val="00995580"/>
    <w:rsid w:val="009964BE"/>
    <w:rsid w:val="009A24D3"/>
    <w:rsid w:val="009A30AD"/>
    <w:rsid w:val="009A36D2"/>
    <w:rsid w:val="009B2C9F"/>
    <w:rsid w:val="009B3998"/>
    <w:rsid w:val="009D329D"/>
    <w:rsid w:val="009D36AD"/>
    <w:rsid w:val="009D612B"/>
    <w:rsid w:val="009E23FE"/>
    <w:rsid w:val="009E512F"/>
    <w:rsid w:val="009F1F05"/>
    <w:rsid w:val="009F34CB"/>
    <w:rsid w:val="009F3985"/>
    <w:rsid w:val="009F5B27"/>
    <w:rsid w:val="009F5E70"/>
    <w:rsid w:val="009F61AC"/>
    <w:rsid w:val="00A0013A"/>
    <w:rsid w:val="00A00360"/>
    <w:rsid w:val="00A00CE9"/>
    <w:rsid w:val="00A02E11"/>
    <w:rsid w:val="00A02EA3"/>
    <w:rsid w:val="00A05A56"/>
    <w:rsid w:val="00A05FAF"/>
    <w:rsid w:val="00A11271"/>
    <w:rsid w:val="00A12C72"/>
    <w:rsid w:val="00A16001"/>
    <w:rsid w:val="00A164EE"/>
    <w:rsid w:val="00A16988"/>
    <w:rsid w:val="00A21219"/>
    <w:rsid w:val="00A2682E"/>
    <w:rsid w:val="00A27D66"/>
    <w:rsid w:val="00A30690"/>
    <w:rsid w:val="00A3721E"/>
    <w:rsid w:val="00A37B76"/>
    <w:rsid w:val="00A4241F"/>
    <w:rsid w:val="00A47EE7"/>
    <w:rsid w:val="00A50967"/>
    <w:rsid w:val="00A529DD"/>
    <w:rsid w:val="00A542AE"/>
    <w:rsid w:val="00A555A8"/>
    <w:rsid w:val="00A5757C"/>
    <w:rsid w:val="00A632A3"/>
    <w:rsid w:val="00A705B1"/>
    <w:rsid w:val="00A70CA4"/>
    <w:rsid w:val="00A868B3"/>
    <w:rsid w:val="00A86C22"/>
    <w:rsid w:val="00A87A19"/>
    <w:rsid w:val="00A87AAA"/>
    <w:rsid w:val="00A87FC1"/>
    <w:rsid w:val="00A95250"/>
    <w:rsid w:val="00AA1E64"/>
    <w:rsid w:val="00AA27A9"/>
    <w:rsid w:val="00AA345D"/>
    <w:rsid w:val="00AA46BA"/>
    <w:rsid w:val="00AA53C9"/>
    <w:rsid w:val="00AB3F8B"/>
    <w:rsid w:val="00AB438A"/>
    <w:rsid w:val="00AB62FD"/>
    <w:rsid w:val="00AC1D37"/>
    <w:rsid w:val="00AD58FE"/>
    <w:rsid w:val="00AE25E1"/>
    <w:rsid w:val="00AE2FC5"/>
    <w:rsid w:val="00AE34B4"/>
    <w:rsid w:val="00AE3CB3"/>
    <w:rsid w:val="00AF1530"/>
    <w:rsid w:val="00AF1B1E"/>
    <w:rsid w:val="00B01438"/>
    <w:rsid w:val="00B03438"/>
    <w:rsid w:val="00B0599D"/>
    <w:rsid w:val="00B238DF"/>
    <w:rsid w:val="00B26BD7"/>
    <w:rsid w:val="00B27109"/>
    <w:rsid w:val="00B333DE"/>
    <w:rsid w:val="00B42A9A"/>
    <w:rsid w:val="00B468F0"/>
    <w:rsid w:val="00B4701F"/>
    <w:rsid w:val="00B47927"/>
    <w:rsid w:val="00B53371"/>
    <w:rsid w:val="00B567E0"/>
    <w:rsid w:val="00B637E5"/>
    <w:rsid w:val="00B65895"/>
    <w:rsid w:val="00B70576"/>
    <w:rsid w:val="00B72080"/>
    <w:rsid w:val="00B73B01"/>
    <w:rsid w:val="00B9339A"/>
    <w:rsid w:val="00BA017F"/>
    <w:rsid w:val="00BA5BCB"/>
    <w:rsid w:val="00BA6855"/>
    <w:rsid w:val="00BB05BF"/>
    <w:rsid w:val="00BB0674"/>
    <w:rsid w:val="00BB123A"/>
    <w:rsid w:val="00BB246B"/>
    <w:rsid w:val="00BB3357"/>
    <w:rsid w:val="00BB4CD4"/>
    <w:rsid w:val="00BC0925"/>
    <w:rsid w:val="00BD0942"/>
    <w:rsid w:val="00BD1006"/>
    <w:rsid w:val="00BD14CF"/>
    <w:rsid w:val="00BD2CEB"/>
    <w:rsid w:val="00BD5879"/>
    <w:rsid w:val="00BD7D79"/>
    <w:rsid w:val="00BE3B93"/>
    <w:rsid w:val="00BE4F14"/>
    <w:rsid w:val="00BE5AF5"/>
    <w:rsid w:val="00BF1C52"/>
    <w:rsid w:val="00BF3264"/>
    <w:rsid w:val="00C0199D"/>
    <w:rsid w:val="00C04DED"/>
    <w:rsid w:val="00C052CB"/>
    <w:rsid w:val="00C122D7"/>
    <w:rsid w:val="00C14582"/>
    <w:rsid w:val="00C15C9A"/>
    <w:rsid w:val="00C16DC8"/>
    <w:rsid w:val="00C203BB"/>
    <w:rsid w:val="00C20A7D"/>
    <w:rsid w:val="00C222C1"/>
    <w:rsid w:val="00C2409D"/>
    <w:rsid w:val="00C24511"/>
    <w:rsid w:val="00C30E20"/>
    <w:rsid w:val="00C32CC3"/>
    <w:rsid w:val="00C32FAA"/>
    <w:rsid w:val="00C33062"/>
    <w:rsid w:val="00C3496C"/>
    <w:rsid w:val="00C3751B"/>
    <w:rsid w:val="00C37EF5"/>
    <w:rsid w:val="00C4084B"/>
    <w:rsid w:val="00C45D7B"/>
    <w:rsid w:val="00C5488E"/>
    <w:rsid w:val="00C60D25"/>
    <w:rsid w:val="00C6128F"/>
    <w:rsid w:val="00C625D8"/>
    <w:rsid w:val="00C6376A"/>
    <w:rsid w:val="00C64C0B"/>
    <w:rsid w:val="00C66B25"/>
    <w:rsid w:val="00C70042"/>
    <w:rsid w:val="00C71F1C"/>
    <w:rsid w:val="00C72E15"/>
    <w:rsid w:val="00C7523F"/>
    <w:rsid w:val="00C7665C"/>
    <w:rsid w:val="00C83772"/>
    <w:rsid w:val="00C8401F"/>
    <w:rsid w:val="00C87021"/>
    <w:rsid w:val="00C87AFC"/>
    <w:rsid w:val="00C901FD"/>
    <w:rsid w:val="00C91540"/>
    <w:rsid w:val="00C917DD"/>
    <w:rsid w:val="00C921E2"/>
    <w:rsid w:val="00C96D34"/>
    <w:rsid w:val="00CA39DB"/>
    <w:rsid w:val="00CB1EA4"/>
    <w:rsid w:val="00CB43FD"/>
    <w:rsid w:val="00CC0033"/>
    <w:rsid w:val="00CC09AE"/>
    <w:rsid w:val="00CC213E"/>
    <w:rsid w:val="00CC2C6B"/>
    <w:rsid w:val="00CC525F"/>
    <w:rsid w:val="00CD6FF3"/>
    <w:rsid w:val="00CE01E5"/>
    <w:rsid w:val="00CF0442"/>
    <w:rsid w:val="00CF0EE3"/>
    <w:rsid w:val="00CF6B89"/>
    <w:rsid w:val="00CF7643"/>
    <w:rsid w:val="00D0131D"/>
    <w:rsid w:val="00D03868"/>
    <w:rsid w:val="00D062FD"/>
    <w:rsid w:val="00D07BF6"/>
    <w:rsid w:val="00D101A9"/>
    <w:rsid w:val="00D11168"/>
    <w:rsid w:val="00D11AE5"/>
    <w:rsid w:val="00D12C4B"/>
    <w:rsid w:val="00D12E61"/>
    <w:rsid w:val="00D14550"/>
    <w:rsid w:val="00D2431E"/>
    <w:rsid w:val="00D328E6"/>
    <w:rsid w:val="00D331F8"/>
    <w:rsid w:val="00D366DC"/>
    <w:rsid w:val="00D42180"/>
    <w:rsid w:val="00D505A9"/>
    <w:rsid w:val="00D5671F"/>
    <w:rsid w:val="00D56D01"/>
    <w:rsid w:val="00D60248"/>
    <w:rsid w:val="00D61E63"/>
    <w:rsid w:val="00D61F49"/>
    <w:rsid w:val="00D65243"/>
    <w:rsid w:val="00D67E0B"/>
    <w:rsid w:val="00D70157"/>
    <w:rsid w:val="00D7304A"/>
    <w:rsid w:val="00D81437"/>
    <w:rsid w:val="00D85C70"/>
    <w:rsid w:val="00D863F1"/>
    <w:rsid w:val="00D87B91"/>
    <w:rsid w:val="00D90A13"/>
    <w:rsid w:val="00D90D5E"/>
    <w:rsid w:val="00D9549A"/>
    <w:rsid w:val="00DA4452"/>
    <w:rsid w:val="00DB00D3"/>
    <w:rsid w:val="00DB19CC"/>
    <w:rsid w:val="00DB3789"/>
    <w:rsid w:val="00DB38B1"/>
    <w:rsid w:val="00DB3FD6"/>
    <w:rsid w:val="00DB5B6C"/>
    <w:rsid w:val="00DC3608"/>
    <w:rsid w:val="00DC3A11"/>
    <w:rsid w:val="00DD598C"/>
    <w:rsid w:val="00DD7751"/>
    <w:rsid w:val="00DE6753"/>
    <w:rsid w:val="00DE6E76"/>
    <w:rsid w:val="00DF0EA6"/>
    <w:rsid w:val="00DF12A6"/>
    <w:rsid w:val="00DF4591"/>
    <w:rsid w:val="00E018C1"/>
    <w:rsid w:val="00E028BD"/>
    <w:rsid w:val="00E05107"/>
    <w:rsid w:val="00E07D5B"/>
    <w:rsid w:val="00E07E50"/>
    <w:rsid w:val="00E13238"/>
    <w:rsid w:val="00E13AF2"/>
    <w:rsid w:val="00E14CE3"/>
    <w:rsid w:val="00E23E4D"/>
    <w:rsid w:val="00E250D6"/>
    <w:rsid w:val="00E26732"/>
    <w:rsid w:val="00E34297"/>
    <w:rsid w:val="00E36C78"/>
    <w:rsid w:val="00E40BCF"/>
    <w:rsid w:val="00E4160E"/>
    <w:rsid w:val="00E43EFB"/>
    <w:rsid w:val="00E67DDA"/>
    <w:rsid w:val="00E718D4"/>
    <w:rsid w:val="00E75B79"/>
    <w:rsid w:val="00E76384"/>
    <w:rsid w:val="00E81AA6"/>
    <w:rsid w:val="00E83593"/>
    <w:rsid w:val="00E83FC6"/>
    <w:rsid w:val="00E85180"/>
    <w:rsid w:val="00E85C03"/>
    <w:rsid w:val="00E86BBA"/>
    <w:rsid w:val="00E87762"/>
    <w:rsid w:val="00E935AF"/>
    <w:rsid w:val="00E9612C"/>
    <w:rsid w:val="00EA5D96"/>
    <w:rsid w:val="00EA75E3"/>
    <w:rsid w:val="00EB2926"/>
    <w:rsid w:val="00EB2971"/>
    <w:rsid w:val="00EB68B8"/>
    <w:rsid w:val="00EB75B2"/>
    <w:rsid w:val="00EC2724"/>
    <w:rsid w:val="00EC3045"/>
    <w:rsid w:val="00EC37DE"/>
    <w:rsid w:val="00ED197F"/>
    <w:rsid w:val="00ED54DA"/>
    <w:rsid w:val="00ED5EB2"/>
    <w:rsid w:val="00EE1A3A"/>
    <w:rsid w:val="00EF0FE5"/>
    <w:rsid w:val="00EF789D"/>
    <w:rsid w:val="00F01975"/>
    <w:rsid w:val="00F01F2C"/>
    <w:rsid w:val="00F065B5"/>
    <w:rsid w:val="00F1045E"/>
    <w:rsid w:val="00F111BB"/>
    <w:rsid w:val="00F157AA"/>
    <w:rsid w:val="00F1684E"/>
    <w:rsid w:val="00F17FDF"/>
    <w:rsid w:val="00F249F0"/>
    <w:rsid w:val="00F257D7"/>
    <w:rsid w:val="00F318E2"/>
    <w:rsid w:val="00F327C7"/>
    <w:rsid w:val="00F3285E"/>
    <w:rsid w:val="00F35800"/>
    <w:rsid w:val="00F4063B"/>
    <w:rsid w:val="00F40BAC"/>
    <w:rsid w:val="00F41011"/>
    <w:rsid w:val="00F42327"/>
    <w:rsid w:val="00F433A5"/>
    <w:rsid w:val="00F45C0C"/>
    <w:rsid w:val="00F505A8"/>
    <w:rsid w:val="00F512F6"/>
    <w:rsid w:val="00F52D13"/>
    <w:rsid w:val="00F614A5"/>
    <w:rsid w:val="00F6277B"/>
    <w:rsid w:val="00F64FF6"/>
    <w:rsid w:val="00F666AA"/>
    <w:rsid w:val="00F812D5"/>
    <w:rsid w:val="00F8206C"/>
    <w:rsid w:val="00F85F66"/>
    <w:rsid w:val="00F867FD"/>
    <w:rsid w:val="00F86DF4"/>
    <w:rsid w:val="00F87F25"/>
    <w:rsid w:val="00F912A2"/>
    <w:rsid w:val="00F91742"/>
    <w:rsid w:val="00F93261"/>
    <w:rsid w:val="00F94A06"/>
    <w:rsid w:val="00F97198"/>
    <w:rsid w:val="00FA0CE8"/>
    <w:rsid w:val="00FA3BE4"/>
    <w:rsid w:val="00FA7154"/>
    <w:rsid w:val="00FB3057"/>
    <w:rsid w:val="00FB4CB8"/>
    <w:rsid w:val="00FB54F1"/>
    <w:rsid w:val="00FB5C1C"/>
    <w:rsid w:val="00FC2C4F"/>
    <w:rsid w:val="00FC3990"/>
    <w:rsid w:val="00FC6B7F"/>
    <w:rsid w:val="00FD1DF6"/>
    <w:rsid w:val="00FE3CD8"/>
    <w:rsid w:val="00FF0B67"/>
    <w:rsid w:val="00FF298A"/>
    <w:rsid w:val="00FF3F45"/>
    <w:rsid w:val="00FF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8C5A4"/>
  <w15:docId w15:val="{829A2EC8-3E48-4970-BB26-C9B4056F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81AA6"/>
    <w:pPr>
      <w:tabs>
        <w:tab w:val="left" w:pos="284"/>
      </w:tabs>
      <w:jc w:val="both"/>
    </w:pPr>
    <w:rPr>
      <w:rFonts w:ascii="Cambria" w:hAnsi="Cambria"/>
      <w:color w:val="000000"/>
    </w:rPr>
  </w:style>
  <w:style w:type="paragraph" w:styleId="1">
    <w:name w:val="heading 1"/>
    <w:basedOn w:val="a1"/>
    <w:next w:val="a1"/>
    <w:qFormat/>
    <w:rsid w:val="00302881"/>
    <w:pPr>
      <w:keepNext/>
      <w:spacing w:before="240" w:after="60"/>
      <w:outlineLvl w:val="0"/>
    </w:pPr>
    <w:rPr>
      <w:rFonts w:cs="Arial"/>
      <w:b/>
      <w:bCs/>
      <w:kern w:val="32"/>
      <w:sz w:val="24"/>
      <w:szCs w:val="32"/>
    </w:rPr>
  </w:style>
  <w:style w:type="paragraph" w:styleId="21">
    <w:name w:val="heading 2"/>
    <w:aliases w:val="Heading 2 (for acknowledgements)"/>
    <w:basedOn w:val="a1"/>
    <w:next w:val="a1"/>
    <w:qFormat/>
    <w:rsid w:val="0060489E"/>
    <w:pPr>
      <w:keepNext/>
      <w:spacing w:before="240" w:after="60"/>
      <w:outlineLvl w:val="1"/>
    </w:pPr>
    <w:rPr>
      <w:rFonts w:cs="Arial"/>
      <w:b/>
      <w:bCs/>
      <w:iCs/>
      <w:szCs w:val="28"/>
    </w:rPr>
  </w:style>
  <w:style w:type="paragraph" w:styleId="31">
    <w:name w:val="heading 3"/>
    <w:aliases w:val="Emphasized paragraph"/>
    <w:basedOn w:val="a1"/>
    <w:next w:val="a1"/>
    <w:qFormat/>
    <w:rsid w:val="00B01438"/>
    <w:pPr>
      <w:keepNext/>
      <w:spacing w:before="120" w:after="60"/>
      <w:outlineLvl w:val="2"/>
    </w:pPr>
    <w:rPr>
      <w:rFonts w:cs="Arial"/>
      <w:bCs/>
      <w:szCs w:val="26"/>
    </w:rPr>
  </w:style>
  <w:style w:type="paragraph" w:styleId="41">
    <w:name w:val="heading 4"/>
    <w:basedOn w:val="a1"/>
    <w:next w:val="a1"/>
    <w:rsid w:val="00FA7154"/>
    <w:pPr>
      <w:keepNext/>
      <w:spacing w:before="240" w:after="60"/>
      <w:outlineLvl w:val="3"/>
    </w:pPr>
    <w:rPr>
      <w:b/>
      <w:bCs/>
      <w:sz w:val="28"/>
      <w:szCs w:val="28"/>
    </w:rPr>
  </w:style>
  <w:style w:type="paragraph" w:styleId="51">
    <w:name w:val="heading 5"/>
    <w:basedOn w:val="a1"/>
    <w:next w:val="a1"/>
    <w:rsid w:val="00FA7154"/>
    <w:pPr>
      <w:spacing w:before="240" w:after="60"/>
      <w:outlineLvl w:val="4"/>
    </w:pPr>
    <w:rPr>
      <w:b/>
      <w:bCs/>
      <w:i/>
      <w:iCs/>
      <w:sz w:val="26"/>
      <w:szCs w:val="26"/>
    </w:rPr>
  </w:style>
  <w:style w:type="paragraph" w:styleId="6">
    <w:name w:val="heading 6"/>
    <w:basedOn w:val="a1"/>
    <w:next w:val="a1"/>
    <w:rsid w:val="00FA7154"/>
    <w:pPr>
      <w:spacing w:before="240" w:after="60"/>
      <w:outlineLvl w:val="5"/>
    </w:pPr>
    <w:rPr>
      <w:b/>
      <w:bCs/>
      <w:sz w:val="22"/>
      <w:szCs w:val="22"/>
    </w:rPr>
  </w:style>
  <w:style w:type="paragraph" w:styleId="7">
    <w:name w:val="heading 7"/>
    <w:basedOn w:val="a1"/>
    <w:next w:val="a1"/>
    <w:rsid w:val="00FA7154"/>
    <w:pPr>
      <w:spacing w:before="240" w:after="60"/>
      <w:outlineLvl w:val="6"/>
    </w:pPr>
    <w:rPr>
      <w:szCs w:val="24"/>
    </w:rPr>
  </w:style>
  <w:style w:type="paragraph" w:styleId="8">
    <w:name w:val="heading 8"/>
    <w:basedOn w:val="a1"/>
    <w:next w:val="a1"/>
    <w:rsid w:val="00FA7154"/>
    <w:pPr>
      <w:spacing w:before="240" w:after="60"/>
      <w:outlineLvl w:val="7"/>
    </w:pPr>
    <w:rPr>
      <w:i/>
      <w:iCs/>
      <w:szCs w:val="24"/>
    </w:rPr>
  </w:style>
  <w:style w:type="paragraph" w:styleId="9">
    <w:name w:val="heading 9"/>
    <w:basedOn w:val="a1"/>
    <w:next w:val="a1"/>
    <w:rsid w:val="00FA7154"/>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semiHidden/>
    <w:rsid w:val="002E594B"/>
  </w:style>
  <w:style w:type="character" w:styleId="a6">
    <w:name w:val="footnote reference"/>
    <w:basedOn w:val="a2"/>
    <w:semiHidden/>
    <w:rsid w:val="002E594B"/>
    <w:rPr>
      <w:vertAlign w:val="superscript"/>
    </w:rPr>
  </w:style>
  <w:style w:type="character" w:styleId="a7">
    <w:name w:val="FollowedHyperlink"/>
    <w:basedOn w:val="a2"/>
    <w:rsid w:val="00FA7154"/>
    <w:rPr>
      <w:color w:val="800080"/>
      <w:u w:val="single"/>
    </w:rPr>
  </w:style>
  <w:style w:type="paragraph" w:styleId="a8">
    <w:name w:val="Balloon Text"/>
    <w:basedOn w:val="a1"/>
    <w:semiHidden/>
    <w:rsid w:val="00FA7154"/>
    <w:rPr>
      <w:rFonts w:ascii="Tahoma" w:hAnsi="Tahoma" w:cs="Tahoma"/>
      <w:sz w:val="16"/>
      <w:szCs w:val="16"/>
    </w:rPr>
  </w:style>
  <w:style w:type="paragraph" w:styleId="a9">
    <w:name w:val="Block Text"/>
    <w:basedOn w:val="a1"/>
    <w:rsid w:val="00FA7154"/>
    <w:pPr>
      <w:spacing w:after="120"/>
      <w:ind w:left="1440" w:right="1440"/>
    </w:pPr>
  </w:style>
  <w:style w:type="paragraph" w:styleId="aa">
    <w:name w:val="Body Text"/>
    <w:basedOn w:val="a1"/>
    <w:rsid w:val="00FA7154"/>
    <w:pPr>
      <w:spacing w:after="120"/>
    </w:pPr>
  </w:style>
  <w:style w:type="paragraph" w:styleId="22">
    <w:name w:val="Body Text 2"/>
    <w:basedOn w:val="a1"/>
    <w:rsid w:val="00FA7154"/>
    <w:pPr>
      <w:spacing w:after="120" w:line="480" w:lineRule="auto"/>
    </w:pPr>
  </w:style>
  <w:style w:type="paragraph" w:styleId="32">
    <w:name w:val="Body Text 3"/>
    <w:basedOn w:val="a1"/>
    <w:rsid w:val="00FA7154"/>
    <w:pPr>
      <w:spacing w:after="120"/>
    </w:pPr>
    <w:rPr>
      <w:sz w:val="16"/>
      <w:szCs w:val="16"/>
    </w:rPr>
  </w:style>
  <w:style w:type="paragraph" w:styleId="ab">
    <w:name w:val="Body Text First Indent"/>
    <w:basedOn w:val="aa"/>
    <w:rsid w:val="00FA7154"/>
    <w:pPr>
      <w:ind w:firstLine="210"/>
    </w:pPr>
  </w:style>
  <w:style w:type="paragraph" w:styleId="ac">
    <w:name w:val="Body Text Indent"/>
    <w:basedOn w:val="a1"/>
    <w:rsid w:val="00FA7154"/>
    <w:pPr>
      <w:spacing w:after="120"/>
      <w:ind w:left="360"/>
    </w:pPr>
  </w:style>
  <w:style w:type="paragraph" w:styleId="23">
    <w:name w:val="Body Text First Indent 2"/>
    <w:basedOn w:val="ac"/>
    <w:rsid w:val="00FA7154"/>
    <w:pPr>
      <w:ind w:firstLine="210"/>
    </w:pPr>
  </w:style>
  <w:style w:type="paragraph" w:styleId="24">
    <w:name w:val="Body Text Indent 2"/>
    <w:basedOn w:val="a1"/>
    <w:rsid w:val="00FA7154"/>
    <w:pPr>
      <w:spacing w:after="120" w:line="480" w:lineRule="auto"/>
      <w:ind w:left="360"/>
    </w:pPr>
  </w:style>
  <w:style w:type="paragraph" w:styleId="33">
    <w:name w:val="Body Text Indent 3"/>
    <w:basedOn w:val="a1"/>
    <w:rsid w:val="00FA7154"/>
    <w:pPr>
      <w:spacing w:after="120"/>
      <w:ind w:left="360"/>
    </w:pPr>
    <w:rPr>
      <w:sz w:val="16"/>
      <w:szCs w:val="16"/>
    </w:rPr>
  </w:style>
  <w:style w:type="paragraph" w:styleId="ad">
    <w:name w:val="caption"/>
    <w:basedOn w:val="a1"/>
    <w:next w:val="a1"/>
    <w:rsid w:val="00FA7154"/>
    <w:rPr>
      <w:b/>
      <w:bCs/>
    </w:rPr>
  </w:style>
  <w:style w:type="paragraph" w:styleId="ae">
    <w:name w:val="Closing"/>
    <w:basedOn w:val="a1"/>
    <w:rsid w:val="00FA7154"/>
    <w:pPr>
      <w:ind w:left="4320"/>
    </w:pPr>
  </w:style>
  <w:style w:type="paragraph" w:styleId="af">
    <w:name w:val="annotation text"/>
    <w:basedOn w:val="a1"/>
    <w:semiHidden/>
    <w:rsid w:val="00FA7154"/>
  </w:style>
  <w:style w:type="paragraph" w:styleId="af0">
    <w:name w:val="annotation subject"/>
    <w:basedOn w:val="af"/>
    <w:next w:val="af"/>
    <w:semiHidden/>
    <w:rsid w:val="00FA7154"/>
    <w:rPr>
      <w:b/>
      <w:bCs/>
    </w:rPr>
  </w:style>
  <w:style w:type="paragraph" w:styleId="af1">
    <w:name w:val="Date"/>
    <w:basedOn w:val="a1"/>
    <w:next w:val="a1"/>
    <w:rsid w:val="00FA7154"/>
  </w:style>
  <w:style w:type="paragraph" w:styleId="af2">
    <w:name w:val="Document Map"/>
    <w:basedOn w:val="a1"/>
    <w:semiHidden/>
    <w:rsid w:val="00FA7154"/>
    <w:pPr>
      <w:shd w:val="clear" w:color="auto" w:fill="000080"/>
    </w:pPr>
    <w:rPr>
      <w:rFonts w:ascii="Tahoma" w:hAnsi="Tahoma" w:cs="Tahoma"/>
    </w:rPr>
  </w:style>
  <w:style w:type="paragraph" w:styleId="af3">
    <w:name w:val="E-mail Signature"/>
    <w:basedOn w:val="a1"/>
    <w:rsid w:val="00FA7154"/>
  </w:style>
  <w:style w:type="paragraph" w:styleId="af4">
    <w:name w:val="endnote text"/>
    <w:basedOn w:val="a1"/>
    <w:semiHidden/>
    <w:rsid w:val="00FA7154"/>
  </w:style>
  <w:style w:type="paragraph" w:styleId="af5">
    <w:name w:val="envelope address"/>
    <w:basedOn w:val="a1"/>
    <w:rsid w:val="00FA7154"/>
    <w:pPr>
      <w:framePr w:w="7920" w:h="1980" w:hRule="exact" w:hSpace="180" w:wrap="auto" w:hAnchor="page" w:xAlign="center" w:yAlign="bottom"/>
      <w:ind w:left="2880"/>
    </w:pPr>
    <w:rPr>
      <w:rFonts w:ascii="Arial" w:hAnsi="Arial" w:cs="Arial"/>
      <w:szCs w:val="24"/>
    </w:rPr>
  </w:style>
  <w:style w:type="paragraph" w:styleId="25">
    <w:name w:val="envelope return"/>
    <w:basedOn w:val="a1"/>
    <w:rsid w:val="00FA7154"/>
    <w:rPr>
      <w:rFonts w:ascii="Arial" w:hAnsi="Arial" w:cs="Arial"/>
    </w:rPr>
  </w:style>
  <w:style w:type="paragraph" w:styleId="af6">
    <w:name w:val="footer"/>
    <w:basedOn w:val="a1"/>
    <w:rsid w:val="00FA7154"/>
    <w:pPr>
      <w:tabs>
        <w:tab w:val="center" w:pos="4320"/>
        <w:tab w:val="right" w:pos="8640"/>
      </w:tabs>
    </w:pPr>
  </w:style>
  <w:style w:type="paragraph" w:styleId="af7">
    <w:name w:val="header"/>
    <w:basedOn w:val="a1"/>
    <w:link w:val="af8"/>
    <w:rsid w:val="00FA7154"/>
    <w:pPr>
      <w:tabs>
        <w:tab w:val="center" w:pos="4320"/>
        <w:tab w:val="right" w:pos="8640"/>
      </w:tabs>
    </w:pPr>
  </w:style>
  <w:style w:type="paragraph" w:styleId="HTML">
    <w:name w:val="HTML Address"/>
    <w:basedOn w:val="a1"/>
    <w:rsid w:val="00FA7154"/>
    <w:rPr>
      <w:i/>
      <w:iCs/>
    </w:rPr>
  </w:style>
  <w:style w:type="paragraph" w:styleId="HTML0">
    <w:name w:val="HTML Preformatted"/>
    <w:basedOn w:val="a1"/>
    <w:rsid w:val="00FA7154"/>
    <w:rPr>
      <w:rFonts w:ascii="Courier New" w:hAnsi="Courier New" w:cs="Courier New"/>
    </w:rPr>
  </w:style>
  <w:style w:type="paragraph" w:styleId="10">
    <w:name w:val="index 1"/>
    <w:basedOn w:val="a1"/>
    <w:next w:val="a1"/>
    <w:autoRedefine/>
    <w:semiHidden/>
    <w:rsid w:val="00FA7154"/>
    <w:pPr>
      <w:ind w:left="240" w:hanging="240"/>
    </w:pPr>
  </w:style>
  <w:style w:type="paragraph" w:styleId="26">
    <w:name w:val="index 2"/>
    <w:basedOn w:val="a1"/>
    <w:next w:val="a1"/>
    <w:autoRedefine/>
    <w:semiHidden/>
    <w:rsid w:val="00FA7154"/>
    <w:pPr>
      <w:ind w:left="480" w:hanging="240"/>
    </w:pPr>
  </w:style>
  <w:style w:type="paragraph" w:styleId="34">
    <w:name w:val="index 3"/>
    <w:basedOn w:val="a1"/>
    <w:next w:val="a1"/>
    <w:autoRedefine/>
    <w:semiHidden/>
    <w:rsid w:val="00FA7154"/>
    <w:pPr>
      <w:ind w:left="720" w:hanging="240"/>
    </w:pPr>
  </w:style>
  <w:style w:type="paragraph" w:styleId="42">
    <w:name w:val="index 4"/>
    <w:basedOn w:val="a1"/>
    <w:next w:val="a1"/>
    <w:autoRedefine/>
    <w:semiHidden/>
    <w:rsid w:val="00FA7154"/>
    <w:pPr>
      <w:ind w:left="960" w:hanging="240"/>
    </w:pPr>
  </w:style>
  <w:style w:type="paragraph" w:styleId="52">
    <w:name w:val="index 5"/>
    <w:basedOn w:val="a1"/>
    <w:next w:val="a1"/>
    <w:autoRedefine/>
    <w:semiHidden/>
    <w:rsid w:val="00FA7154"/>
    <w:pPr>
      <w:ind w:left="1200" w:hanging="240"/>
    </w:pPr>
  </w:style>
  <w:style w:type="paragraph" w:styleId="60">
    <w:name w:val="index 6"/>
    <w:basedOn w:val="a1"/>
    <w:next w:val="a1"/>
    <w:autoRedefine/>
    <w:semiHidden/>
    <w:rsid w:val="00FA7154"/>
    <w:pPr>
      <w:ind w:left="1440" w:hanging="240"/>
    </w:pPr>
  </w:style>
  <w:style w:type="paragraph" w:styleId="70">
    <w:name w:val="index 7"/>
    <w:basedOn w:val="a1"/>
    <w:next w:val="a1"/>
    <w:autoRedefine/>
    <w:semiHidden/>
    <w:rsid w:val="00FA7154"/>
    <w:pPr>
      <w:ind w:left="1680" w:hanging="240"/>
    </w:pPr>
  </w:style>
  <w:style w:type="paragraph" w:styleId="80">
    <w:name w:val="index 8"/>
    <w:basedOn w:val="a1"/>
    <w:next w:val="a1"/>
    <w:autoRedefine/>
    <w:semiHidden/>
    <w:rsid w:val="00FA7154"/>
    <w:pPr>
      <w:ind w:left="1920" w:hanging="240"/>
    </w:pPr>
  </w:style>
  <w:style w:type="paragraph" w:styleId="90">
    <w:name w:val="index 9"/>
    <w:basedOn w:val="a1"/>
    <w:next w:val="a1"/>
    <w:autoRedefine/>
    <w:semiHidden/>
    <w:rsid w:val="00FA7154"/>
    <w:pPr>
      <w:ind w:left="2160" w:hanging="240"/>
    </w:pPr>
  </w:style>
  <w:style w:type="paragraph" w:styleId="af9">
    <w:name w:val="index heading"/>
    <w:basedOn w:val="a1"/>
    <w:next w:val="10"/>
    <w:semiHidden/>
    <w:rsid w:val="00FA7154"/>
    <w:rPr>
      <w:rFonts w:ascii="Arial" w:hAnsi="Arial" w:cs="Arial"/>
      <w:b/>
      <w:bCs/>
    </w:rPr>
  </w:style>
  <w:style w:type="paragraph" w:styleId="afa">
    <w:name w:val="List"/>
    <w:basedOn w:val="a1"/>
    <w:rsid w:val="00FA7154"/>
    <w:pPr>
      <w:ind w:left="360" w:hanging="360"/>
    </w:pPr>
  </w:style>
  <w:style w:type="paragraph" w:styleId="27">
    <w:name w:val="List 2"/>
    <w:basedOn w:val="a1"/>
    <w:rsid w:val="00FA7154"/>
    <w:pPr>
      <w:ind w:left="720" w:hanging="360"/>
    </w:pPr>
  </w:style>
  <w:style w:type="paragraph" w:styleId="35">
    <w:name w:val="List 3"/>
    <w:basedOn w:val="a1"/>
    <w:rsid w:val="00FA7154"/>
    <w:pPr>
      <w:ind w:left="1080" w:hanging="360"/>
    </w:pPr>
  </w:style>
  <w:style w:type="paragraph" w:styleId="43">
    <w:name w:val="List 4"/>
    <w:basedOn w:val="a1"/>
    <w:rsid w:val="00FA7154"/>
    <w:pPr>
      <w:ind w:left="1440" w:hanging="360"/>
    </w:pPr>
  </w:style>
  <w:style w:type="paragraph" w:styleId="53">
    <w:name w:val="List 5"/>
    <w:basedOn w:val="a1"/>
    <w:rsid w:val="00FA7154"/>
    <w:pPr>
      <w:ind w:left="1800" w:hanging="360"/>
    </w:pPr>
  </w:style>
  <w:style w:type="paragraph" w:styleId="a0">
    <w:name w:val="List Bullet"/>
    <w:basedOn w:val="a1"/>
    <w:autoRedefine/>
    <w:rsid w:val="00903AD6"/>
    <w:pPr>
      <w:numPr>
        <w:numId w:val="18"/>
      </w:numPr>
      <w:spacing w:before="120" w:after="120"/>
      <w:ind w:right="561"/>
      <w:contextualSpacing/>
    </w:pPr>
  </w:style>
  <w:style w:type="paragraph" w:styleId="20">
    <w:name w:val="List Bullet 2"/>
    <w:basedOn w:val="a1"/>
    <w:rsid w:val="00FA7154"/>
    <w:pPr>
      <w:numPr>
        <w:numId w:val="2"/>
      </w:numPr>
    </w:pPr>
  </w:style>
  <w:style w:type="paragraph" w:styleId="30">
    <w:name w:val="List Bullet 3"/>
    <w:basedOn w:val="a1"/>
    <w:rsid w:val="00FA7154"/>
    <w:pPr>
      <w:numPr>
        <w:numId w:val="3"/>
      </w:numPr>
    </w:pPr>
  </w:style>
  <w:style w:type="paragraph" w:styleId="40">
    <w:name w:val="List Bullet 4"/>
    <w:basedOn w:val="a1"/>
    <w:rsid w:val="00FA7154"/>
    <w:pPr>
      <w:numPr>
        <w:numId w:val="4"/>
      </w:numPr>
    </w:pPr>
  </w:style>
  <w:style w:type="paragraph" w:styleId="50">
    <w:name w:val="List Bullet 5"/>
    <w:basedOn w:val="a1"/>
    <w:rsid w:val="00FA7154"/>
    <w:pPr>
      <w:numPr>
        <w:numId w:val="5"/>
      </w:numPr>
    </w:pPr>
  </w:style>
  <w:style w:type="paragraph" w:styleId="afb">
    <w:name w:val="List Continue"/>
    <w:basedOn w:val="a1"/>
    <w:rsid w:val="00FA7154"/>
    <w:pPr>
      <w:spacing w:after="120"/>
      <w:ind w:left="360"/>
    </w:pPr>
  </w:style>
  <w:style w:type="paragraph" w:styleId="28">
    <w:name w:val="List Continue 2"/>
    <w:basedOn w:val="a1"/>
    <w:rsid w:val="00FA7154"/>
    <w:pPr>
      <w:spacing w:after="120"/>
      <w:ind w:left="720"/>
    </w:pPr>
  </w:style>
  <w:style w:type="paragraph" w:styleId="36">
    <w:name w:val="List Continue 3"/>
    <w:basedOn w:val="a1"/>
    <w:rsid w:val="00FA7154"/>
    <w:pPr>
      <w:spacing w:after="120"/>
      <w:ind w:left="1080"/>
    </w:pPr>
  </w:style>
  <w:style w:type="paragraph" w:styleId="44">
    <w:name w:val="List Continue 4"/>
    <w:basedOn w:val="a1"/>
    <w:rsid w:val="00FA7154"/>
    <w:pPr>
      <w:spacing w:after="120"/>
      <w:ind w:left="1440"/>
    </w:pPr>
  </w:style>
  <w:style w:type="paragraph" w:styleId="54">
    <w:name w:val="List Continue 5"/>
    <w:basedOn w:val="a1"/>
    <w:rsid w:val="00FA7154"/>
    <w:pPr>
      <w:spacing w:after="120"/>
      <w:ind w:left="1800"/>
    </w:pPr>
  </w:style>
  <w:style w:type="paragraph" w:styleId="a">
    <w:name w:val="List Number"/>
    <w:basedOn w:val="a1"/>
    <w:rsid w:val="00CF7643"/>
    <w:pPr>
      <w:numPr>
        <w:numId w:val="17"/>
      </w:numPr>
      <w:spacing w:before="120" w:after="120"/>
      <w:ind w:right="561"/>
      <w:contextualSpacing/>
    </w:pPr>
  </w:style>
  <w:style w:type="paragraph" w:styleId="2">
    <w:name w:val="List Number 2"/>
    <w:basedOn w:val="a1"/>
    <w:rsid w:val="00FA7154"/>
    <w:pPr>
      <w:numPr>
        <w:numId w:val="7"/>
      </w:numPr>
    </w:pPr>
  </w:style>
  <w:style w:type="paragraph" w:styleId="3">
    <w:name w:val="List Number 3"/>
    <w:basedOn w:val="a1"/>
    <w:rsid w:val="00FA7154"/>
    <w:pPr>
      <w:numPr>
        <w:numId w:val="8"/>
      </w:numPr>
    </w:pPr>
  </w:style>
  <w:style w:type="paragraph" w:styleId="4">
    <w:name w:val="List Number 4"/>
    <w:basedOn w:val="a1"/>
    <w:rsid w:val="00FA7154"/>
    <w:pPr>
      <w:numPr>
        <w:numId w:val="9"/>
      </w:numPr>
    </w:pPr>
  </w:style>
  <w:style w:type="paragraph" w:styleId="5">
    <w:name w:val="List Number 5"/>
    <w:basedOn w:val="a1"/>
    <w:rsid w:val="00FA7154"/>
    <w:pPr>
      <w:numPr>
        <w:numId w:val="10"/>
      </w:numPr>
    </w:pPr>
  </w:style>
  <w:style w:type="paragraph" w:styleId="afc">
    <w:name w:val="macro"/>
    <w:semiHidden/>
    <w:rsid w:val="00FA71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afd">
    <w:name w:val="Message Header"/>
    <w:basedOn w:val="a1"/>
    <w:rsid w:val="00FA715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afe">
    <w:name w:val="Normal (Web)"/>
    <w:basedOn w:val="a1"/>
    <w:rsid w:val="00FA7154"/>
    <w:rPr>
      <w:szCs w:val="24"/>
    </w:rPr>
  </w:style>
  <w:style w:type="paragraph" w:styleId="aff">
    <w:name w:val="Normal Indent"/>
    <w:basedOn w:val="a1"/>
    <w:rsid w:val="00FA7154"/>
    <w:pPr>
      <w:ind w:left="720"/>
    </w:pPr>
  </w:style>
  <w:style w:type="paragraph" w:styleId="aff0">
    <w:name w:val="Note Heading"/>
    <w:basedOn w:val="a1"/>
    <w:next w:val="a1"/>
    <w:rsid w:val="00FA7154"/>
  </w:style>
  <w:style w:type="paragraph" w:styleId="aff1">
    <w:name w:val="Plain Text"/>
    <w:basedOn w:val="a1"/>
    <w:rsid w:val="00FA7154"/>
    <w:rPr>
      <w:rFonts w:ascii="Courier New" w:hAnsi="Courier New" w:cs="Courier New"/>
    </w:rPr>
  </w:style>
  <w:style w:type="paragraph" w:styleId="aff2">
    <w:name w:val="Salutation"/>
    <w:basedOn w:val="a1"/>
    <w:next w:val="a1"/>
    <w:rsid w:val="00FA7154"/>
  </w:style>
  <w:style w:type="paragraph" w:styleId="aff3">
    <w:name w:val="Signature"/>
    <w:basedOn w:val="a1"/>
    <w:rsid w:val="00FA7154"/>
    <w:pPr>
      <w:ind w:left="4320"/>
    </w:pPr>
  </w:style>
  <w:style w:type="paragraph" w:styleId="aff4">
    <w:name w:val="Subtitle"/>
    <w:basedOn w:val="a1"/>
    <w:rsid w:val="00FA7154"/>
    <w:pPr>
      <w:spacing w:after="60"/>
      <w:jc w:val="center"/>
      <w:outlineLvl w:val="1"/>
    </w:pPr>
    <w:rPr>
      <w:rFonts w:ascii="Arial" w:hAnsi="Arial" w:cs="Arial"/>
      <w:szCs w:val="24"/>
    </w:rPr>
  </w:style>
  <w:style w:type="paragraph" w:styleId="aff5">
    <w:name w:val="table of authorities"/>
    <w:basedOn w:val="a1"/>
    <w:next w:val="a1"/>
    <w:semiHidden/>
    <w:rsid w:val="00FA7154"/>
    <w:pPr>
      <w:ind w:left="240" w:hanging="240"/>
    </w:pPr>
  </w:style>
  <w:style w:type="paragraph" w:styleId="aff6">
    <w:name w:val="table of figures"/>
    <w:basedOn w:val="a1"/>
    <w:next w:val="a1"/>
    <w:semiHidden/>
    <w:rsid w:val="00FA7154"/>
  </w:style>
  <w:style w:type="paragraph" w:styleId="aff7">
    <w:name w:val="Title"/>
    <w:basedOn w:val="a1"/>
    <w:qFormat/>
    <w:rsid w:val="003D758F"/>
    <w:pPr>
      <w:spacing w:before="120"/>
      <w:jc w:val="left"/>
    </w:pPr>
    <w:rPr>
      <w:b/>
      <w:sz w:val="28"/>
      <w:szCs w:val="28"/>
    </w:rPr>
  </w:style>
  <w:style w:type="paragraph" w:styleId="aff8">
    <w:name w:val="toa heading"/>
    <w:basedOn w:val="a1"/>
    <w:next w:val="a1"/>
    <w:semiHidden/>
    <w:rsid w:val="00FA7154"/>
    <w:pPr>
      <w:spacing w:before="120"/>
    </w:pPr>
    <w:rPr>
      <w:rFonts w:ascii="Arial" w:hAnsi="Arial" w:cs="Arial"/>
      <w:b/>
      <w:bCs/>
      <w:szCs w:val="24"/>
    </w:rPr>
  </w:style>
  <w:style w:type="paragraph" w:styleId="11">
    <w:name w:val="toc 1"/>
    <w:basedOn w:val="a1"/>
    <w:next w:val="a1"/>
    <w:autoRedefine/>
    <w:semiHidden/>
    <w:rsid w:val="00FA7154"/>
  </w:style>
  <w:style w:type="paragraph" w:styleId="29">
    <w:name w:val="toc 2"/>
    <w:basedOn w:val="a1"/>
    <w:next w:val="a1"/>
    <w:autoRedefine/>
    <w:semiHidden/>
    <w:rsid w:val="00FA7154"/>
    <w:pPr>
      <w:ind w:left="240"/>
    </w:pPr>
  </w:style>
  <w:style w:type="paragraph" w:styleId="37">
    <w:name w:val="toc 3"/>
    <w:basedOn w:val="a1"/>
    <w:next w:val="a1"/>
    <w:autoRedefine/>
    <w:semiHidden/>
    <w:rsid w:val="00FA7154"/>
    <w:pPr>
      <w:ind w:left="480"/>
    </w:pPr>
  </w:style>
  <w:style w:type="paragraph" w:styleId="45">
    <w:name w:val="toc 4"/>
    <w:basedOn w:val="a1"/>
    <w:next w:val="a1"/>
    <w:autoRedefine/>
    <w:semiHidden/>
    <w:rsid w:val="00FA7154"/>
    <w:pPr>
      <w:ind w:left="720"/>
    </w:pPr>
  </w:style>
  <w:style w:type="paragraph" w:styleId="55">
    <w:name w:val="toc 5"/>
    <w:basedOn w:val="a1"/>
    <w:next w:val="a1"/>
    <w:autoRedefine/>
    <w:semiHidden/>
    <w:rsid w:val="00FA7154"/>
    <w:pPr>
      <w:ind w:left="960"/>
    </w:pPr>
  </w:style>
  <w:style w:type="paragraph" w:styleId="61">
    <w:name w:val="toc 6"/>
    <w:basedOn w:val="a1"/>
    <w:next w:val="a1"/>
    <w:autoRedefine/>
    <w:semiHidden/>
    <w:rsid w:val="00FA7154"/>
    <w:pPr>
      <w:ind w:left="1200"/>
    </w:pPr>
  </w:style>
  <w:style w:type="paragraph" w:styleId="71">
    <w:name w:val="toc 7"/>
    <w:basedOn w:val="a1"/>
    <w:next w:val="a1"/>
    <w:autoRedefine/>
    <w:semiHidden/>
    <w:rsid w:val="00FA7154"/>
    <w:pPr>
      <w:ind w:left="1440"/>
    </w:pPr>
  </w:style>
  <w:style w:type="paragraph" w:styleId="81">
    <w:name w:val="toc 8"/>
    <w:basedOn w:val="a1"/>
    <w:next w:val="a1"/>
    <w:autoRedefine/>
    <w:semiHidden/>
    <w:rsid w:val="00FA7154"/>
    <w:pPr>
      <w:ind w:left="1680"/>
    </w:pPr>
  </w:style>
  <w:style w:type="paragraph" w:styleId="91">
    <w:name w:val="toc 9"/>
    <w:basedOn w:val="a1"/>
    <w:next w:val="a1"/>
    <w:autoRedefine/>
    <w:semiHidden/>
    <w:rsid w:val="00FA7154"/>
    <w:pPr>
      <w:ind w:left="1920"/>
    </w:pPr>
  </w:style>
  <w:style w:type="character" w:styleId="aff9">
    <w:name w:val="page number"/>
    <w:basedOn w:val="a2"/>
    <w:rsid w:val="00194849"/>
  </w:style>
  <w:style w:type="paragraph" w:customStyle="1" w:styleId="equationNum">
    <w:name w:val="equationNum"/>
    <w:basedOn w:val="a1"/>
    <w:next w:val="a1"/>
    <w:rsid w:val="00A86C22"/>
    <w:pPr>
      <w:keepLines/>
      <w:autoSpaceDE w:val="0"/>
      <w:autoSpaceDN w:val="0"/>
      <w:adjustRightInd w:val="0"/>
      <w:spacing w:before="120" w:after="120"/>
    </w:pPr>
    <w:rPr>
      <w:noProof/>
      <w:szCs w:val="24"/>
    </w:rPr>
  </w:style>
  <w:style w:type="paragraph" w:customStyle="1" w:styleId="References">
    <w:name w:val="References"/>
    <w:basedOn w:val="a1"/>
    <w:link w:val="ReferencesChar"/>
    <w:qFormat/>
    <w:rsid w:val="008646B7"/>
    <w:pPr>
      <w:ind w:left="357" w:hanging="357"/>
    </w:pPr>
  </w:style>
  <w:style w:type="paragraph" w:customStyle="1" w:styleId="Abstract">
    <w:name w:val="Abstract"/>
    <w:basedOn w:val="a1"/>
    <w:link w:val="AbstractChar"/>
    <w:qFormat/>
    <w:rsid w:val="0057317D"/>
    <w:pPr>
      <w:ind w:left="567" w:right="567"/>
    </w:pPr>
  </w:style>
  <w:style w:type="character" w:customStyle="1" w:styleId="ReferencesChar">
    <w:name w:val="References Char"/>
    <w:basedOn w:val="a2"/>
    <w:link w:val="References"/>
    <w:rsid w:val="008646B7"/>
    <w:rPr>
      <w:rFonts w:ascii="Georgia" w:hAnsi="Georgia"/>
      <w:color w:val="000000"/>
    </w:rPr>
  </w:style>
  <w:style w:type="character" w:customStyle="1" w:styleId="AbstractChar">
    <w:name w:val="Abstract Char"/>
    <w:basedOn w:val="a2"/>
    <w:link w:val="Abstract"/>
    <w:rsid w:val="0057317D"/>
    <w:rPr>
      <w:rFonts w:ascii="Georgia" w:hAnsi="Georgia"/>
      <w:color w:val="000000"/>
    </w:rPr>
  </w:style>
  <w:style w:type="character" w:customStyle="1" w:styleId="af8">
    <w:name w:val="Верхний колонтитул Знак"/>
    <w:basedOn w:val="a2"/>
    <w:link w:val="af7"/>
    <w:rsid w:val="00F3285E"/>
    <w:rPr>
      <w:rFonts w:ascii="Georgia" w:hAnsi="Georgia"/>
      <w:color w:val="000000"/>
    </w:rPr>
  </w:style>
  <w:style w:type="paragraph" w:styleId="2a">
    <w:name w:val="Quote"/>
    <w:basedOn w:val="a1"/>
    <w:next w:val="a1"/>
    <w:link w:val="2b"/>
    <w:uiPriority w:val="29"/>
    <w:qFormat/>
    <w:rsid w:val="0059678F"/>
    <w:pPr>
      <w:spacing w:before="120" w:after="120"/>
      <w:ind w:left="561" w:right="561"/>
    </w:pPr>
  </w:style>
  <w:style w:type="character" w:customStyle="1" w:styleId="2b">
    <w:name w:val="Цитата 2 Знак"/>
    <w:basedOn w:val="a2"/>
    <w:link w:val="2a"/>
    <w:uiPriority w:val="29"/>
    <w:rsid w:val="0059678F"/>
    <w:rPr>
      <w:rFonts w:ascii="Georgia" w:hAnsi="Georgia"/>
      <w:color w:val="000000"/>
    </w:rPr>
  </w:style>
  <w:style w:type="paragraph" w:customStyle="1" w:styleId="ParagraphHeading">
    <w:name w:val="Paragraph Heading"/>
    <w:basedOn w:val="31"/>
    <w:autoRedefine/>
    <w:qFormat/>
    <w:rsid w:val="009D36AD"/>
    <w:pPr>
      <w:spacing w:before="60" w:after="0"/>
    </w:pPr>
    <w:rPr>
      <w:rFonts w:asciiTheme="majorHAnsi" w:hAnsiTheme="majorHAnsi"/>
      <w:b/>
    </w:rPr>
  </w:style>
  <w:style w:type="paragraph" w:customStyle="1" w:styleId="Acknowledgements">
    <w:name w:val="Acknowledgements"/>
    <w:basedOn w:val="1"/>
    <w:next w:val="a1"/>
    <w:qFormat/>
    <w:rsid w:val="00AA345D"/>
    <w:rPr>
      <w:sz w:val="20"/>
      <w:szCs w:val="20"/>
    </w:rPr>
  </w:style>
  <w:style w:type="paragraph" w:customStyle="1" w:styleId="Para1noindent">
    <w:name w:val="Para 1 (no indent)"/>
    <w:basedOn w:val="a1"/>
    <w:autoRedefine/>
    <w:qFormat/>
    <w:rsid w:val="00C2409D"/>
    <w:rPr>
      <w:rFonts w:asciiTheme="majorHAnsi" w:hAnsiTheme="majorHAnsi"/>
    </w:rPr>
  </w:style>
  <w:style w:type="paragraph" w:customStyle="1" w:styleId="Para2indented">
    <w:name w:val="Para 2 (indented)"/>
    <w:basedOn w:val="Para1noindent"/>
    <w:autoRedefine/>
    <w:qFormat/>
    <w:rsid w:val="007766F3"/>
    <w:pPr>
      <w:spacing w:after="20"/>
      <w:ind w:firstLine="284"/>
    </w:pPr>
    <w:rPr>
      <w:noProof/>
      <w:lang w:val="en-GB"/>
    </w:rPr>
  </w:style>
  <w:style w:type="character" w:styleId="affa">
    <w:name w:val="Hyperlink"/>
    <w:basedOn w:val="a2"/>
    <w:unhideWhenUsed/>
    <w:rsid w:val="00712CE8"/>
    <w:rPr>
      <w:color w:val="0000FF" w:themeColor="hyperlink"/>
      <w:u w:val="single"/>
    </w:rPr>
  </w:style>
  <w:style w:type="character" w:styleId="affb">
    <w:name w:val="Unresolved Mention"/>
    <w:basedOn w:val="a2"/>
    <w:uiPriority w:val="99"/>
    <w:semiHidden/>
    <w:unhideWhenUsed/>
    <w:rsid w:val="00712CE8"/>
    <w:rPr>
      <w:color w:val="605E5C"/>
      <w:shd w:val="clear" w:color="auto" w:fill="E1DFDD"/>
    </w:rPr>
  </w:style>
  <w:style w:type="character" w:styleId="affc">
    <w:name w:val="Placeholder Text"/>
    <w:basedOn w:val="a2"/>
    <w:uiPriority w:val="99"/>
    <w:semiHidden/>
    <w:rsid w:val="00CC2C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mpires.wnvermeulen.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orldhistory.org" TargetMode="External"/><Relationship Id="rId2" Type="http://schemas.openxmlformats.org/officeDocument/2006/relationships/hyperlink" Target="http://www.britannica.com" TargetMode="External"/><Relationship Id="rId1" Type="http://schemas.openxmlformats.org/officeDocument/2006/relationships/hyperlink" Target="https://empires.wnvermeule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4;&#1078;&#1072;&#1084;&#1080;&#1083;&#1103;%20&#1052;&#1072;&#1083;&#1072;&#1077;&#1074;&#1085;&#1072;\YandexDisk\Cliodynamics\Clio%20template%20202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833E2-FAFF-4DC2-B147-55F39D144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Clio template 2020 (2).dotx</Template>
  <TotalTime>25</TotalTime>
  <Pages>12</Pages>
  <Words>4241</Words>
  <Characters>22269</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BOOK REVIEW ESSAY</vt:lpstr>
      <vt:lpstr>BOOK REVIEW ESSAY</vt:lpstr>
    </vt:vector>
  </TitlesOfParts>
  <Company>University of Connecticut</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REVIEW ESSAY</dc:title>
  <dc:creator>Джамиля Маллаевна</dc:creator>
  <cp:lastModifiedBy>Джамиля Маллаевна</cp:lastModifiedBy>
  <cp:revision>3</cp:revision>
  <cp:lastPrinted>2010-11-05T20:35:00Z</cp:lastPrinted>
  <dcterms:created xsi:type="dcterms:W3CDTF">2026-02-09T12:56:00Z</dcterms:created>
  <dcterms:modified xsi:type="dcterms:W3CDTF">2026-02-24T11:49:00Z</dcterms:modified>
</cp:coreProperties>
</file>