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6CEBE" w14:textId="7FBB019F" w:rsidR="00786C8E" w:rsidRDefault="00DC3270" w:rsidP="00786C8E">
      <w:pPr>
        <w:jc w:val="center"/>
        <w:rPr>
          <w:rFonts w:asciiTheme="minorBidi" w:hAnsiTheme="minorBidi" w:cstheme="minorBidi"/>
          <w:caps/>
          <w:sz w:val="32"/>
          <w:szCs w:val="32"/>
        </w:rPr>
      </w:pPr>
      <w:r w:rsidRPr="00786C8E">
        <w:rPr>
          <w:rFonts w:asciiTheme="minorBidi" w:hAnsiTheme="minorBidi" w:cstheme="minorBidi"/>
          <w:caps/>
          <w:sz w:val="32"/>
          <w:szCs w:val="32"/>
        </w:rPr>
        <w:t xml:space="preserve">Review </w:t>
      </w:r>
      <w:r w:rsidR="00786C8E" w:rsidRPr="00786C8E">
        <w:rPr>
          <w:rFonts w:asciiTheme="minorBidi" w:hAnsiTheme="minorBidi" w:cstheme="minorBidi"/>
          <w:caps/>
          <w:sz w:val="32"/>
          <w:szCs w:val="32"/>
        </w:rPr>
        <w:t>Of</w:t>
      </w:r>
      <w:r w:rsidR="00786C8E">
        <w:rPr>
          <w:rFonts w:asciiTheme="minorBidi" w:hAnsiTheme="minorBidi" w:cstheme="minorBidi"/>
          <w:caps/>
          <w:sz w:val="32"/>
          <w:szCs w:val="32"/>
        </w:rPr>
        <w:t>:</w:t>
      </w:r>
    </w:p>
    <w:p w14:paraId="3279F8D2" w14:textId="1A5605A6" w:rsidR="00716EE3" w:rsidRPr="00786C8E" w:rsidRDefault="00786C8E" w:rsidP="00786C8E">
      <w:pPr>
        <w:jc w:val="center"/>
        <w:rPr>
          <w:rFonts w:asciiTheme="minorBidi" w:hAnsiTheme="minorBidi" w:cstheme="minorBidi"/>
          <w:caps/>
          <w:sz w:val="32"/>
          <w:szCs w:val="32"/>
        </w:rPr>
      </w:pPr>
      <w:r w:rsidRPr="00786C8E">
        <w:rPr>
          <w:rFonts w:asciiTheme="minorBidi" w:hAnsiTheme="minorBidi" w:cstheme="minorBidi"/>
          <w:caps/>
          <w:sz w:val="32"/>
          <w:szCs w:val="32"/>
        </w:rPr>
        <w:t>“</w:t>
      </w:r>
      <w:r>
        <w:rPr>
          <w:rFonts w:asciiTheme="minorBidi" w:hAnsiTheme="minorBidi" w:cstheme="minorBidi"/>
          <w:caps/>
          <w:sz w:val="32"/>
          <w:szCs w:val="32"/>
        </w:rPr>
        <w:t xml:space="preserve">THE </w:t>
      </w:r>
      <w:r w:rsidR="007A6B3A" w:rsidRPr="00786C8E">
        <w:rPr>
          <w:rFonts w:asciiTheme="minorBidi" w:hAnsiTheme="minorBidi" w:cstheme="minorBidi"/>
          <w:caps/>
          <w:sz w:val="32"/>
          <w:szCs w:val="32"/>
        </w:rPr>
        <w:t xml:space="preserve">Animal Names </w:t>
      </w:r>
      <w:r>
        <w:rPr>
          <w:rFonts w:asciiTheme="minorBidi" w:hAnsiTheme="minorBidi" w:cstheme="minorBidi"/>
          <w:caps/>
          <w:sz w:val="32"/>
          <w:szCs w:val="32"/>
        </w:rPr>
        <w:t>of the</w:t>
      </w:r>
      <w:r w:rsidRPr="00786C8E">
        <w:rPr>
          <w:rFonts w:asciiTheme="minorBidi" w:hAnsiTheme="minorBidi" w:cstheme="minorBidi"/>
          <w:caps/>
          <w:sz w:val="32"/>
          <w:szCs w:val="32"/>
        </w:rPr>
        <w:t xml:space="preserve"> </w:t>
      </w:r>
      <w:r w:rsidR="007A6B3A" w:rsidRPr="00786C8E">
        <w:rPr>
          <w:rFonts w:asciiTheme="minorBidi" w:hAnsiTheme="minorBidi" w:cstheme="minorBidi"/>
          <w:caps/>
          <w:sz w:val="32"/>
          <w:szCs w:val="32"/>
        </w:rPr>
        <w:t xml:space="preserve">Arab </w:t>
      </w:r>
      <w:r>
        <w:rPr>
          <w:rFonts w:asciiTheme="minorBidi" w:hAnsiTheme="minorBidi" w:cstheme="minorBidi"/>
          <w:caps/>
          <w:sz w:val="32"/>
          <w:szCs w:val="32"/>
        </w:rPr>
        <w:t>ancestors</w:t>
      </w:r>
      <w:r w:rsidRPr="00786C8E">
        <w:rPr>
          <w:rFonts w:asciiTheme="minorBidi" w:hAnsiTheme="minorBidi" w:cstheme="minorBidi"/>
          <w:caps/>
          <w:sz w:val="32"/>
          <w:szCs w:val="32"/>
        </w:rPr>
        <w:t xml:space="preserve">,” </w:t>
      </w:r>
      <w:r>
        <w:rPr>
          <w:rFonts w:asciiTheme="minorBidi" w:hAnsiTheme="minorBidi" w:cstheme="minorBidi"/>
          <w:caps/>
          <w:sz w:val="32"/>
          <w:szCs w:val="32"/>
        </w:rPr>
        <w:t>Authored</w:t>
      </w:r>
      <w:r w:rsidR="00DC3270" w:rsidRPr="00786C8E">
        <w:rPr>
          <w:rFonts w:asciiTheme="minorBidi" w:hAnsiTheme="minorBidi" w:cstheme="minorBidi"/>
          <w:caps/>
          <w:sz w:val="32"/>
          <w:szCs w:val="32"/>
        </w:rPr>
        <w:t xml:space="preserve"> </w:t>
      </w:r>
      <w:r w:rsidRPr="00786C8E">
        <w:rPr>
          <w:rFonts w:asciiTheme="minorBidi" w:hAnsiTheme="minorBidi" w:cstheme="minorBidi"/>
          <w:caps/>
          <w:sz w:val="32"/>
          <w:szCs w:val="32"/>
        </w:rPr>
        <w:t xml:space="preserve">By </w:t>
      </w:r>
      <w:r w:rsidR="00DC3270" w:rsidRPr="00786C8E">
        <w:rPr>
          <w:rFonts w:asciiTheme="minorBidi" w:hAnsiTheme="minorBidi" w:cstheme="minorBidi"/>
          <w:caps/>
          <w:sz w:val="32"/>
          <w:szCs w:val="32"/>
        </w:rPr>
        <w:t xml:space="preserve">William </w:t>
      </w:r>
      <w:r>
        <w:rPr>
          <w:rFonts w:asciiTheme="minorBidi" w:hAnsiTheme="minorBidi" w:cstheme="minorBidi"/>
          <w:caps/>
          <w:sz w:val="32"/>
          <w:szCs w:val="32"/>
        </w:rPr>
        <w:t xml:space="preserve">C. </w:t>
      </w:r>
      <w:r w:rsidR="00DC3270" w:rsidRPr="00786C8E">
        <w:rPr>
          <w:rFonts w:asciiTheme="minorBidi" w:hAnsiTheme="minorBidi" w:cstheme="minorBidi"/>
          <w:caps/>
          <w:sz w:val="32"/>
          <w:szCs w:val="32"/>
        </w:rPr>
        <w:t>Young</w:t>
      </w:r>
    </w:p>
    <w:p w14:paraId="5663DB97" w14:textId="77777777" w:rsidR="00DC3270" w:rsidRDefault="00DC3270" w:rsidP="00DC3270">
      <w:pPr>
        <w:jc w:val="both"/>
        <w:rPr>
          <w:b/>
          <w:bCs/>
          <w:sz w:val="32"/>
          <w:szCs w:val="32"/>
        </w:rPr>
      </w:pPr>
    </w:p>
    <w:p w14:paraId="2EF48F8D" w14:textId="77777777" w:rsidR="00DC3270" w:rsidRDefault="00DC3270" w:rsidP="00DC3270">
      <w:pPr>
        <w:jc w:val="both"/>
        <w:rPr>
          <w:b/>
          <w:bCs/>
          <w:sz w:val="32"/>
          <w:szCs w:val="32"/>
        </w:rPr>
      </w:pPr>
    </w:p>
    <w:p w14:paraId="1BAE6B1A" w14:textId="77777777" w:rsidR="00DC3270" w:rsidRDefault="00DC3270" w:rsidP="00DC3270">
      <w:pPr>
        <w:jc w:val="both"/>
        <w:rPr>
          <w:b/>
          <w:bCs/>
          <w:sz w:val="32"/>
          <w:szCs w:val="32"/>
        </w:rPr>
      </w:pPr>
    </w:p>
    <w:p w14:paraId="401C835A" w14:textId="77777777" w:rsidR="00DC3270" w:rsidRPr="00DC3270" w:rsidRDefault="00DC3270" w:rsidP="00DC3270">
      <w:pPr>
        <w:jc w:val="both"/>
        <w:rPr>
          <w:b/>
          <w:bCs/>
          <w:sz w:val="32"/>
          <w:szCs w:val="32"/>
        </w:rPr>
      </w:pPr>
    </w:p>
    <w:p w14:paraId="037F0BE8" w14:textId="77777777" w:rsidR="00CB08BB" w:rsidRPr="00DC3270" w:rsidRDefault="00CB08BB" w:rsidP="00DC3270">
      <w:pPr>
        <w:jc w:val="both"/>
        <w:rPr>
          <w:b/>
          <w:bCs/>
          <w:sz w:val="32"/>
          <w:szCs w:val="32"/>
        </w:rPr>
      </w:pPr>
    </w:p>
    <w:p w14:paraId="79F59071" w14:textId="77777777" w:rsidR="00DC3270" w:rsidRDefault="00DC3270" w:rsidP="00DC3270">
      <w:pPr>
        <w:ind w:left="4320"/>
        <w:jc w:val="both"/>
      </w:pPr>
    </w:p>
    <w:p w14:paraId="630A384F" w14:textId="77777777" w:rsidR="00DC3270" w:rsidRDefault="00DC3270" w:rsidP="00DC3270">
      <w:pPr>
        <w:ind w:left="4320"/>
        <w:jc w:val="both"/>
      </w:pPr>
    </w:p>
    <w:p w14:paraId="45136C1B" w14:textId="5CB33BCE" w:rsidR="00CB08BB" w:rsidRPr="00786C8E" w:rsidRDefault="00CB08BB" w:rsidP="00DC3270">
      <w:pPr>
        <w:ind w:left="4320"/>
        <w:jc w:val="right"/>
      </w:pPr>
      <w:r w:rsidRPr="00786C8E">
        <w:t xml:space="preserve">Daniel Martin </w:t>
      </w:r>
      <w:proofErr w:type="spellStart"/>
      <w:r w:rsidRPr="00786C8E">
        <w:t>Varisco</w:t>
      </w:r>
      <w:proofErr w:type="spellEnd"/>
    </w:p>
    <w:p w14:paraId="024E18FA" w14:textId="04C20FC5" w:rsidR="00DC3270" w:rsidRPr="00786C8E" w:rsidRDefault="008708C6" w:rsidP="00DC3270">
      <w:pPr>
        <w:ind w:left="4320"/>
        <w:jc w:val="right"/>
      </w:pPr>
      <w:r w:rsidRPr="00786C8E">
        <w:t>Associate Researcher</w:t>
      </w:r>
    </w:p>
    <w:p w14:paraId="125E8755" w14:textId="23E3A35A" w:rsidR="008708C6" w:rsidRPr="00786C8E" w:rsidRDefault="008708C6" w:rsidP="00DC3270">
      <w:pPr>
        <w:ind w:left="4320"/>
        <w:jc w:val="right"/>
      </w:pPr>
      <w:r w:rsidRPr="00786C8E">
        <w:t>Inst</w:t>
      </w:r>
      <w:r w:rsidR="00DC3270" w:rsidRPr="00786C8E">
        <w:t>itute</w:t>
      </w:r>
      <w:r w:rsidRPr="00786C8E">
        <w:t xml:space="preserve"> for Social Anthropology</w:t>
      </w:r>
    </w:p>
    <w:p w14:paraId="14BC8577" w14:textId="783CCC6B" w:rsidR="00CB08BB" w:rsidRPr="00786C8E" w:rsidRDefault="008708C6" w:rsidP="00DC3270">
      <w:pPr>
        <w:ind w:left="4320"/>
        <w:jc w:val="right"/>
      </w:pPr>
      <w:proofErr w:type="spellStart"/>
      <w:r w:rsidRPr="00786C8E">
        <w:t>Österreichische</w:t>
      </w:r>
      <w:proofErr w:type="spellEnd"/>
      <w:r w:rsidRPr="00786C8E">
        <w:t xml:space="preserve"> Akademie der </w:t>
      </w:r>
      <w:proofErr w:type="spellStart"/>
      <w:r w:rsidRPr="00786C8E">
        <w:t>Wissenschaften</w:t>
      </w:r>
      <w:proofErr w:type="spellEnd"/>
    </w:p>
    <w:p w14:paraId="42E554AA" w14:textId="77A91ABF" w:rsidR="00DC3270" w:rsidRPr="00786C8E" w:rsidRDefault="00DC3270" w:rsidP="00DC3270">
      <w:pPr>
        <w:ind w:left="4320"/>
        <w:jc w:val="right"/>
      </w:pPr>
      <w:r w:rsidRPr="00786C8E">
        <w:t>Austria</w:t>
      </w:r>
    </w:p>
    <w:p w14:paraId="3B97D9DD" w14:textId="77777777" w:rsidR="007A6B3A" w:rsidRDefault="007A6B3A" w:rsidP="00DC3270">
      <w:pPr>
        <w:jc w:val="both"/>
      </w:pPr>
    </w:p>
    <w:p w14:paraId="0D0148B3" w14:textId="5226B971" w:rsidR="007A6B3A" w:rsidRDefault="007A6B3A" w:rsidP="00DC3270">
      <w:pPr>
        <w:jc w:val="both"/>
      </w:pPr>
      <w:r>
        <w:t>The anthropologist William C. Young</w:t>
      </w:r>
      <w:r w:rsidR="00DC3270">
        <w:t xml:space="preserve"> </w:t>
      </w:r>
      <w:r>
        <w:t xml:space="preserve">recently published a </w:t>
      </w:r>
      <w:r w:rsidR="00D42661">
        <w:t>three</w:t>
      </w:r>
      <w:r w:rsidR="00786C8E">
        <w:t>-</w:t>
      </w:r>
      <w:r>
        <w:t xml:space="preserve">volume set </w:t>
      </w:r>
      <w:r w:rsidR="00FA28D6">
        <w:t>entitled</w:t>
      </w:r>
      <w:r>
        <w:t xml:space="preserve"> </w:t>
      </w:r>
      <w:r w:rsidRPr="007A6B3A">
        <w:rPr>
          <w:i/>
          <w:iCs/>
        </w:rPr>
        <w:t xml:space="preserve">The Animal Names of the Arab Ancestors </w:t>
      </w:r>
      <w:r>
        <w:t>(</w:t>
      </w:r>
      <w:r w:rsidR="00887D23">
        <w:t xml:space="preserve">2024: </w:t>
      </w:r>
      <w:r>
        <w:t xml:space="preserve">Leiden, Brill). </w:t>
      </w:r>
      <w:r w:rsidR="00CC4BB4">
        <w:t xml:space="preserve">This is an extraordinary labor of effort and love for </w:t>
      </w:r>
      <w:r w:rsidR="0079060E">
        <w:t>a</w:t>
      </w:r>
      <w:r w:rsidR="00CC4BB4">
        <w:t xml:space="preserve"> subject</w:t>
      </w:r>
      <w:r w:rsidR="0079060E">
        <w:t xml:space="preserve"> long abandoned within anthropology</w:t>
      </w:r>
      <w:r w:rsidR="00CC4BB4">
        <w:t xml:space="preserve">, </w:t>
      </w:r>
      <w:r w:rsidR="0079060E">
        <w:t xml:space="preserve">namely the early fascination with the concept of </w:t>
      </w:r>
      <w:r w:rsidR="00FA28D6">
        <w:t>‘</w:t>
      </w:r>
      <w:r w:rsidR="0079060E">
        <w:t>totemism.</w:t>
      </w:r>
      <w:r w:rsidR="00FA28D6">
        <w:t>’</w:t>
      </w:r>
      <w:r w:rsidR="0079060E">
        <w:t xml:space="preserve"> </w:t>
      </w:r>
      <w:r w:rsidR="00CB3256">
        <w:t>This book is not a defense of the idea of totemism as it has evolved well over a century, but offers alternative explanations for the use of animal names for people and groups. I</w:t>
      </w:r>
      <w:r w:rsidR="0079060E">
        <w:t>t i</w:t>
      </w:r>
      <w:r w:rsidR="00CE084F">
        <w:t>s</w:t>
      </w:r>
      <w:r w:rsidR="0079060E">
        <w:t xml:space="preserve"> obvious that the use of terms for animals and plants ha</w:t>
      </w:r>
      <w:r w:rsidR="00232680">
        <w:t>s</w:t>
      </w:r>
      <w:r w:rsidR="0079060E">
        <w:t xml:space="preserve"> widespread relevance in kinship terminology</w:t>
      </w:r>
      <w:r w:rsidR="00CB3256">
        <w:t xml:space="preserve"> worldwide. This is </w:t>
      </w:r>
      <w:r w:rsidR="0079060E">
        <w:t xml:space="preserve">especially </w:t>
      </w:r>
      <w:r w:rsidR="00CB3256">
        <w:t>the case for</w:t>
      </w:r>
      <w:r w:rsidR="0079060E">
        <w:t xml:space="preserve"> the history of Arabic kinship names for </w:t>
      </w:r>
      <w:r w:rsidR="00CB3256">
        <w:t xml:space="preserve">both </w:t>
      </w:r>
      <w:r w:rsidR="0079060E">
        <w:t xml:space="preserve">individuals and </w:t>
      </w:r>
      <w:r w:rsidR="00CB3256">
        <w:t xml:space="preserve">tribal </w:t>
      </w:r>
      <w:r w:rsidR="0079060E">
        <w:t xml:space="preserve">groups. </w:t>
      </w:r>
      <w:r w:rsidR="00CC4BB4">
        <w:t>As explained by the author at the start of his book</w:t>
      </w:r>
      <w:r w:rsidR="00DC3270">
        <w:t xml:space="preserve"> (p. 4)</w:t>
      </w:r>
      <w:r w:rsidR="00CC4BB4">
        <w:t xml:space="preserve">:  </w:t>
      </w:r>
    </w:p>
    <w:p w14:paraId="4AEC76ED" w14:textId="77777777" w:rsidR="007A6B3A" w:rsidRDefault="007A6B3A" w:rsidP="00DC3270">
      <w:pPr>
        <w:jc w:val="both"/>
      </w:pPr>
    </w:p>
    <w:p w14:paraId="1ADB71EA" w14:textId="27685719" w:rsidR="007A6B3A" w:rsidRPr="00DC3270" w:rsidRDefault="007A6B3A" w:rsidP="00DC3270">
      <w:pPr>
        <w:ind w:left="720"/>
        <w:jc w:val="both"/>
        <w:rPr>
          <w:sz w:val="20"/>
          <w:szCs w:val="20"/>
        </w:rPr>
      </w:pPr>
      <w:r w:rsidRPr="00DC3270">
        <w:rPr>
          <w:sz w:val="20"/>
          <w:szCs w:val="20"/>
        </w:rPr>
        <w:t xml:space="preserve">In this book, I will argue that the question of Arab </w:t>
      </w:r>
      <w:r w:rsidR="00FA28D6" w:rsidRPr="00DC3270">
        <w:rPr>
          <w:sz w:val="20"/>
          <w:szCs w:val="20"/>
        </w:rPr>
        <w:t>‘</w:t>
      </w:r>
      <w:r w:rsidRPr="00DC3270">
        <w:rPr>
          <w:sz w:val="20"/>
          <w:szCs w:val="20"/>
        </w:rPr>
        <w:t>totemism</w:t>
      </w:r>
      <w:r w:rsidR="00FA28D6" w:rsidRPr="00DC3270">
        <w:rPr>
          <w:sz w:val="20"/>
          <w:szCs w:val="20"/>
        </w:rPr>
        <w:t>’</w:t>
      </w:r>
      <w:r w:rsidRPr="00DC3270">
        <w:rPr>
          <w:sz w:val="20"/>
          <w:szCs w:val="20"/>
        </w:rPr>
        <w:t xml:space="preserve"> is still important for social scientists and historians. It lies at the heart of a broader, universal question: what are the factors that shape intellectual and cultural production and that ultimately explain why culture varies from one society to the next? Answering this question is one of the basic tasks of cultural anthropologists; they seek to describe cultural variation among the human societies of the world and then explain this variation. The distinctive group names and personal names that are found in Arab societies represent a particular cultural variety. My goals in this book are to document this variety and explain why it takes this particular form.</w:t>
      </w:r>
    </w:p>
    <w:p w14:paraId="40EC914C" w14:textId="77777777" w:rsidR="00F374E5" w:rsidRDefault="00F374E5" w:rsidP="00DC3270">
      <w:pPr>
        <w:ind w:left="720"/>
        <w:jc w:val="both"/>
      </w:pPr>
    </w:p>
    <w:p w14:paraId="6AC74EF2" w14:textId="2CB42756" w:rsidR="00027CD4" w:rsidRDefault="0079060E" w:rsidP="00DC3270">
      <w:pPr>
        <w:ind w:firstLine="720"/>
        <w:jc w:val="both"/>
      </w:pPr>
      <w:r>
        <w:t xml:space="preserve">Young’s effort is a brave </w:t>
      </w:r>
      <w:r w:rsidR="00DC3270">
        <w:t>one</w:t>
      </w:r>
      <w:r>
        <w:t xml:space="preserve">, bucking a current trend in the discipline of anthropology to ignore the relevance of kinship studies, </w:t>
      </w:r>
      <w:r w:rsidR="00DC3270">
        <w:t xml:space="preserve">which was </w:t>
      </w:r>
      <w:r>
        <w:t>once a major orientation for all ethnographic researc</w:t>
      </w:r>
      <w:r w:rsidR="00D1095D">
        <w:t>h.</w:t>
      </w:r>
      <w:r>
        <w:t xml:space="preserve"> </w:t>
      </w:r>
      <w:r w:rsidR="00D339BC">
        <w:t>The importance of kinship studies was recognized as early as 1871, when Lewis Henry Morgan described the difference between descriptive and classificatory systems, adding “As systems of consanguinity each contains a plan, for the description and classification of kindred, the formation of which was an act of intelligence and knowledge</w:t>
      </w:r>
      <w:r w:rsidR="00DC3270">
        <w:t>”</w:t>
      </w:r>
      <w:r w:rsidR="00D339BC">
        <w:t xml:space="preserve"> (Morgan 1871:vi). </w:t>
      </w:r>
      <w:r w:rsidR="00027CD4">
        <w:t>In order to engage with cultural groups that the so-called ‘civilized’ world deemed ‘savage,’ early ethnographers needed a road map to know how the individuals viewed themselves and their relatives. As a result</w:t>
      </w:r>
      <w:r w:rsidR="00D42661">
        <w:t xml:space="preserve">, </w:t>
      </w:r>
      <w:r w:rsidR="00027CD4">
        <w:t>learning the local kinship rules and terms was a necessity for anthropologists like Malinowski, Radcliffe-Brown and those who followed. Beyond the pragmatic aspect of mapping</w:t>
      </w:r>
      <w:r w:rsidR="00DC3270">
        <w:t xml:space="preserve"> out a diagram of kin terms</w:t>
      </w:r>
      <w:r w:rsidR="00027CD4">
        <w:t xml:space="preserve">, </w:t>
      </w:r>
      <w:r w:rsidR="00DC3270">
        <w:t xml:space="preserve">a </w:t>
      </w:r>
      <w:r w:rsidR="00027CD4">
        <w:t>kinship terminology provide</w:t>
      </w:r>
      <w:r w:rsidR="005D4E75">
        <w:t>s</w:t>
      </w:r>
      <w:r w:rsidR="00027CD4">
        <w:t xml:space="preserve"> a key </w:t>
      </w:r>
      <w:r w:rsidR="00DC3270">
        <w:t>for</w:t>
      </w:r>
      <w:r w:rsidR="00027CD4">
        <w:t xml:space="preserve"> better understand</w:t>
      </w:r>
      <w:r w:rsidR="00DC3270">
        <w:t>ing</w:t>
      </w:r>
      <w:r w:rsidR="00027CD4">
        <w:t xml:space="preserve"> </w:t>
      </w:r>
      <w:r w:rsidR="005D4E75">
        <w:t xml:space="preserve">a </w:t>
      </w:r>
      <w:r w:rsidR="00027CD4">
        <w:t xml:space="preserve">wide range of cultural symbols and practices. </w:t>
      </w:r>
    </w:p>
    <w:p w14:paraId="6A9C924F" w14:textId="628B85BF" w:rsidR="005818D9" w:rsidRDefault="00201BD7" w:rsidP="00DC3270">
      <w:pPr>
        <w:ind w:firstLine="720"/>
        <w:jc w:val="both"/>
      </w:pPr>
      <w:r>
        <w:lastRenderedPageBreak/>
        <w:t xml:space="preserve">Before addressing the value of revisiting the concept of </w:t>
      </w:r>
      <w:r w:rsidR="005D4E75">
        <w:t>‘</w:t>
      </w:r>
      <w:r>
        <w:t>totemism,</w:t>
      </w:r>
      <w:r w:rsidR="005D4E75">
        <w:t>’</w:t>
      </w:r>
      <w:r>
        <w:t xml:space="preserve"> </w:t>
      </w:r>
      <w:r w:rsidR="00DC3270">
        <w:t xml:space="preserve">or </w:t>
      </w:r>
      <w:r>
        <w:t xml:space="preserve">at least what the concept sought to explain, a summary of the content </w:t>
      </w:r>
      <w:r w:rsidR="00DC3270">
        <w:t>of</w:t>
      </w:r>
      <w:r>
        <w:t xml:space="preserve"> Young’s book is in order. </w:t>
      </w:r>
      <w:r w:rsidR="005818D9">
        <w:t>This is a monumental effort, published in three volumes, two of which are appendices, covering 1</w:t>
      </w:r>
      <w:r w:rsidR="003E296E">
        <w:t>,</w:t>
      </w:r>
      <w:r w:rsidR="005818D9">
        <w:t xml:space="preserve">240 pages. In addition to being an ethnographer who lived among the </w:t>
      </w:r>
      <w:proofErr w:type="spellStart"/>
      <w:r w:rsidR="005818D9">
        <w:t>Rasha</w:t>
      </w:r>
      <w:r w:rsidR="00687340">
        <w:t>a</w:t>
      </w:r>
      <w:r w:rsidR="005818D9">
        <w:t>yda</w:t>
      </w:r>
      <w:proofErr w:type="spellEnd"/>
      <w:r w:rsidR="005818D9">
        <w:t xml:space="preserve"> Bedouins in </w:t>
      </w:r>
      <w:r w:rsidR="00DC3270">
        <w:t xml:space="preserve">the </w:t>
      </w:r>
      <w:r w:rsidR="005818D9">
        <w:t xml:space="preserve">Sudan </w:t>
      </w:r>
      <w:r w:rsidR="00DC3270">
        <w:t>in</w:t>
      </w:r>
      <w:r w:rsidR="00E96AFE">
        <w:t xml:space="preserve"> </w:t>
      </w:r>
      <w:r w:rsidR="005818D9">
        <w:t xml:space="preserve">1996, the author is an accomplished Arabist. His work is </w:t>
      </w:r>
      <w:r w:rsidR="00603A10">
        <w:t>a</w:t>
      </w:r>
      <w:r w:rsidR="005818D9">
        <w:t xml:space="preserve"> comprehensive </w:t>
      </w:r>
      <w:r w:rsidR="003E296E">
        <w:t xml:space="preserve">academic </w:t>
      </w:r>
      <w:r w:rsidR="005818D9">
        <w:t xml:space="preserve">study of Arabic kinship terms related to animals and plants and will be of value to scholars who work on the history of the Arabic language and Arab tribal culture as well as </w:t>
      </w:r>
      <w:r w:rsidR="00E96AFE">
        <w:t xml:space="preserve">to </w:t>
      </w:r>
      <w:r w:rsidR="005818D9">
        <w:t xml:space="preserve">anthropologists who can appreciate the significance of such an intensive </w:t>
      </w:r>
      <w:r w:rsidR="003E296E">
        <w:t>range</w:t>
      </w:r>
      <w:r w:rsidR="005818D9">
        <w:t xml:space="preserve"> of kinship terms. </w:t>
      </w:r>
    </w:p>
    <w:p w14:paraId="3767459A" w14:textId="2F96FF0C" w:rsidR="008E0EB1" w:rsidRDefault="005818D9" w:rsidP="00DC3270">
      <w:pPr>
        <w:ind w:firstLine="720"/>
        <w:jc w:val="both"/>
      </w:pPr>
      <w:r>
        <w:t>The first volume lays out the analysis in nine chapters</w:t>
      </w:r>
      <w:r w:rsidR="008E0EB1">
        <w:t xml:space="preserve">. The first chapter discusses the use of names for non-human species both in Arabic and </w:t>
      </w:r>
      <w:r w:rsidR="000330E2">
        <w:t>for o</w:t>
      </w:r>
      <w:r w:rsidR="007A763F">
        <w:t>ther cultural groups</w:t>
      </w:r>
      <w:r w:rsidR="008E0EB1">
        <w:t xml:space="preserve">, introducing what has been said about </w:t>
      </w:r>
      <w:r w:rsidR="005D4E75">
        <w:t>‘</w:t>
      </w:r>
      <w:r w:rsidR="008E0EB1">
        <w:t>totemism</w:t>
      </w:r>
      <w:r w:rsidR="005D4E75">
        <w:t>’</w:t>
      </w:r>
      <w:r w:rsidR="008E0EB1">
        <w:t xml:space="preserve"> in the past. The second chapter is methodological, explaining how the author compiled a data base of the Arabic terms, drawing mainly from the </w:t>
      </w:r>
      <w:proofErr w:type="spellStart"/>
      <w:r w:rsidR="008E0EB1">
        <w:t>encyclopaedic</w:t>
      </w:r>
      <w:proofErr w:type="spellEnd"/>
      <w:r w:rsidR="008E0EB1">
        <w:t xml:space="preserve"> </w:t>
      </w:r>
      <w:proofErr w:type="spellStart"/>
      <w:r w:rsidR="008E0EB1" w:rsidRPr="008E0EB1">
        <w:t>ʿ</w:t>
      </w:r>
      <w:r w:rsidR="008E0EB1" w:rsidRPr="002F0DF6">
        <w:rPr>
          <w:i/>
          <w:iCs/>
        </w:rPr>
        <w:t>Abd</w:t>
      </w:r>
      <w:proofErr w:type="spellEnd"/>
      <w:r w:rsidR="008E0EB1" w:rsidRPr="002F0DF6">
        <w:rPr>
          <w:i/>
          <w:iCs/>
        </w:rPr>
        <w:t>-al-</w:t>
      </w:r>
      <w:proofErr w:type="spellStart"/>
      <w:r w:rsidR="008E0EB1" w:rsidRPr="002F0DF6">
        <w:rPr>
          <w:i/>
          <w:iCs/>
        </w:rPr>
        <w:t>Ḥakīm</w:t>
      </w:r>
      <w:proofErr w:type="spellEnd"/>
      <w:r w:rsidR="008E0EB1" w:rsidRPr="002F0DF6">
        <w:rPr>
          <w:i/>
          <w:iCs/>
        </w:rPr>
        <w:t xml:space="preserve"> al-</w:t>
      </w:r>
      <w:proofErr w:type="spellStart"/>
      <w:r w:rsidR="008E0EB1" w:rsidRPr="002F0DF6">
        <w:rPr>
          <w:i/>
          <w:iCs/>
        </w:rPr>
        <w:t>Wāʾilī</w:t>
      </w:r>
      <w:r w:rsidR="008E0EB1" w:rsidRPr="008E0EB1">
        <w:t>’s</w:t>
      </w:r>
      <w:proofErr w:type="spellEnd"/>
      <w:r w:rsidR="002E1403">
        <w:t xml:space="preserve"> (2002)</w:t>
      </w:r>
      <w:r w:rsidR="008E0EB1" w:rsidRPr="008E0EB1">
        <w:t xml:space="preserve"> </w:t>
      </w:r>
      <w:r w:rsidR="002E1403">
        <w:t xml:space="preserve">Arabic </w:t>
      </w:r>
      <w:r w:rsidR="007A763F">
        <w:t>text</w:t>
      </w:r>
      <w:r w:rsidR="008E0EB1" w:rsidRPr="008E0EB1">
        <w:t xml:space="preserve"> o</w:t>
      </w:r>
      <w:r w:rsidR="007A763F">
        <w:t>n</w:t>
      </w:r>
      <w:r w:rsidR="008E0EB1" w:rsidRPr="008E0EB1">
        <w:t xml:space="preserve"> Arab Tribes</w:t>
      </w:r>
      <w:r w:rsidR="002E1403">
        <w:t>.</w:t>
      </w:r>
      <w:r w:rsidR="005D4E75">
        <w:t xml:space="preserve"> </w:t>
      </w:r>
      <w:r w:rsidR="00212E7B">
        <w:t>Following this is a chapter that also discusses his meth</w:t>
      </w:r>
      <w:r w:rsidR="00CE084F">
        <w:t>o</w:t>
      </w:r>
      <w:r w:rsidR="00212E7B">
        <w:t>dological approach</w:t>
      </w:r>
      <w:r w:rsidR="002F0DF6">
        <w:t>,</w:t>
      </w:r>
      <w:r w:rsidR="00212E7B">
        <w:t xml:space="preserve"> with a focus on how to interpret bird names in Arabic</w:t>
      </w:r>
      <w:r w:rsidR="002F0DF6">
        <w:t xml:space="preserve"> and</w:t>
      </w:r>
      <w:r w:rsidR="00212E7B">
        <w:t xml:space="preserve"> draw</w:t>
      </w:r>
      <w:r w:rsidR="002F0DF6">
        <w:t>s</w:t>
      </w:r>
      <w:r w:rsidR="00212E7B">
        <w:t xml:space="preserve"> mainly on a three-volume lexicon of bird terms </w:t>
      </w:r>
      <w:r w:rsidR="002F0DF6">
        <w:t xml:space="preserve">published </w:t>
      </w:r>
      <w:r w:rsidR="00212E7B">
        <w:t>by an Iraqi ornithologist. He divides his lists between taxonomic bird terms</w:t>
      </w:r>
      <w:r w:rsidR="002F0DF6">
        <w:t>;</w:t>
      </w:r>
      <w:r w:rsidR="00212E7B">
        <w:t xml:space="preserve"> e.g.</w:t>
      </w:r>
      <w:r w:rsidR="002F0DF6">
        <w:t>,</w:t>
      </w:r>
      <w:r w:rsidR="00212E7B">
        <w:t xml:space="preserve"> the Arabic term eagle (</w:t>
      </w:r>
      <w:r w:rsidR="00212E7B" w:rsidRPr="00212E7B">
        <w:rPr>
          <w:i/>
          <w:iCs/>
        </w:rPr>
        <w:t>‘</w:t>
      </w:r>
      <w:proofErr w:type="spellStart"/>
      <w:r w:rsidR="00212E7B" w:rsidRPr="00212E7B">
        <w:rPr>
          <w:i/>
          <w:iCs/>
        </w:rPr>
        <w:t>uqāb</w:t>
      </w:r>
      <w:proofErr w:type="spellEnd"/>
      <w:r w:rsidR="00212E7B">
        <w:t xml:space="preserve">), and non-taxonomic terms, such as </w:t>
      </w:r>
      <w:r w:rsidR="002F0DF6">
        <w:t xml:space="preserve">terms </w:t>
      </w:r>
      <w:r w:rsidR="00212E7B">
        <w:t>for the age or maturity</w:t>
      </w:r>
      <w:r w:rsidR="00BE0FF0">
        <w:t xml:space="preserve">, </w:t>
      </w:r>
      <w:r w:rsidR="00212E7B">
        <w:t>sex</w:t>
      </w:r>
      <w:r w:rsidR="00BE0FF0">
        <w:t xml:space="preserve"> and </w:t>
      </w:r>
      <w:r w:rsidR="00E96AFE">
        <w:t xml:space="preserve">various </w:t>
      </w:r>
      <w:r w:rsidR="00BE0FF0">
        <w:t>aspects associated with birds</w:t>
      </w:r>
      <w:r w:rsidR="002F0DF6">
        <w:t>;</w:t>
      </w:r>
      <w:r w:rsidR="00BE0FF0">
        <w:t xml:space="preserve"> </w:t>
      </w:r>
      <w:r w:rsidR="007A763F">
        <w:t>e.g.,</w:t>
      </w:r>
      <w:r w:rsidR="00BE0FF0">
        <w:t xml:space="preserve"> nests.</w:t>
      </w:r>
      <w:r w:rsidR="00B17AF5">
        <w:t xml:space="preserve"> Among the issues he had to tackle was dealing with lexical diglossia due to the many Arabic dialects, past and present</w:t>
      </w:r>
      <w:r w:rsidR="00212E7B">
        <w:t>.</w:t>
      </w:r>
      <w:r w:rsidR="001C4A0A">
        <w:t xml:space="preserve"> Chapter </w:t>
      </w:r>
      <w:r w:rsidR="000E141F">
        <w:t>F</w:t>
      </w:r>
      <w:r w:rsidR="001C4A0A">
        <w:t>our continues his methodological discussion</w:t>
      </w:r>
      <w:r w:rsidR="002F0DF6">
        <w:t>, but with a focus</w:t>
      </w:r>
      <w:r w:rsidR="001C4A0A">
        <w:t xml:space="preserve"> </w:t>
      </w:r>
      <w:r w:rsidR="002F0DF6">
        <w:t>on</w:t>
      </w:r>
      <w:r w:rsidR="001C4A0A">
        <w:t xml:space="preserve"> Arab terms </w:t>
      </w:r>
      <w:r w:rsidR="002F0DF6">
        <w:t>for</w:t>
      </w:r>
      <w:r w:rsidR="001C4A0A">
        <w:t xml:space="preserve"> mammals. This chapter also includes a discussion of the seminal 9</w:t>
      </w:r>
      <w:r w:rsidR="001C4A0A" w:rsidRPr="001C4A0A">
        <w:rPr>
          <w:vertAlign w:val="superscript"/>
        </w:rPr>
        <w:t>th</w:t>
      </w:r>
      <w:r w:rsidR="001C4A0A">
        <w:t xml:space="preserve"> century CE </w:t>
      </w:r>
      <w:proofErr w:type="spellStart"/>
      <w:r w:rsidR="001C4A0A" w:rsidRPr="001C4A0A">
        <w:rPr>
          <w:i/>
          <w:iCs/>
        </w:rPr>
        <w:t>Kitāb</w:t>
      </w:r>
      <w:proofErr w:type="spellEnd"/>
      <w:r w:rsidR="001C4A0A" w:rsidRPr="001C4A0A">
        <w:rPr>
          <w:i/>
          <w:iCs/>
        </w:rPr>
        <w:t xml:space="preserve"> al-</w:t>
      </w:r>
      <w:proofErr w:type="spellStart"/>
      <w:r w:rsidR="001C4A0A" w:rsidRPr="001C4A0A">
        <w:rPr>
          <w:i/>
          <w:iCs/>
        </w:rPr>
        <w:t>Hayawān</w:t>
      </w:r>
      <w:proofErr w:type="spellEnd"/>
      <w:r w:rsidR="001C4A0A">
        <w:t xml:space="preserve"> of al-</w:t>
      </w:r>
      <w:proofErr w:type="spellStart"/>
      <w:r w:rsidR="001C4A0A">
        <w:t>Jāhiẓ</w:t>
      </w:r>
      <w:proofErr w:type="spellEnd"/>
      <w:r w:rsidR="001C4A0A">
        <w:t xml:space="preserve"> on animals.</w:t>
      </w:r>
      <w:r w:rsidR="005044EF">
        <w:t xml:space="preserve"> There is </w:t>
      </w:r>
      <w:r w:rsidR="002F0DF6">
        <w:t xml:space="preserve">also </w:t>
      </w:r>
      <w:r w:rsidR="005044EF">
        <w:t xml:space="preserve">an extended discussion of Arabic terms </w:t>
      </w:r>
      <w:r w:rsidR="002F0DF6">
        <w:t>for</w:t>
      </w:r>
      <w:r w:rsidR="005044EF">
        <w:t xml:space="preserve"> camels, including his own linguistic work among the </w:t>
      </w:r>
      <w:proofErr w:type="spellStart"/>
      <w:r w:rsidR="005044EF">
        <w:t>Rasha</w:t>
      </w:r>
      <w:r w:rsidR="00687340">
        <w:t>a</w:t>
      </w:r>
      <w:r w:rsidR="005044EF">
        <w:t>yda</w:t>
      </w:r>
      <w:proofErr w:type="spellEnd"/>
      <w:r w:rsidR="005044EF">
        <w:t xml:space="preserve"> of Sudan.</w:t>
      </w:r>
      <w:r w:rsidR="002355FF">
        <w:t xml:space="preserve"> Given the focus on kinship terms, </w:t>
      </w:r>
      <w:proofErr w:type="gramStart"/>
      <w:r w:rsidR="002355FF">
        <w:t>Young</w:t>
      </w:r>
      <w:proofErr w:type="gramEnd"/>
      <w:r w:rsidR="002355FF">
        <w:t xml:space="preserve"> </w:t>
      </w:r>
      <w:r w:rsidR="00E96AFE">
        <w:t>faces</w:t>
      </w:r>
      <w:r w:rsidR="002355FF">
        <w:t xml:space="preserve"> </w:t>
      </w:r>
      <w:r w:rsidR="006D4AEF">
        <w:t xml:space="preserve">several challenges </w:t>
      </w:r>
      <w:r w:rsidR="002F0DF6">
        <w:t>when</w:t>
      </w:r>
      <w:r w:rsidR="002355FF">
        <w:t xml:space="preserve"> </w:t>
      </w:r>
      <w:r w:rsidR="006D4AEF">
        <w:t>comparing the</w:t>
      </w:r>
      <w:r w:rsidR="002355FF">
        <w:t xml:space="preserve"> animal names </w:t>
      </w:r>
      <w:r w:rsidR="006D4AEF">
        <w:t xml:space="preserve">to </w:t>
      </w:r>
      <w:r w:rsidR="002355FF">
        <w:t>kin terms.</w:t>
      </w:r>
      <w:r w:rsidR="007369BE">
        <w:t xml:space="preserve"> Chapter </w:t>
      </w:r>
      <w:r w:rsidR="000E141F">
        <w:t>F</w:t>
      </w:r>
      <w:r w:rsidR="007369BE">
        <w:t xml:space="preserve">ive continues his methodological analysis </w:t>
      </w:r>
      <w:r w:rsidR="002F0DF6">
        <w:t>with a focus on</w:t>
      </w:r>
      <w:r w:rsidR="007369BE">
        <w:t xml:space="preserve"> the </w:t>
      </w:r>
      <w:r w:rsidR="007369BE" w:rsidRPr="007369BE">
        <w:t xml:space="preserve">Arabic </w:t>
      </w:r>
      <w:r w:rsidR="007369BE">
        <w:t>t</w:t>
      </w:r>
      <w:r w:rsidR="007369BE" w:rsidRPr="007369BE">
        <w:t xml:space="preserve">erms </w:t>
      </w:r>
      <w:r w:rsidR="007369BE">
        <w:t>relat</w:t>
      </w:r>
      <w:r w:rsidR="002F0DF6">
        <w:t>ing</w:t>
      </w:r>
      <w:r w:rsidR="007369BE">
        <w:t xml:space="preserve"> to p</w:t>
      </w:r>
      <w:r w:rsidR="007369BE" w:rsidRPr="007369BE">
        <w:t xml:space="preserve">lants, </w:t>
      </w:r>
      <w:r w:rsidR="007369BE">
        <w:t>i</w:t>
      </w:r>
      <w:r w:rsidR="007369BE" w:rsidRPr="007369BE">
        <w:t xml:space="preserve">nsects, </w:t>
      </w:r>
      <w:r w:rsidR="007369BE">
        <w:t>r</w:t>
      </w:r>
      <w:r w:rsidR="007369BE" w:rsidRPr="007369BE">
        <w:t xml:space="preserve">eptiles, and </w:t>
      </w:r>
      <w:r w:rsidR="007369BE">
        <w:t>m</w:t>
      </w:r>
      <w:r w:rsidR="007369BE" w:rsidRPr="007369BE">
        <w:t xml:space="preserve">arine </w:t>
      </w:r>
      <w:r w:rsidR="007369BE">
        <w:t>l</w:t>
      </w:r>
      <w:r w:rsidR="007369BE" w:rsidRPr="007369BE">
        <w:t>ife</w:t>
      </w:r>
      <w:r w:rsidR="007369BE">
        <w:t>.</w:t>
      </w:r>
      <w:r w:rsidR="00153C75">
        <w:t xml:space="preserve"> This is a rather brief chapter that could have been expanded by examining discussion of the plant names in the classic botanical work</w:t>
      </w:r>
      <w:r w:rsidR="001A3133">
        <w:t xml:space="preserve"> </w:t>
      </w:r>
      <w:r w:rsidR="00153C75">
        <w:t xml:space="preserve">of </w:t>
      </w:r>
      <w:proofErr w:type="spellStart"/>
      <w:r w:rsidR="00D27911">
        <w:t>Abū</w:t>
      </w:r>
      <w:proofErr w:type="spellEnd"/>
      <w:r w:rsidR="00D27911">
        <w:t xml:space="preserve"> </w:t>
      </w:r>
      <w:proofErr w:type="spellStart"/>
      <w:r w:rsidR="00D27911">
        <w:t>Ḥanīfa</w:t>
      </w:r>
      <w:proofErr w:type="spellEnd"/>
      <w:r w:rsidR="00D27911">
        <w:t xml:space="preserve"> </w:t>
      </w:r>
      <w:r w:rsidR="00153C75">
        <w:t>al-</w:t>
      </w:r>
      <w:proofErr w:type="spellStart"/>
      <w:r w:rsidR="00153C75">
        <w:t>Dīnawarī</w:t>
      </w:r>
      <w:proofErr w:type="spellEnd"/>
      <w:r w:rsidR="00556DDA">
        <w:t xml:space="preserve"> (1974)</w:t>
      </w:r>
      <w:r w:rsidR="005266C9">
        <w:t xml:space="preserve"> and the treatise on animals by al-</w:t>
      </w:r>
      <w:proofErr w:type="spellStart"/>
      <w:r w:rsidR="005266C9">
        <w:t>Damīrī</w:t>
      </w:r>
      <w:proofErr w:type="spellEnd"/>
      <w:r w:rsidR="00556DDA">
        <w:t xml:space="preserve"> (2005)</w:t>
      </w:r>
      <w:r w:rsidR="005266C9">
        <w:t xml:space="preserve">, </w:t>
      </w:r>
      <w:r w:rsidR="00153C75">
        <w:t xml:space="preserve">as well as the thesaurus of Ibn </w:t>
      </w:r>
      <w:proofErr w:type="spellStart"/>
      <w:r w:rsidR="00153C75">
        <w:t>Sīda</w:t>
      </w:r>
      <w:proofErr w:type="spellEnd"/>
      <w:r w:rsidR="00556DDA">
        <w:t xml:space="preserve"> (1965)</w:t>
      </w:r>
      <w:r w:rsidR="00153C75">
        <w:t>.</w:t>
      </w:r>
    </w:p>
    <w:p w14:paraId="3163D94D" w14:textId="75C92A68" w:rsidR="0079060E" w:rsidRDefault="00B51B34" w:rsidP="00DC3270">
      <w:pPr>
        <w:ind w:firstLine="720"/>
        <w:jc w:val="both"/>
      </w:pPr>
      <w:r>
        <w:t>Having laid out his methodologies,</w:t>
      </w:r>
      <w:r w:rsidR="000E141F">
        <w:t xml:space="preserve"> </w:t>
      </w:r>
      <w:r>
        <w:t>Young assesses five different hypotheses regarding the use of Arabic terms for animals and plants as kinship group names</w:t>
      </w:r>
      <w:r w:rsidR="00E96AFE">
        <w:t xml:space="preserve"> in Chapter Six</w:t>
      </w:r>
      <w:r>
        <w:t xml:space="preserve">. </w:t>
      </w:r>
      <w:r w:rsidR="00E96AFE">
        <w:t>First, h</w:t>
      </w:r>
      <w:r>
        <w:t xml:space="preserve">e rejects the totemism argument </w:t>
      </w:r>
      <w:r w:rsidR="00E96AFE">
        <w:t>advanced</w:t>
      </w:r>
      <w:r>
        <w:t xml:space="preserve"> well over a century ago by Robertson Smith as lacking any credible evidence. </w:t>
      </w:r>
      <w:r w:rsidR="00E96AFE">
        <w:t>Second, a</w:t>
      </w:r>
      <w:r>
        <w:t xml:space="preserve"> suggestion by al-</w:t>
      </w:r>
      <w:proofErr w:type="spellStart"/>
      <w:r>
        <w:t>Jāhiẓ</w:t>
      </w:r>
      <w:proofErr w:type="spellEnd"/>
      <w:r>
        <w:t xml:space="preserve"> and other Arab authors is what Young </w:t>
      </w:r>
      <w:r w:rsidR="00E96AFE">
        <w:t xml:space="preserve">then </w:t>
      </w:r>
      <w:r>
        <w:t xml:space="preserve">defines as the ‘predatory animals’ hypothesis; thus, the name </w:t>
      </w:r>
      <w:proofErr w:type="spellStart"/>
      <w:r>
        <w:t>Asad</w:t>
      </w:r>
      <w:proofErr w:type="spellEnd"/>
      <w:r>
        <w:t xml:space="preserve"> </w:t>
      </w:r>
      <w:r w:rsidR="007A763F">
        <w:t>is said</w:t>
      </w:r>
      <w:r w:rsidR="002F0DF6">
        <w:t xml:space="preserve"> by these authors</w:t>
      </w:r>
      <w:r w:rsidR="007A763F">
        <w:t xml:space="preserve"> to </w:t>
      </w:r>
      <w:r>
        <w:t xml:space="preserve">refer to the </w:t>
      </w:r>
      <w:r w:rsidR="002C654B">
        <w:t>f</w:t>
      </w:r>
      <w:r>
        <w:t>erocity of the lion</w:t>
      </w:r>
      <w:r w:rsidR="002C654B">
        <w:t xml:space="preserve"> and in theory </w:t>
      </w:r>
      <w:r w:rsidR="00E96AFE">
        <w:t xml:space="preserve">this </w:t>
      </w:r>
      <w:r w:rsidR="002C654B">
        <w:t>strikes fear in one’s enemies.</w:t>
      </w:r>
      <w:r w:rsidR="00390909">
        <w:t xml:space="preserve"> There is a lengthy discussion </w:t>
      </w:r>
      <w:r w:rsidR="00E96AFE">
        <w:t xml:space="preserve">by Young </w:t>
      </w:r>
      <w:r w:rsidR="00390909">
        <w:t xml:space="preserve">on how this relates to </w:t>
      </w:r>
      <w:r w:rsidR="00D55C95">
        <w:t>animal</w:t>
      </w:r>
      <w:r w:rsidR="00DD0CDE">
        <w:t xml:space="preserve"> and plant</w:t>
      </w:r>
      <w:r w:rsidR="00390909">
        <w:t xml:space="preserve"> terms in Arabic</w:t>
      </w:r>
      <w:r w:rsidR="002F0DF6">
        <w:t>,</w:t>
      </w:r>
      <w:r w:rsidR="00D55C95">
        <w:t xml:space="preserve"> with </w:t>
      </w:r>
      <w:proofErr w:type="gramStart"/>
      <w:r w:rsidR="00D55C95">
        <w:t>Young</w:t>
      </w:r>
      <w:proofErr w:type="gramEnd"/>
      <w:r w:rsidR="00D55C95">
        <w:t xml:space="preserve"> concluding that most of the names used are not from predatory animals.</w:t>
      </w:r>
      <w:r>
        <w:t xml:space="preserve"> </w:t>
      </w:r>
      <w:r w:rsidR="00D55C95">
        <w:t xml:space="preserve">The </w:t>
      </w:r>
      <w:r w:rsidR="00E96AFE">
        <w:t>third</w:t>
      </w:r>
      <w:r w:rsidR="00D55C95">
        <w:t xml:space="preserve"> hypothesis is that these names survived because an original ancestor was so named. Although the evidence collected by Young is </w:t>
      </w:r>
      <w:r w:rsidR="007A763F">
        <w:t xml:space="preserve">at times </w:t>
      </w:r>
      <w:r w:rsidR="00D55C95">
        <w:t>supportive of this hypothesis, it still begs the question of why the name was given in the first place.</w:t>
      </w:r>
      <w:r w:rsidR="00A82450">
        <w:t xml:space="preserve"> A similar theory was that personal nicknames were then applied </w:t>
      </w:r>
      <w:r w:rsidR="002F0DF6">
        <w:t>as</w:t>
      </w:r>
      <w:r w:rsidR="00A82450">
        <w:t xml:space="preserve"> group names. There is a discussion of why nicknames are chosen</w:t>
      </w:r>
      <w:r w:rsidR="002F0DF6">
        <w:t>,</w:t>
      </w:r>
      <w:r w:rsidR="00A82450">
        <w:t xml:space="preserve"> in general</w:t>
      </w:r>
      <w:r w:rsidR="002F0DF6">
        <w:t>,</w:t>
      </w:r>
      <w:r w:rsidR="00A82450">
        <w:t xml:space="preserve"> as well as in Arab tradition. However</w:t>
      </w:r>
      <w:r w:rsidR="002F0DF6">
        <w:t>,</w:t>
      </w:r>
      <w:r w:rsidR="00A82450">
        <w:t xml:space="preserve"> the author finds that it is not possible to ver</w:t>
      </w:r>
      <w:r w:rsidR="00687340">
        <w:t>i</w:t>
      </w:r>
      <w:r w:rsidR="00A82450">
        <w:t>fy this</w:t>
      </w:r>
      <w:r w:rsidR="00E96AFE">
        <w:t>, the fourth</w:t>
      </w:r>
      <w:r w:rsidR="00A82450">
        <w:t xml:space="preserve"> hypothesis</w:t>
      </w:r>
      <w:r w:rsidR="00E96AFE">
        <w:t>,</w:t>
      </w:r>
      <w:r w:rsidR="00A82450">
        <w:t xml:space="preserve"> through quantifiable methods. </w:t>
      </w:r>
      <w:r w:rsidR="007A763F">
        <w:t>Yet another</w:t>
      </w:r>
      <w:r w:rsidR="00A82450">
        <w:t xml:space="preserve"> hypothesis is that the early Bedouins would have naturally named their children after ‘beasts of the field,’ but this is derided</w:t>
      </w:r>
      <w:r w:rsidR="007A763F">
        <w:t xml:space="preserve"> by Young</w:t>
      </w:r>
      <w:r w:rsidR="00A82450">
        <w:t xml:space="preserve"> as theoretically naïve. There </w:t>
      </w:r>
      <w:r w:rsidR="0095562A">
        <w:t>follows</w:t>
      </w:r>
      <w:r w:rsidR="00A82450">
        <w:t xml:space="preserve"> a l</w:t>
      </w:r>
      <w:r w:rsidR="0095562A">
        <w:t>ong</w:t>
      </w:r>
      <w:r w:rsidR="00A82450">
        <w:t xml:space="preserve"> discuss</w:t>
      </w:r>
      <w:r w:rsidR="007A763F">
        <w:t>ion</w:t>
      </w:r>
      <w:r w:rsidR="00A82450">
        <w:t xml:space="preserve"> on Bedouin naming practices.</w:t>
      </w:r>
    </w:p>
    <w:p w14:paraId="0563BAC3" w14:textId="53802425" w:rsidR="006B0253" w:rsidRDefault="00844988" w:rsidP="00DC3270">
      <w:pPr>
        <w:ind w:firstLine="720"/>
        <w:jc w:val="both"/>
      </w:pPr>
      <w:r>
        <w:t xml:space="preserve">In Chapter </w:t>
      </w:r>
      <w:r w:rsidR="000E141F">
        <w:t>S</w:t>
      </w:r>
      <w:r>
        <w:t>even Young provides his own interpretation</w:t>
      </w:r>
      <w:r w:rsidR="002F0DF6">
        <w:t>,</w:t>
      </w:r>
      <w:r>
        <w:t xml:space="preserve"> which he calls the ‘</w:t>
      </w:r>
      <w:r w:rsidRPr="00844988">
        <w:t>obscuring internal cleavages hypothesis</w:t>
      </w:r>
      <w:r w:rsidR="000D6D4C">
        <w:t>.</w:t>
      </w:r>
      <w:r>
        <w:t>’ “</w:t>
      </w:r>
      <w:r w:rsidRPr="00844988">
        <w:t>My argument</w:t>
      </w:r>
      <w:r>
        <w:t>,</w:t>
      </w:r>
      <w:r w:rsidR="000D6D4C">
        <w:t>”</w:t>
      </w:r>
      <w:r>
        <w:t xml:space="preserve"> writes Young </w:t>
      </w:r>
      <w:r w:rsidR="00E96AFE">
        <w:t>(</w:t>
      </w:r>
      <w:r>
        <w:t>2024:252),</w:t>
      </w:r>
      <w:r w:rsidRPr="00844988">
        <w:t xml:space="preserve"> </w:t>
      </w:r>
      <w:r>
        <w:t>“</w:t>
      </w:r>
      <w:r w:rsidRPr="00844988">
        <w:t xml:space="preserve">is that the members of </w:t>
      </w:r>
      <w:r w:rsidRPr="00844988">
        <w:lastRenderedPageBreak/>
        <w:t>a Bedouin tribe adopt animal names for the tribe’s higher-level segments in order to break the connection between each segment’s identity and the tribe’s genealogical framework.</w:t>
      </w:r>
      <w:r>
        <w:t>” This is a sociological rather than a naturalistic perspective taking into account the genealogical nesting o</w:t>
      </w:r>
      <w:r w:rsidR="00C8591E">
        <w:t>f</w:t>
      </w:r>
      <w:r>
        <w:t xml:space="preserve"> tribal units. This chapter follows the Weberian model of distinguishing </w:t>
      </w:r>
      <w:r w:rsidR="00001841">
        <w:t>Bedouin vs sedentary tribes as ideal types. The chapter has a lengthy discussion of various kinds of tribal organization in the Arab world, past and present</w:t>
      </w:r>
      <w:r w:rsidR="000E141F">
        <w:t xml:space="preserve">, including the concept of ‘segmentary lineage.’ </w:t>
      </w:r>
      <w:r w:rsidR="008048D6">
        <w:t xml:space="preserve">The author </w:t>
      </w:r>
      <w:r w:rsidR="00971876">
        <w:t>explores the ways in which Arab tribes, especially Bedouins</w:t>
      </w:r>
      <w:r w:rsidR="00734D55">
        <w:t>,</w:t>
      </w:r>
      <w:r w:rsidR="00971876">
        <w:t xml:space="preserve"> represent their attachment to tribal links. This is done by exploring the metaphors used in ethnographic examples.</w:t>
      </w:r>
      <w:r w:rsidR="003770BB">
        <w:t xml:space="preserve"> Examples are given of what is often called patron/client relations, including tables of </w:t>
      </w:r>
      <w:r w:rsidR="00734D55">
        <w:t xml:space="preserve">terms for </w:t>
      </w:r>
      <w:r w:rsidR="003770BB" w:rsidRPr="003770BB">
        <w:t>politically prominent</w:t>
      </w:r>
      <w:r w:rsidR="003770BB">
        <w:t xml:space="preserve"> and peripheral</w:t>
      </w:r>
      <w:r w:rsidR="003770BB" w:rsidRPr="003770BB">
        <w:t xml:space="preserve"> tribesmen</w:t>
      </w:r>
      <w:r w:rsidR="003770BB">
        <w:t xml:space="preserve"> (Young 2024:319-320).</w:t>
      </w:r>
      <w:r w:rsidR="008048D6">
        <w:t xml:space="preserve"> His point is to go beyond seeing the Bedouin tribe as </w:t>
      </w:r>
      <w:r w:rsidR="00E96AFE">
        <w:t>just</w:t>
      </w:r>
      <w:r w:rsidR="008048D6">
        <w:t xml:space="preserve"> a patrilineal descent group. “</w:t>
      </w:r>
      <w:r w:rsidR="008048D6" w:rsidRPr="008048D6">
        <w:t>Instead,</w:t>
      </w:r>
      <w:r w:rsidR="008048D6">
        <w:t>” argues Young (2024:322),</w:t>
      </w:r>
    </w:p>
    <w:p w14:paraId="5E5E86E7" w14:textId="0AE75538" w:rsidR="006B0253" w:rsidRPr="006B0253" w:rsidRDefault="008048D6" w:rsidP="006B0253">
      <w:pPr>
        <w:spacing w:before="120" w:after="120"/>
        <w:ind w:left="720"/>
        <w:jc w:val="both"/>
        <w:rPr>
          <w:sz w:val="20"/>
          <w:szCs w:val="20"/>
        </w:rPr>
      </w:pPr>
      <w:r w:rsidRPr="006B0253">
        <w:rPr>
          <w:sz w:val="20"/>
          <w:szCs w:val="20"/>
        </w:rPr>
        <w:t>it seems more accurate to characterize each Bedouin tribe as a heterogeneous collection</w:t>
      </w:r>
      <w:r w:rsidR="006B0253" w:rsidRPr="006B0253">
        <w:rPr>
          <w:sz w:val="20"/>
          <w:szCs w:val="20"/>
        </w:rPr>
        <w:t xml:space="preserve"> </w:t>
      </w:r>
      <w:r w:rsidRPr="006B0253">
        <w:rPr>
          <w:sz w:val="20"/>
          <w:szCs w:val="20"/>
        </w:rPr>
        <w:t xml:space="preserve">of kinship groups of disparate origins who cluster around a </w:t>
      </w:r>
      <w:proofErr w:type="spellStart"/>
      <w:r w:rsidRPr="006B0253">
        <w:rPr>
          <w:i/>
          <w:iCs/>
          <w:sz w:val="20"/>
          <w:szCs w:val="20"/>
        </w:rPr>
        <w:t>shaykhly</w:t>
      </w:r>
      <w:proofErr w:type="spellEnd"/>
      <w:r w:rsidRPr="006B0253">
        <w:rPr>
          <w:sz w:val="20"/>
          <w:szCs w:val="20"/>
        </w:rPr>
        <w:t xml:space="preserve"> house – or, perhaps, several </w:t>
      </w:r>
      <w:proofErr w:type="spellStart"/>
      <w:r w:rsidRPr="006B0253">
        <w:rPr>
          <w:i/>
          <w:iCs/>
          <w:sz w:val="20"/>
          <w:szCs w:val="20"/>
        </w:rPr>
        <w:t>shaykhly</w:t>
      </w:r>
      <w:proofErr w:type="spellEnd"/>
      <w:r w:rsidRPr="006B0253">
        <w:rPr>
          <w:sz w:val="20"/>
          <w:szCs w:val="20"/>
        </w:rPr>
        <w:t xml:space="preserve"> houses that vie for status and clients. Given that most Bedouin tribes competed with others for access to pasture, water, and markets, tribe members had good reasons for trying to conceal internal cleavages between core and periphery and to present themselves as a unified bloc to outsiders.</w:t>
      </w:r>
    </w:p>
    <w:p w14:paraId="2C746529" w14:textId="24476F88" w:rsidR="000E141F" w:rsidRDefault="008048D6" w:rsidP="00DC3270">
      <w:pPr>
        <w:ind w:firstLine="720"/>
        <w:jc w:val="both"/>
      </w:pPr>
      <w:r>
        <w:t>Tests of this hypothesis are explored in Chapter Eight.</w:t>
      </w:r>
      <w:r w:rsidR="00DD7BAE">
        <w:t xml:space="preserve"> Again, methodology is the main focus as he discusses the difficulties of making sense of the names and their contexts of us</w:t>
      </w:r>
      <w:r w:rsidR="006B0253">
        <w:t>e</w:t>
      </w:r>
      <w:r w:rsidR="00DD7BAE">
        <w:t>.</w:t>
      </w:r>
      <w:r w:rsidR="00B0491D">
        <w:t xml:space="preserve"> The final chapter concludes with a brief review of the evidence for</w:t>
      </w:r>
      <w:r w:rsidR="0078695D">
        <w:t>,</w:t>
      </w:r>
      <w:r w:rsidR="00B0491D">
        <w:t xml:space="preserve"> and against</w:t>
      </w:r>
      <w:r w:rsidR="0078695D">
        <w:t>,</w:t>
      </w:r>
      <w:r w:rsidR="00B0491D">
        <w:t xml:space="preserve"> the five </w:t>
      </w:r>
      <w:r w:rsidR="00687340">
        <w:t>hypotheses</w:t>
      </w:r>
      <w:r w:rsidR="00B0491D">
        <w:t xml:space="preserve"> about why Arab tribal names use terms for animals and plants. While he admits that each of these hypotheses, apart from totemism, may be useful for certain names, he thinks his own</w:t>
      </w:r>
      <w:r w:rsidR="006B0253">
        <w:t>,</w:t>
      </w:r>
      <w:r w:rsidR="00B0491D">
        <w:t xml:space="preserve"> </w:t>
      </w:r>
      <w:r w:rsidR="00734D55">
        <w:t xml:space="preserve">new </w:t>
      </w:r>
      <w:r w:rsidR="00B0491D">
        <w:t>hypothesis</w:t>
      </w:r>
      <w:r w:rsidR="006B0253">
        <w:t>,</w:t>
      </w:r>
      <w:r w:rsidR="00B0491D">
        <w:t xml:space="preserve"> is the best way forward. A number of suggestions are made for future research, including other ways to test his hypothesis of ‘</w:t>
      </w:r>
      <w:r w:rsidR="00B0491D" w:rsidRPr="00B0491D">
        <w:t>obscuring internal cleavages</w:t>
      </w:r>
      <w:r w:rsidR="00B0491D">
        <w:t xml:space="preserve">.’ </w:t>
      </w:r>
    </w:p>
    <w:p w14:paraId="5032D14C" w14:textId="064787EE" w:rsidR="004B4279" w:rsidRDefault="00F374E5" w:rsidP="00DC3270">
      <w:pPr>
        <w:ind w:firstLine="720"/>
        <w:jc w:val="both"/>
      </w:pPr>
      <w:r>
        <w:t xml:space="preserve">As acknowledged by the author, this book </w:t>
      </w:r>
      <w:r w:rsidR="00A20F80">
        <w:t>responds to</w:t>
      </w:r>
      <w:r>
        <w:t xml:space="preserve"> the earlier work of William Robertson </w:t>
      </w:r>
      <w:r w:rsidR="004126C5">
        <w:t>S</w:t>
      </w:r>
      <w:r>
        <w:t>mith</w:t>
      </w:r>
      <w:r w:rsidR="004126C5">
        <w:t xml:space="preserve">, whose </w:t>
      </w:r>
      <w:r w:rsidR="004126C5" w:rsidRPr="004126C5">
        <w:rPr>
          <w:i/>
          <w:iCs/>
        </w:rPr>
        <w:t>Kinship and Marriage in Early Arabia</w:t>
      </w:r>
      <w:r w:rsidR="003A1674">
        <w:rPr>
          <w:i/>
          <w:iCs/>
        </w:rPr>
        <w:t xml:space="preserve"> </w:t>
      </w:r>
      <w:r w:rsidR="003A1674" w:rsidRPr="003A1674">
        <w:t>was</w:t>
      </w:r>
      <w:r w:rsidR="004126C5">
        <w:rPr>
          <w:i/>
          <w:iCs/>
        </w:rPr>
        <w:t xml:space="preserve"> </w:t>
      </w:r>
      <w:r w:rsidR="004126C5" w:rsidRPr="004126C5">
        <w:t>first published in 1885</w:t>
      </w:r>
      <w:r w:rsidR="004126C5">
        <w:t xml:space="preserve"> </w:t>
      </w:r>
      <w:r w:rsidR="004126C5" w:rsidRPr="004126C5">
        <w:t>by Oxford</w:t>
      </w:r>
      <w:r w:rsidR="004126C5">
        <w:rPr>
          <w:i/>
          <w:iCs/>
        </w:rPr>
        <w:t xml:space="preserve"> </w:t>
      </w:r>
      <w:r w:rsidR="004126C5" w:rsidRPr="004126C5">
        <w:t>University Press</w:t>
      </w:r>
      <w:r w:rsidR="003A1674">
        <w:t>.</w:t>
      </w:r>
      <w:r w:rsidR="004B4279">
        <w:t xml:space="preserve"> </w:t>
      </w:r>
      <w:r w:rsidR="00FD727D">
        <w:t>The writing of Robertson Smith has been praised by a number of anthropologists over the years, such as Edmund Leach (1</w:t>
      </w:r>
      <w:r w:rsidR="000D6D4C">
        <w:t>9</w:t>
      </w:r>
      <w:r w:rsidR="00FD727D">
        <w:t>85:238), who thought it to be sociological unlike the folklore of Frazer.</w:t>
      </w:r>
      <w:r w:rsidR="009C5B39">
        <w:t xml:space="preserve"> As Alexander </w:t>
      </w:r>
      <w:proofErr w:type="spellStart"/>
      <w:r w:rsidR="009C5B39" w:rsidRPr="00EF0BA1">
        <w:t>Bošković</w:t>
      </w:r>
      <w:proofErr w:type="spellEnd"/>
      <w:r w:rsidR="009C5B39">
        <w:t xml:space="preserve"> (2021:1) writes, “</w:t>
      </w:r>
      <w:r w:rsidR="009C5B39" w:rsidRPr="009C5B39">
        <w:t xml:space="preserve">His concept of the relationship between myth and ritual influenced generations of scholars, both in anthropology and sociology, and in the so-called </w:t>
      </w:r>
      <w:r w:rsidR="00734D55">
        <w:t>‘</w:t>
      </w:r>
      <w:r w:rsidR="009C5B39" w:rsidRPr="009C5B39">
        <w:t>myth and ritual school.</w:t>
      </w:r>
      <w:r w:rsidR="00734D55">
        <w:t>’</w:t>
      </w:r>
      <w:r w:rsidR="009C5B39" w:rsidRPr="009C5B39">
        <w:t>”</w:t>
      </w:r>
      <w:r w:rsidR="009C5B39">
        <w:t xml:space="preserve"> </w:t>
      </w:r>
      <w:r w:rsidR="00A20F80">
        <w:t>However, Robertson Smith was a product of his age when it was assume</w:t>
      </w:r>
      <w:r w:rsidR="00687340">
        <w:t>d</w:t>
      </w:r>
      <w:r w:rsidR="00A20F80">
        <w:t xml:space="preserve"> that ‘primitive’ people were more like children and subject to mythic assumptions. </w:t>
      </w:r>
      <w:r w:rsidR="004B4279">
        <w:t xml:space="preserve">At the time, Smith thought the topic of totemism to be of major importance and guided James G. Frazer, a friend and colleague at Cambridge, in writing the article on ‘totemism’ for the </w:t>
      </w:r>
      <w:proofErr w:type="spellStart"/>
      <w:r w:rsidR="004B4279" w:rsidRPr="004B4279">
        <w:rPr>
          <w:i/>
          <w:iCs/>
        </w:rPr>
        <w:t>Encyclopaedia</w:t>
      </w:r>
      <w:proofErr w:type="spellEnd"/>
      <w:r w:rsidR="004B4279" w:rsidRPr="004B4279">
        <w:rPr>
          <w:i/>
          <w:iCs/>
        </w:rPr>
        <w:t xml:space="preserve"> Britannica</w:t>
      </w:r>
      <w:r w:rsidR="004B4279">
        <w:t xml:space="preserve"> (</w:t>
      </w:r>
      <w:proofErr w:type="spellStart"/>
      <w:r w:rsidR="004B4279" w:rsidRPr="00EF0BA1">
        <w:t>Bošković</w:t>
      </w:r>
      <w:proofErr w:type="spellEnd"/>
      <w:r w:rsidR="004B4279">
        <w:t xml:space="preserve"> 2021:19).</w:t>
      </w:r>
      <w:r w:rsidR="00A20F80">
        <w:t xml:space="preserve"> </w:t>
      </w:r>
    </w:p>
    <w:p w14:paraId="2E403801" w14:textId="1E4BB867" w:rsidR="00A20F80" w:rsidRDefault="00A20F80" w:rsidP="00DC3270">
      <w:pPr>
        <w:ind w:firstLine="720"/>
        <w:jc w:val="both"/>
      </w:pPr>
      <w:r>
        <w:t xml:space="preserve">While there is much to admire in the sociological focus </w:t>
      </w:r>
      <w:r w:rsidR="006B0253">
        <w:t>i</w:t>
      </w:r>
      <w:r>
        <w:t>n Robertson Smith</w:t>
      </w:r>
      <w:r w:rsidR="0078695D">
        <w:t>’</w:t>
      </w:r>
      <w:r>
        <w:t xml:space="preserve">s work, </w:t>
      </w:r>
      <w:r w:rsidR="003A31D9">
        <w:t xml:space="preserve">his application of ‘totemism’ is mired in the Victorian bias of defining this as “savage ways of thought” in which the Arabs so-named for an animal believe that </w:t>
      </w:r>
      <w:r w:rsidR="0078695D">
        <w:t xml:space="preserve">that </w:t>
      </w:r>
      <w:r w:rsidR="003A31D9">
        <w:t xml:space="preserve">animal was in a physical sense their ancestor (Robertson Smith 1885:203). Smith’s primary sources were textual at a time when there was virtually no ethnography on Arab tribes apart </w:t>
      </w:r>
      <w:r w:rsidR="006B0253">
        <w:t xml:space="preserve">from </w:t>
      </w:r>
      <w:r w:rsidR="003A31D9">
        <w:t xml:space="preserve">descriptions </w:t>
      </w:r>
      <w:r w:rsidR="006B0253">
        <w:t>made by</w:t>
      </w:r>
      <w:r w:rsidR="003A31D9">
        <w:t xml:space="preserve"> a few travelers. Young is well aware of the limitations of this view of totemism, noting: “</w:t>
      </w:r>
      <w:r w:rsidR="003A31D9" w:rsidRPr="003A31D9">
        <w:t xml:space="preserve">I became aware of his two contradictory impulses: first, his determination to force the data into the procrustean bed of his theses – </w:t>
      </w:r>
      <w:r w:rsidR="00734D55">
        <w:t>‘</w:t>
      </w:r>
      <w:r w:rsidR="003A31D9" w:rsidRPr="003A31D9">
        <w:t>ancient matriliny</w:t>
      </w:r>
      <w:r w:rsidR="00734D55">
        <w:t>’</w:t>
      </w:r>
      <w:r w:rsidR="003A31D9" w:rsidRPr="003A31D9">
        <w:t xml:space="preserve"> and </w:t>
      </w:r>
      <w:r w:rsidR="00734D55">
        <w:t>‘</w:t>
      </w:r>
      <w:r w:rsidR="003A31D9" w:rsidRPr="003A31D9">
        <w:t>totemism</w:t>
      </w:r>
      <w:r w:rsidR="00734D55">
        <w:t>’</w:t>
      </w:r>
      <w:r w:rsidR="003A31D9" w:rsidRPr="003A31D9">
        <w:t xml:space="preserve"> – and, second, his intellectual honesty, which compelled him at points to admit that not all of the data fit</w:t>
      </w:r>
      <w:r w:rsidR="003A31D9">
        <w:t xml:space="preserve">” (Young 2024:23). While this early concept of totemism has no practical value today, the </w:t>
      </w:r>
      <w:r w:rsidR="00397E63">
        <w:t xml:space="preserve">issue it was meant to explain remains one worth pursuing and it </w:t>
      </w:r>
      <w:r w:rsidR="006B0253">
        <w:t xml:space="preserve">is </w:t>
      </w:r>
      <w:r w:rsidR="00397E63">
        <w:t>what inspired Young to write this text.</w:t>
      </w:r>
    </w:p>
    <w:p w14:paraId="5ACB3BBA" w14:textId="2F641120" w:rsidR="00FE3151" w:rsidRDefault="00883497" w:rsidP="00DC3270">
      <w:pPr>
        <w:ind w:firstLine="720"/>
        <w:jc w:val="both"/>
      </w:pPr>
      <w:r>
        <w:lastRenderedPageBreak/>
        <w:t>The best way to describe this book</w:t>
      </w:r>
      <w:r w:rsidR="006B0253">
        <w:t xml:space="preserve"> as a whole</w:t>
      </w:r>
      <w:r>
        <w:t xml:space="preserve"> is to note that it is </w:t>
      </w:r>
      <w:proofErr w:type="spellStart"/>
      <w:r>
        <w:t>encyclopaedic</w:t>
      </w:r>
      <w:proofErr w:type="spellEnd"/>
      <w:r>
        <w:t>, not meant to be a narrative flow but rather an exhaustive set of data contextualized by the methodologies for interpreting that data. Young has compiled what is certainly the most comprehensive survey of Arabic names related to animals and plants in a Western language. His sources are both classical and modern Arabic as well as relevant discussion</w:t>
      </w:r>
      <w:r w:rsidR="00DF43C7">
        <w:t>s</w:t>
      </w:r>
      <w:r>
        <w:t xml:space="preserve"> in Western languages. I </w:t>
      </w:r>
      <w:r w:rsidR="00DF43C7">
        <w:t>suggest that, in this regard,</w:t>
      </w:r>
      <w:r>
        <w:t xml:space="preserve"> it would have been useful to examine more of the earlier Arabic </w:t>
      </w:r>
      <w:r w:rsidR="00734D55">
        <w:t xml:space="preserve">lexical </w:t>
      </w:r>
      <w:r>
        <w:t xml:space="preserve">sources. </w:t>
      </w:r>
      <w:r w:rsidR="00FE3151">
        <w:t xml:space="preserve">For example, Ibn </w:t>
      </w:r>
      <w:proofErr w:type="spellStart"/>
      <w:r w:rsidR="00FE3151">
        <w:t>Fāris</w:t>
      </w:r>
      <w:proofErr w:type="spellEnd"/>
      <w:r w:rsidR="00FE3151">
        <w:t xml:space="preserve"> (d. 395/1004) in his </w:t>
      </w:r>
      <w:proofErr w:type="spellStart"/>
      <w:r w:rsidR="00FE3151" w:rsidRPr="00FE3151">
        <w:rPr>
          <w:i/>
          <w:iCs/>
        </w:rPr>
        <w:t>Majmal</w:t>
      </w:r>
      <w:proofErr w:type="spellEnd"/>
      <w:r w:rsidR="00FE3151" w:rsidRPr="00FE3151">
        <w:rPr>
          <w:i/>
          <w:iCs/>
        </w:rPr>
        <w:t xml:space="preserve"> al-</w:t>
      </w:r>
      <w:proofErr w:type="spellStart"/>
      <w:r w:rsidR="00FE3151" w:rsidRPr="00FE3151">
        <w:rPr>
          <w:i/>
          <w:iCs/>
        </w:rPr>
        <w:t>lugha</w:t>
      </w:r>
      <w:proofErr w:type="spellEnd"/>
      <w:r w:rsidR="00FE3151">
        <w:t xml:space="preserve"> quotes a hadith, questionable as it may be, of Muhammad regarding the tribe of </w:t>
      </w:r>
      <w:proofErr w:type="spellStart"/>
      <w:r w:rsidR="00FE3151">
        <w:t>Asad</w:t>
      </w:r>
      <w:proofErr w:type="spellEnd"/>
      <w:r w:rsidR="00FE3151">
        <w:t xml:space="preserve"> as the root stock (</w:t>
      </w:r>
      <w:proofErr w:type="spellStart"/>
      <w:r w:rsidR="00FE3151" w:rsidRPr="00FE3151">
        <w:rPr>
          <w:i/>
          <w:iCs/>
        </w:rPr>
        <w:t>jurthūma</w:t>
      </w:r>
      <w:proofErr w:type="spellEnd"/>
      <w:r w:rsidR="00FE3151">
        <w:t>) of the Ara</w:t>
      </w:r>
      <w:r w:rsidR="00794C7D">
        <w:t>bs, saying</w:t>
      </w:r>
      <w:r w:rsidR="00FE3151">
        <w:rPr>
          <w:rFonts w:hint="cs"/>
          <w:rtl/>
        </w:rPr>
        <w:t xml:space="preserve"> </w:t>
      </w:r>
      <w:r w:rsidR="00794C7D">
        <w:t>that</w:t>
      </w:r>
      <w:r w:rsidR="00FE3151">
        <w:t xml:space="preserve"> whoever has lost his lineage </w:t>
      </w:r>
      <w:r w:rsidR="00794C7D">
        <w:t>should</w:t>
      </w:r>
      <w:r w:rsidR="00FE3151">
        <w:t xml:space="preserve"> return to this</w:t>
      </w:r>
      <w:r w:rsidR="000D6D4C">
        <w:t xml:space="preserve"> (Ibn Faris 1984:1:96)</w:t>
      </w:r>
      <w:r w:rsidR="00FE3151">
        <w:t xml:space="preserve">. Here it seems that the meaning of the name is less important than the suggestion that it is </w:t>
      </w:r>
      <w:r w:rsidR="00794C7D">
        <w:t>the major</w:t>
      </w:r>
      <w:r w:rsidR="00FE3151">
        <w:t xml:space="preserve"> ancestral</w:t>
      </w:r>
      <w:r w:rsidR="00794C7D">
        <w:t xml:space="preserve"> link. </w:t>
      </w:r>
    </w:p>
    <w:p w14:paraId="7898FBFF" w14:textId="0251EDD9" w:rsidR="00883497" w:rsidRDefault="001A3133" w:rsidP="00DC3270">
      <w:pPr>
        <w:ind w:firstLine="720"/>
        <w:jc w:val="both"/>
      </w:pPr>
      <w:r>
        <w:t>T</w:t>
      </w:r>
      <w:r w:rsidR="00883497">
        <w:t xml:space="preserve">he important </w:t>
      </w:r>
      <w:r w:rsidR="00D27911">
        <w:t xml:space="preserve">botanical </w:t>
      </w:r>
      <w:r w:rsidR="00883497">
        <w:t xml:space="preserve">text of </w:t>
      </w:r>
      <w:proofErr w:type="spellStart"/>
      <w:r w:rsidR="00D27911">
        <w:t>Abū</w:t>
      </w:r>
      <w:proofErr w:type="spellEnd"/>
      <w:r w:rsidR="00D27911">
        <w:t xml:space="preserve"> </w:t>
      </w:r>
      <w:proofErr w:type="spellStart"/>
      <w:r w:rsidR="00D27911">
        <w:t>Ḥanīfa</w:t>
      </w:r>
      <w:proofErr w:type="spellEnd"/>
      <w:r w:rsidR="00D27911">
        <w:t xml:space="preserve"> al-</w:t>
      </w:r>
      <w:proofErr w:type="spellStart"/>
      <w:r w:rsidR="00D27911">
        <w:t>Dinawarī</w:t>
      </w:r>
      <w:proofErr w:type="spellEnd"/>
      <w:r w:rsidR="00D27911">
        <w:t xml:space="preserve"> (1974)</w:t>
      </w:r>
      <w:r w:rsidR="00883497">
        <w:t xml:space="preserve"> was not consulted</w:t>
      </w:r>
      <w:r w:rsidR="0007188C">
        <w:t xml:space="preserve">, </w:t>
      </w:r>
      <w:r>
        <w:t xml:space="preserve">nor </w:t>
      </w:r>
      <w:r w:rsidR="00DF43C7">
        <w:t xml:space="preserve">was </w:t>
      </w:r>
      <w:r w:rsidR="00883497">
        <w:t xml:space="preserve">Ibn </w:t>
      </w:r>
      <w:proofErr w:type="spellStart"/>
      <w:r w:rsidR="00883497">
        <w:t>Sīda’s</w:t>
      </w:r>
      <w:proofErr w:type="spellEnd"/>
      <w:r w:rsidR="00883497">
        <w:t xml:space="preserve"> </w:t>
      </w:r>
      <w:r w:rsidR="00D71CA5">
        <w:t xml:space="preserve">(1965) </w:t>
      </w:r>
      <w:r w:rsidR="00883497" w:rsidRPr="00883497">
        <w:rPr>
          <w:i/>
          <w:iCs/>
        </w:rPr>
        <w:t>al-</w:t>
      </w:r>
      <w:proofErr w:type="spellStart"/>
      <w:r w:rsidR="00883497" w:rsidRPr="00883497">
        <w:rPr>
          <w:i/>
          <w:iCs/>
        </w:rPr>
        <w:t>Mukhaṣṣa</w:t>
      </w:r>
      <w:r w:rsidR="00FA3729">
        <w:rPr>
          <w:i/>
          <w:iCs/>
        </w:rPr>
        <w:t>ṣ</w:t>
      </w:r>
      <w:proofErr w:type="spellEnd"/>
      <w:r w:rsidR="00FA3729">
        <w:rPr>
          <w:i/>
          <w:iCs/>
        </w:rPr>
        <w:t xml:space="preserve"> </w:t>
      </w:r>
      <w:r w:rsidR="00883497">
        <w:t>thesaurus</w:t>
      </w:r>
      <w:r>
        <w:t xml:space="preserve">. The latter is </w:t>
      </w:r>
      <w:r w:rsidR="00D71CA5">
        <w:t>especially</w:t>
      </w:r>
      <w:r>
        <w:t xml:space="preserve"> relevant</w:t>
      </w:r>
      <w:r w:rsidR="00D71CA5">
        <w:t xml:space="preserve"> for tribal terminology as well as names </w:t>
      </w:r>
      <w:r>
        <w:t>associated with</w:t>
      </w:r>
      <w:r w:rsidR="00D71CA5">
        <w:t xml:space="preserve"> animals and plants.</w:t>
      </w:r>
      <w:r w:rsidR="00883497">
        <w:t xml:space="preserve"> Nor does Young directly quote from </w:t>
      </w:r>
      <w:r w:rsidR="00D71CA5">
        <w:t>several</w:t>
      </w:r>
      <w:r w:rsidR="00883497">
        <w:t xml:space="preserve"> </w:t>
      </w:r>
      <w:r w:rsidR="00D27911">
        <w:t xml:space="preserve">of the </w:t>
      </w:r>
      <w:r w:rsidR="002962B9">
        <w:t>major</w:t>
      </w:r>
      <w:r>
        <w:t xml:space="preserve"> early</w:t>
      </w:r>
      <w:r w:rsidR="00883497">
        <w:t xml:space="preserve"> Arabic lexicons, including</w:t>
      </w:r>
      <w:r w:rsidR="00D71CA5">
        <w:t xml:space="preserve"> the earliest of the 8</w:t>
      </w:r>
      <w:r w:rsidR="00D71CA5" w:rsidRPr="00D71CA5">
        <w:rPr>
          <w:vertAlign w:val="superscript"/>
        </w:rPr>
        <w:t>th</w:t>
      </w:r>
      <w:r w:rsidR="00D71CA5">
        <w:t xml:space="preserve"> century CE </w:t>
      </w:r>
      <w:proofErr w:type="spellStart"/>
      <w:r w:rsidR="00D71CA5">
        <w:t>Khalīl</w:t>
      </w:r>
      <w:proofErr w:type="spellEnd"/>
      <w:r w:rsidR="00D71CA5">
        <w:t xml:space="preserve"> b. </w:t>
      </w:r>
      <w:proofErr w:type="spellStart"/>
      <w:r w:rsidR="00D71CA5">
        <w:t>Aḥmad</w:t>
      </w:r>
      <w:proofErr w:type="spellEnd"/>
      <w:r w:rsidR="00D71CA5">
        <w:t xml:space="preserve"> (200</w:t>
      </w:r>
      <w:r w:rsidR="00FA3729">
        <w:t>3</w:t>
      </w:r>
      <w:r w:rsidR="00D71CA5">
        <w:t xml:space="preserve">). </w:t>
      </w:r>
      <w:r w:rsidR="000D6D4C">
        <w:t xml:space="preserve">It is a mistake to rely on the major </w:t>
      </w:r>
      <w:r w:rsidR="00D71CA5">
        <w:t xml:space="preserve">Arabic-English </w:t>
      </w:r>
      <w:r w:rsidR="000D6D4C">
        <w:t>lexicon of Edward Lane, useful as it is, without returning to the original Arabic lexical source, since Lane does not provide the full information</w:t>
      </w:r>
      <w:r w:rsidR="00F53613">
        <w:t xml:space="preserve"> and is incomplete.</w:t>
      </w:r>
      <w:r>
        <w:t xml:space="preserve"> Nor do I see the value of the 19</w:t>
      </w:r>
      <w:r w:rsidRPr="001A3133">
        <w:rPr>
          <w:vertAlign w:val="superscript"/>
        </w:rPr>
        <w:t>th</w:t>
      </w:r>
      <w:r>
        <w:t xml:space="preserve"> century lexicon of al-</w:t>
      </w:r>
      <w:proofErr w:type="spellStart"/>
      <w:r>
        <w:t>Bustānī</w:t>
      </w:r>
      <w:proofErr w:type="spellEnd"/>
      <w:r>
        <w:t xml:space="preserve"> when earlier lexicons provide more relevant information</w:t>
      </w:r>
      <w:r w:rsidR="0007188C">
        <w:t xml:space="preserve"> on the </w:t>
      </w:r>
      <w:r w:rsidR="00DF43C7">
        <w:t xml:space="preserve">same </w:t>
      </w:r>
      <w:r w:rsidR="0007188C">
        <w:t>terms</w:t>
      </w:r>
      <w:r>
        <w:t>.</w:t>
      </w:r>
    </w:p>
    <w:p w14:paraId="421A0502" w14:textId="0F567A02" w:rsidR="006A63F9" w:rsidRDefault="002962B9" w:rsidP="00DC3270">
      <w:pPr>
        <w:ind w:firstLine="720"/>
        <w:jc w:val="both"/>
      </w:pPr>
      <w:r>
        <w:t xml:space="preserve">Young’s analysis is focused on the variety of ways in which Arabs, as well as other groups in the Middle East region, have been and are considered tribal. In anthropology the term ‘tribe’ requires context, since it has been indiscriminately used for groups of people worldwide at a particular stage or </w:t>
      </w:r>
      <w:r w:rsidR="001A3133">
        <w:t xml:space="preserve">as a pre-state </w:t>
      </w:r>
      <w:r>
        <w:t xml:space="preserve">kind of polity. The standard Arabic term translated as tribe is </w:t>
      </w:r>
      <w:proofErr w:type="spellStart"/>
      <w:r w:rsidRPr="002962B9">
        <w:rPr>
          <w:i/>
          <w:iCs/>
        </w:rPr>
        <w:t>qabīla</w:t>
      </w:r>
      <w:proofErr w:type="spellEnd"/>
      <w:r>
        <w:t>, but there are many terms referring to tribal organization at all levels. The focus on genealogy, whether assumed to be real or fictive, has been the dominant assumption of what it means to be tribal. There is an indigenous Arabic genre of such genealogy (</w:t>
      </w:r>
      <w:proofErr w:type="spellStart"/>
      <w:r w:rsidRPr="002962B9">
        <w:rPr>
          <w:i/>
          <w:iCs/>
        </w:rPr>
        <w:t>nasab</w:t>
      </w:r>
      <w:proofErr w:type="spellEnd"/>
      <w:r>
        <w:t>)</w:t>
      </w:r>
      <w:r w:rsidR="00C26C47">
        <w:t xml:space="preserve">; </w:t>
      </w:r>
      <w:r>
        <w:t>its development in the early Islamic era was thoroughly political</w:t>
      </w:r>
      <w:r w:rsidR="003A59D8">
        <w:t xml:space="preserve"> as was</w:t>
      </w:r>
      <w:r>
        <w:t xml:space="preserve"> the case </w:t>
      </w:r>
      <w:r w:rsidR="00DF43C7">
        <w:t xml:space="preserve">for </w:t>
      </w:r>
      <w:r>
        <w:t>the biblical and other early Near Eastern genealogies</w:t>
      </w:r>
      <w:r w:rsidR="003A59D8">
        <w:t>. A case in point is the genealogy of the prophet Muhammad, linking him back to Abraham via a nesting of ‘Arab’ segments (</w:t>
      </w:r>
      <w:proofErr w:type="spellStart"/>
      <w:r w:rsidR="003A59D8">
        <w:t>Varisco</w:t>
      </w:r>
      <w:proofErr w:type="spellEnd"/>
      <w:r w:rsidR="003A59D8">
        <w:t xml:space="preserve"> 1995).</w:t>
      </w:r>
      <w:r>
        <w:t xml:space="preserve"> </w:t>
      </w:r>
      <w:r w:rsidR="00C26C47">
        <w:t xml:space="preserve">The </w:t>
      </w:r>
      <w:r w:rsidR="006A63F9">
        <w:t xml:space="preserve">main </w:t>
      </w:r>
      <w:r w:rsidR="00C26C47">
        <w:t xml:space="preserve">problem Young faced in his research </w:t>
      </w:r>
      <w:r w:rsidR="006A63F9">
        <w:t xml:space="preserve">is </w:t>
      </w:r>
      <w:r w:rsidR="00C26C47">
        <w:t>that the textual sources are all in hindsight</w:t>
      </w:r>
      <w:r w:rsidR="0011532D">
        <w:t xml:space="preserve"> and subject to bias</w:t>
      </w:r>
      <w:r w:rsidR="00C26C47">
        <w:t xml:space="preserve">. It is not possible to analyze the terms in early sources as they were actually used, </w:t>
      </w:r>
      <w:r w:rsidR="00DF43C7">
        <w:t>whereas</w:t>
      </w:r>
      <w:r w:rsidR="00C26C47">
        <w:t xml:space="preserve"> one has the opportunity to do </w:t>
      </w:r>
      <w:r w:rsidR="00DF43C7">
        <w:t xml:space="preserve">so </w:t>
      </w:r>
      <w:r w:rsidR="00C26C47">
        <w:t>in ethnograph</w:t>
      </w:r>
      <w:r w:rsidR="00DF43C7">
        <w:t>ic accounts</w:t>
      </w:r>
      <w:r w:rsidR="00C26C47">
        <w:t xml:space="preserve">. Thus, the ultimate understanding of </w:t>
      </w:r>
      <w:r w:rsidR="006A63F9">
        <w:t xml:space="preserve">why certain names </w:t>
      </w:r>
      <w:proofErr w:type="gramStart"/>
      <w:r w:rsidR="006A63F9">
        <w:t>were</w:t>
      </w:r>
      <w:proofErr w:type="gramEnd"/>
      <w:r w:rsidR="00DF43C7">
        <w:t xml:space="preserve"> </w:t>
      </w:r>
      <w:r w:rsidR="006A63F9">
        <w:t xml:space="preserve">chosen by the early Arabs must rely on later opinions, which are often anecdotal. </w:t>
      </w:r>
    </w:p>
    <w:p w14:paraId="2EDED489" w14:textId="529297E3" w:rsidR="002C4687" w:rsidRDefault="006A63F9" w:rsidP="00DC3270">
      <w:pPr>
        <w:ind w:firstLine="720"/>
        <w:jc w:val="both"/>
        <w:rPr>
          <w:i/>
          <w:iCs/>
        </w:rPr>
      </w:pPr>
      <w:r>
        <w:t xml:space="preserve">As is the case with most studies in historical anthropology, ethnographic observations and specific anthropological methodological insights can suggest potential and at times likely scenarios for events that are only described in textual sources. However, what is written in a text is not necessarily documentary, even if it becomes standard as time goes by. The reasons Arabs or </w:t>
      </w:r>
      <w:r w:rsidR="002C4687">
        <w:t xml:space="preserve">members of </w:t>
      </w:r>
      <w:r>
        <w:t xml:space="preserve">any cultural group </w:t>
      </w:r>
      <w:r w:rsidR="002C4687">
        <w:t xml:space="preserve">originally </w:t>
      </w:r>
      <w:r>
        <w:t>chose specific names, no matter what the term</w:t>
      </w:r>
      <w:r w:rsidR="002C4687">
        <w:t>s</w:t>
      </w:r>
      <w:r>
        <w:t xml:space="preserve"> mean, </w:t>
      </w:r>
      <w:r w:rsidR="002C4687">
        <w:t xml:space="preserve">can only be surmised by reliance on what later written sources say. Ethnography can provide clues, especially in contexts without formal writing systems, but the present is always a precarious perch for understanding the past, as </w:t>
      </w:r>
      <w:r w:rsidR="00DF43C7">
        <w:t xml:space="preserve">the </w:t>
      </w:r>
      <w:r w:rsidR="002C4687">
        <w:t xml:space="preserve">historian Herbert Butterfield (1931) argued in his </w:t>
      </w:r>
      <w:r w:rsidR="002C4687" w:rsidRPr="002C4687">
        <w:rPr>
          <w:i/>
          <w:iCs/>
        </w:rPr>
        <w:t>The Whig Interpretation of History.</w:t>
      </w:r>
    </w:p>
    <w:p w14:paraId="055ED268" w14:textId="6031A442" w:rsidR="00BA1BE9" w:rsidRDefault="0011532D" w:rsidP="00DC3270">
      <w:pPr>
        <w:ind w:firstLine="720"/>
        <w:jc w:val="both"/>
      </w:pPr>
      <w:r>
        <w:t>One issue that I think deserves more attention is the variable nature of what is called ‘tribalism’ in Arabic sources. Young’s hypothesis of ‘</w:t>
      </w:r>
      <w:r w:rsidRPr="00B0491D">
        <w:t>obscuring internal cleavages</w:t>
      </w:r>
      <w:r>
        <w:t>’ rests in large part on what are called ‘Bedouin’ tribes, a concept that is overloaded with stereotypes of nomadism. By the time that Arabic became a formal language</w:t>
      </w:r>
      <w:r w:rsidR="00DF43C7">
        <w:t>,</w:t>
      </w:r>
      <w:r>
        <w:t xml:space="preserve"> the major economic livelihood in the Middle East region was settled agriculture, so it cannot be assumed that the earliest ‘Arab’ </w:t>
      </w:r>
      <w:r>
        <w:lastRenderedPageBreak/>
        <w:t xml:space="preserve">naming practices were by Bedouin or even that the tribal genealogical nesting in the Arabic literature was </w:t>
      </w:r>
      <w:r w:rsidR="00A466EE">
        <w:t xml:space="preserve">designed </w:t>
      </w:r>
      <w:r>
        <w:t xml:space="preserve">for Bedouin tribes. </w:t>
      </w:r>
      <w:r w:rsidR="002273C4">
        <w:t>I believe Young is correct to point out that there have been some hierarchical aspects to tribal organization, although this is difficult to isolate given that Bedouins would have been in contact with settled populations. This hypothesis rests on the idea that there was a need to separate the ‘true’ members of a genealogical group “</w:t>
      </w:r>
      <w:r w:rsidR="002273C4" w:rsidRPr="002273C4">
        <w:t>to prevent the proliferation of revenge killings after a homicide has been committed</w:t>
      </w:r>
      <w:r w:rsidR="002273C4">
        <w:t xml:space="preserve">” (Young 2024:259). </w:t>
      </w:r>
      <w:r w:rsidR="00696467">
        <w:t xml:space="preserve">This assumes that </w:t>
      </w:r>
      <w:r w:rsidR="00DF43C7">
        <w:t xml:space="preserve">there </w:t>
      </w:r>
      <w:r w:rsidR="00696467">
        <w:t xml:space="preserve">would have been detailed knowledge in the past of </w:t>
      </w:r>
      <w:r w:rsidR="00DF43C7">
        <w:t xml:space="preserve">a group’s </w:t>
      </w:r>
      <w:r w:rsidR="00696467">
        <w:t xml:space="preserve">genealogical ancestry, but in an oral society it is more likely that tribal members knew only a few generations back and after that simply fused </w:t>
      </w:r>
      <w:r w:rsidR="00DF43C7">
        <w:t xml:space="preserve">current names </w:t>
      </w:r>
      <w:r w:rsidR="00696467">
        <w:t xml:space="preserve">with remote ancestral names. </w:t>
      </w:r>
      <w:r w:rsidR="008329E0">
        <w:t xml:space="preserve">Young admits that most tribal members only have knowledge of immediate family members. </w:t>
      </w:r>
      <w:r w:rsidR="00696467">
        <w:t xml:space="preserve">It may be the case that </w:t>
      </w:r>
      <w:r w:rsidR="008329E0">
        <w:t xml:space="preserve">some </w:t>
      </w:r>
      <w:r w:rsidR="00696467">
        <w:t xml:space="preserve">ethnographic examples have individuals with </w:t>
      </w:r>
      <w:r w:rsidR="008329E0">
        <w:t>more</w:t>
      </w:r>
      <w:r w:rsidR="00696467">
        <w:t xml:space="preserve"> detailed knowledge, but can it be shown that such was the case in the past? Tribal customary law has options for revenge killing, so it seems unlikely that revenge would always require accurate knowledge of a man’s tribal ancestry if that man was living with that tribe. </w:t>
      </w:r>
    </w:p>
    <w:p w14:paraId="29A4FE40" w14:textId="63B5A1D0" w:rsidR="0011532D" w:rsidRDefault="004823AA" w:rsidP="00DC3270">
      <w:pPr>
        <w:ind w:firstLine="720"/>
        <w:jc w:val="both"/>
      </w:pPr>
      <w:r>
        <w:t xml:space="preserve">I do not find the analysis of the term “Quraysh’ </w:t>
      </w:r>
      <w:r w:rsidR="00E912B1">
        <w:t xml:space="preserve">as an animal nickname </w:t>
      </w:r>
      <w:r>
        <w:t xml:space="preserve">for an ancestral group of the prophet Muhammad convincing. The early lexicographer </w:t>
      </w:r>
      <w:proofErr w:type="spellStart"/>
      <w:r>
        <w:t>Khalīl</w:t>
      </w:r>
      <w:proofErr w:type="spellEnd"/>
      <w:r>
        <w:t xml:space="preserve"> b. </w:t>
      </w:r>
      <w:proofErr w:type="spellStart"/>
      <w:r>
        <w:t>Aḥmad</w:t>
      </w:r>
      <w:proofErr w:type="spellEnd"/>
      <w:r>
        <w:t xml:space="preserve"> (2002:3:375) defines Quraysh as meaning </w:t>
      </w:r>
      <w:proofErr w:type="spellStart"/>
      <w:proofErr w:type="gramStart"/>
      <w:r w:rsidRPr="004823AA">
        <w:rPr>
          <w:i/>
          <w:iCs/>
        </w:rPr>
        <w:t>tajammu</w:t>
      </w:r>
      <w:proofErr w:type="spellEnd"/>
      <w:r w:rsidRPr="004823AA">
        <w:rPr>
          <w:i/>
          <w:iCs/>
        </w:rPr>
        <w:t>‘</w:t>
      </w:r>
      <w:r>
        <w:t xml:space="preserve"> (</w:t>
      </w:r>
      <w:proofErr w:type="gramEnd"/>
      <w:r>
        <w:t xml:space="preserve">brought together) in reference to the conquest of Mecca by </w:t>
      </w:r>
      <w:proofErr w:type="spellStart"/>
      <w:r>
        <w:t>Quṣayy</w:t>
      </w:r>
      <w:proofErr w:type="spellEnd"/>
      <w:r>
        <w:t xml:space="preserve"> b. </w:t>
      </w:r>
      <w:proofErr w:type="spellStart"/>
      <w:r>
        <w:t>Kilāb</w:t>
      </w:r>
      <w:proofErr w:type="spellEnd"/>
      <w:r w:rsidR="00BA1BE9">
        <w:t>, as Young notes. There are other definitions that link the name to a shark, but it is common for early Arab writers to offer their own ideas</w:t>
      </w:r>
      <w:r w:rsidR="00F53613">
        <w:t>, some of which are quite wild</w:t>
      </w:r>
      <w:r w:rsidR="00BA1BE9">
        <w:t>. The idea of an ocean-going shark as a meaningful tribal segment name makes little sense for Mecca</w:t>
      </w:r>
      <w:r w:rsidR="00DF43C7">
        <w:t xml:space="preserve"> due to the fact that </w:t>
      </w:r>
      <w:r w:rsidR="00BA1BE9">
        <w:t>the term has a well-recognized meaning of gathering together. In either case</w:t>
      </w:r>
      <w:r w:rsidR="002B271E">
        <w:t>,</w:t>
      </w:r>
      <w:r w:rsidR="00BA1BE9">
        <w:t xml:space="preserve"> someone outside the group would not know the ancestor in question. However, the genealogy of Muhammad’s ancestors is fictitious with no historical </w:t>
      </w:r>
      <w:r w:rsidR="00F53613">
        <w:t>e</w:t>
      </w:r>
      <w:r w:rsidR="00BA1BE9">
        <w:t>vidence of the specific individuals going back in time</w:t>
      </w:r>
      <w:r w:rsidR="00F53613">
        <w:t xml:space="preserve"> (</w:t>
      </w:r>
      <w:proofErr w:type="spellStart"/>
      <w:r w:rsidR="00F53613">
        <w:t>Varisco</w:t>
      </w:r>
      <w:proofErr w:type="spellEnd"/>
      <w:r w:rsidR="00F53613">
        <w:t xml:space="preserve"> 1995:151)</w:t>
      </w:r>
      <w:r w:rsidR="00BA1BE9">
        <w:t>.</w:t>
      </w:r>
    </w:p>
    <w:p w14:paraId="1FE0B939" w14:textId="7631A2FC" w:rsidR="002962B9" w:rsidRDefault="00F53613" w:rsidP="00DC3270">
      <w:pPr>
        <w:ind w:firstLine="720"/>
        <w:jc w:val="both"/>
      </w:pPr>
      <w:r>
        <w:t xml:space="preserve">In sum, </w:t>
      </w:r>
      <w:r w:rsidR="002C4687">
        <w:t xml:space="preserve">Young’s work provides </w:t>
      </w:r>
      <w:r w:rsidR="002B271E">
        <w:t xml:space="preserve">us with </w:t>
      </w:r>
      <w:r w:rsidR="002C4687">
        <w:t xml:space="preserve">both a data base and methodological suggestions for further analysis and that is what makes this an important book for Arabists and anthropologists alike. Hopefully this work </w:t>
      </w:r>
      <w:r w:rsidR="002B271E">
        <w:t>w</w:t>
      </w:r>
      <w:r w:rsidR="002C4687">
        <w:t>ill stimulate further research o</w:t>
      </w:r>
      <w:r w:rsidR="00E912B1">
        <w:t>n</w:t>
      </w:r>
      <w:r w:rsidR="002C4687">
        <w:t xml:space="preserve"> the topic, especially by Arabists.  </w:t>
      </w:r>
    </w:p>
    <w:p w14:paraId="2CB75F35" w14:textId="77777777" w:rsidR="00ED79D1" w:rsidRDefault="00ED79D1" w:rsidP="00DC3270">
      <w:pPr>
        <w:jc w:val="both"/>
      </w:pPr>
    </w:p>
    <w:p w14:paraId="43881A54" w14:textId="77777777" w:rsidR="00ED79D1" w:rsidRDefault="00ED79D1" w:rsidP="00DC3270">
      <w:pPr>
        <w:jc w:val="both"/>
      </w:pPr>
    </w:p>
    <w:p w14:paraId="769B5868" w14:textId="5D78ADED" w:rsidR="005266C9" w:rsidRPr="002B271E" w:rsidRDefault="00ED79D1" w:rsidP="002B271E">
      <w:pPr>
        <w:spacing w:before="240" w:after="120"/>
        <w:jc w:val="both"/>
        <w:rPr>
          <w:b/>
          <w:bCs/>
        </w:rPr>
      </w:pPr>
      <w:r w:rsidRPr="002B271E">
        <w:rPr>
          <w:b/>
          <w:bCs/>
        </w:rPr>
        <w:t>References</w:t>
      </w:r>
    </w:p>
    <w:p w14:paraId="78B142DB" w14:textId="361989B5" w:rsidR="00EF0BA1" w:rsidRDefault="00EF0BA1" w:rsidP="002B271E">
      <w:pPr>
        <w:ind w:left="720" w:hanging="720"/>
        <w:jc w:val="both"/>
      </w:pPr>
      <w:proofErr w:type="spellStart"/>
      <w:r w:rsidRPr="00EF0BA1">
        <w:t>Bošković</w:t>
      </w:r>
      <w:proofErr w:type="spellEnd"/>
      <w:r>
        <w:t xml:space="preserve">, A. </w:t>
      </w:r>
      <w:r w:rsidR="00FD727D">
        <w:t xml:space="preserve">2021. </w:t>
      </w:r>
      <w:r w:rsidRPr="00EF0BA1">
        <w:rPr>
          <w:i/>
          <w:iCs/>
        </w:rPr>
        <w:t>William Robertson Smith</w:t>
      </w:r>
      <w:r>
        <w:t xml:space="preserve">. New York: </w:t>
      </w:r>
      <w:proofErr w:type="spellStart"/>
      <w:r>
        <w:t>Berghahn</w:t>
      </w:r>
      <w:proofErr w:type="spellEnd"/>
      <w:r>
        <w:t>.</w:t>
      </w:r>
    </w:p>
    <w:p w14:paraId="18B1DDB5" w14:textId="2AAFF45F" w:rsidR="002C4687" w:rsidRDefault="002C4687" w:rsidP="002B271E">
      <w:pPr>
        <w:ind w:left="720" w:hanging="720"/>
        <w:jc w:val="both"/>
        <w:rPr>
          <w:rFonts w:ascii="Times New Roman" w:hAnsi="Times New Roman" w:cs="Times New Roman"/>
        </w:rPr>
      </w:pPr>
      <w:r>
        <w:rPr>
          <w:rFonts w:ascii="Times New Roman" w:hAnsi="Times New Roman" w:cs="Times New Roman"/>
        </w:rPr>
        <w:t xml:space="preserve">Butterfield, H. 1931. </w:t>
      </w:r>
      <w:r w:rsidRPr="002C4687">
        <w:rPr>
          <w:rFonts w:ascii="Times New Roman" w:hAnsi="Times New Roman" w:cs="Times New Roman"/>
          <w:i/>
          <w:iCs/>
        </w:rPr>
        <w:t>The Whig Interpretation of History.</w:t>
      </w:r>
      <w:r>
        <w:rPr>
          <w:rFonts w:ascii="Times New Roman" w:hAnsi="Times New Roman" w:cs="Times New Roman"/>
        </w:rPr>
        <w:t xml:space="preserve"> London: Bell.</w:t>
      </w:r>
    </w:p>
    <w:p w14:paraId="30A4C53E" w14:textId="0E88FC9E" w:rsidR="005266C9" w:rsidRPr="002B271E" w:rsidRDefault="005266C9" w:rsidP="002B271E">
      <w:pPr>
        <w:ind w:left="720" w:hanging="720"/>
        <w:jc w:val="both"/>
        <w:rPr>
          <w:rFonts w:ascii="Times New Roman" w:hAnsi="Times New Roman" w:cs="Times New Roman"/>
        </w:rPr>
      </w:pPr>
      <w:r>
        <w:rPr>
          <w:rFonts w:ascii="Times New Roman" w:hAnsi="Times New Roman" w:cs="Times New Roman"/>
        </w:rPr>
        <w:t>al-</w:t>
      </w:r>
      <w:proofErr w:type="spellStart"/>
      <w:r>
        <w:rPr>
          <w:rFonts w:ascii="Times New Roman" w:hAnsi="Times New Roman" w:cs="Times New Roman"/>
        </w:rPr>
        <w:t>Damīrī</w:t>
      </w:r>
      <w:proofErr w:type="spellEnd"/>
      <w:r>
        <w:rPr>
          <w:rFonts w:ascii="Times New Roman" w:hAnsi="Times New Roman" w:cs="Times New Roman"/>
        </w:rPr>
        <w:t xml:space="preserve">, </w:t>
      </w:r>
      <w:proofErr w:type="spellStart"/>
      <w:r>
        <w:rPr>
          <w:rFonts w:ascii="Times New Roman" w:hAnsi="Times New Roman" w:cs="Times New Roman"/>
        </w:rPr>
        <w:t>Muḥammad</w:t>
      </w:r>
      <w:proofErr w:type="spellEnd"/>
      <w:r>
        <w:rPr>
          <w:rFonts w:ascii="Times New Roman" w:hAnsi="Times New Roman" w:cs="Times New Roman"/>
        </w:rPr>
        <w:t xml:space="preserve"> b. </w:t>
      </w:r>
      <w:proofErr w:type="spellStart"/>
      <w:r>
        <w:rPr>
          <w:rFonts w:ascii="Times New Roman" w:hAnsi="Times New Roman" w:cs="Times New Roman"/>
        </w:rPr>
        <w:t>Mūsā</w:t>
      </w:r>
      <w:proofErr w:type="spellEnd"/>
      <w:r>
        <w:rPr>
          <w:rFonts w:ascii="Times New Roman" w:hAnsi="Times New Roman" w:cs="Times New Roman"/>
        </w:rPr>
        <w:t xml:space="preserve">. 2005. </w:t>
      </w:r>
      <w:proofErr w:type="spellStart"/>
      <w:r>
        <w:rPr>
          <w:rFonts w:ascii="Times New Roman" w:hAnsi="Times New Roman" w:cs="Times New Roman"/>
          <w:i/>
          <w:iCs/>
        </w:rPr>
        <w:t>Ḥayāt</w:t>
      </w:r>
      <w:proofErr w:type="spellEnd"/>
      <w:r>
        <w:rPr>
          <w:rFonts w:ascii="Times New Roman" w:hAnsi="Times New Roman" w:cs="Times New Roman"/>
          <w:i/>
          <w:iCs/>
        </w:rPr>
        <w:t xml:space="preserve"> al-</w:t>
      </w:r>
      <w:proofErr w:type="spellStart"/>
      <w:r>
        <w:rPr>
          <w:rFonts w:ascii="Times New Roman" w:hAnsi="Times New Roman" w:cs="Times New Roman"/>
          <w:i/>
          <w:iCs/>
        </w:rPr>
        <w:t>ḥayawān</w:t>
      </w:r>
      <w:proofErr w:type="spellEnd"/>
      <w:r>
        <w:rPr>
          <w:rFonts w:ascii="Times New Roman" w:hAnsi="Times New Roman" w:cs="Times New Roman"/>
          <w:i/>
          <w:iCs/>
        </w:rPr>
        <w:t xml:space="preserve"> al-</w:t>
      </w:r>
      <w:proofErr w:type="spellStart"/>
      <w:r>
        <w:rPr>
          <w:rFonts w:ascii="Times New Roman" w:hAnsi="Times New Roman" w:cs="Times New Roman"/>
          <w:i/>
          <w:iCs/>
        </w:rPr>
        <w:t>kubrā</w:t>
      </w:r>
      <w:proofErr w:type="spellEnd"/>
      <w:r>
        <w:rPr>
          <w:rFonts w:ascii="Times New Roman" w:hAnsi="Times New Roman" w:cs="Times New Roman"/>
          <w:i/>
          <w:iCs/>
        </w:rPr>
        <w:t xml:space="preserve">. </w:t>
      </w:r>
      <w:r w:rsidRPr="005266C9">
        <w:rPr>
          <w:rFonts w:ascii="Times New Roman" w:hAnsi="Times New Roman" w:cs="Times New Roman"/>
        </w:rPr>
        <w:t>E</w:t>
      </w:r>
      <w:r>
        <w:rPr>
          <w:rFonts w:ascii="Times New Roman" w:hAnsi="Times New Roman" w:cs="Times New Roman"/>
        </w:rPr>
        <w:t xml:space="preserve">dited by </w:t>
      </w:r>
      <w:proofErr w:type="spellStart"/>
      <w:r>
        <w:rPr>
          <w:rFonts w:ascii="Times New Roman" w:hAnsi="Times New Roman" w:cs="Times New Roman"/>
        </w:rPr>
        <w:t>Ibrāhīm</w:t>
      </w:r>
      <w:proofErr w:type="spellEnd"/>
      <w:r>
        <w:rPr>
          <w:rFonts w:ascii="Times New Roman" w:hAnsi="Times New Roman" w:cs="Times New Roman"/>
        </w:rPr>
        <w:t xml:space="preserve"> </w:t>
      </w:r>
      <w:proofErr w:type="spellStart"/>
      <w:r>
        <w:rPr>
          <w:rFonts w:ascii="Times New Roman" w:hAnsi="Times New Roman" w:cs="Times New Roman"/>
        </w:rPr>
        <w:t>Ṣāliḥ</w:t>
      </w:r>
      <w:proofErr w:type="spellEnd"/>
      <w:r>
        <w:rPr>
          <w:rFonts w:ascii="Times New Roman" w:hAnsi="Times New Roman" w:cs="Times New Roman"/>
        </w:rPr>
        <w:t xml:space="preserve">. Damascus: </w:t>
      </w:r>
      <w:proofErr w:type="spellStart"/>
      <w:r>
        <w:rPr>
          <w:rFonts w:ascii="Times New Roman" w:hAnsi="Times New Roman" w:cs="Times New Roman"/>
        </w:rPr>
        <w:t>Dār</w:t>
      </w:r>
      <w:proofErr w:type="spellEnd"/>
      <w:r>
        <w:rPr>
          <w:rFonts w:ascii="Times New Roman" w:hAnsi="Times New Roman" w:cs="Times New Roman"/>
        </w:rPr>
        <w:t xml:space="preserve"> al-</w:t>
      </w:r>
      <w:proofErr w:type="spellStart"/>
      <w:r>
        <w:rPr>
          <w:rFonts w:ascii="Times New Roman" w:hAnsi="Times New Roman" w:cs="Times New Roman"/>
        </w:rPr>
        <w:t>Bashā'ir</w:t>
      </w:r>
      <w:proofErr w:type="spellEnd"/>
      <w:r>
        <w:rPr>
          <w:rFonts w:ascii="Times New Roman" w:hAnsi="Times New Roman" w:cs="Times New Roman"/>
        </w:rPr>
        <w:t>.</w:t>
      </w:r>
    </w:p>
    <w:p w14:paraId="4B4F22D1" w14:textId="4C36D451" w:rsidR="00F53613" w:rsidRPr="002B271E" w:rsidRDefault="00F53613" w:rsidP="002B271E">
      <w:pPr>
        <w:pStyle w:val="Normal2"/>
        <w:ind w:left="720" w:right="115" w:hanging="720"/>
        <w:jc w:val="both"/>
        <w:rPr>
          <w:rFonts w:ascii="Times New Roman" w:hAnsi="Times New Roman" w:cs="Times New Roman"/>
          <w:sz w:val="24"/>
          <w:szCs w:val="24"/>
        </w:rPr>
      </w:pPr>
      <w:r>
        <w:rPr>
          <w:rFonts w:ascii="Times New Roman" w:hAnsi="Times New Roman" w:cs="Times New Roman"/>
          <w:sz w:val="24"/>
          <w:szCs w:val="24"/>
        </w:rPr>
        <w:t>al-</w:t>
      </w:r>
      <w:proofErr w:type="spellStart"/>
      <w:r>
        <w:rPr>
          <w:rFonts w:ascii="Times New Roman" w:hAnsi="Times New Roman" w:cs="Times New Roman"/>
          <w:sz w:val="24"/>
          <w:szCs w:val="24"/>
        </w:rPr>
        <w:t>Dīnawarī</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Abū</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Ḥanīfa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Aḥmad</w:t>
      </w:r>
      <w:proofErr w:type="spellEnd"/>
      <w:r>
        <w:rPr>
          <w:rFonts w:ascii="Times New Roman" w:hAnsi="Times New Roman" w:cs="Times New Roman"/>
          <w:sz w:val="24"/>
          <w:szCs w:val="24"/>
        </w:rPr>
        <w:t xml:space="preserve">. 1974. </w:t>
      </w:r>
      <w:proofErr w:type="spellStart"/>
      <w:r>
        <w:rPr>
          <w:rFonts w:ascii="Times New Roman" w:hAnsi="Times New Roman" w:cs="Times New Roman"/>
          <w:i/>
          <w:iCs/>
          <w:sz w:val="24"/>
          <w:szCs w:val="24"/>
        </w:rPr>
        <w:t>Kitāb</w:t>
      </w:r>
      <w:proofErr w:type="spellEnd"/>
      <w:r>
        <w:rPr>
          <w:rFonts w:ascii="Times New Roman" w:hAnsi="Times New Roman" w:cs="Times New Roman"/>
          <w:i/>
          <w:iCs/>
          <w:sz w:val="24"/>
          <w:szCs w:val="24"/>
        </w:rPr>
        <w:t xml:space="preserve"> al-</w:t>
      </w:r>
      <w:proofErr w:type="spellStart"/>
      <w:r>
        <w:rPr>
          <w:rFonts w:ascii="Times New Roman" w:hAnsi="Times New Roman" w:cs="Times New Roman"/>
          <w:i/>
          <w:iCs/>
          <w:sz w:val="24"/>
          <w:szCs w:val="24"/>
        </w:rPr>
        <w:t>Nabāt</w:t>
      </w:r>
      <w:proofErr w:type="spellEnd"/>
      <w:r>
        <w:rPr>
          <w:rFonts w:ascii="Times New Roman" w:hAnsi="Times New Roman" w:cs="Times New Roman"/>
          <w:i/>
          <w:iCs/>
          <w:sz w:val="24"/>
          <w:szCs w:val="24"/>
        </w:rPr>
        <w:t>.</w:t>
      </w:r>
      <w:r>
        <w:rPr>
          <w:rFonts w:ascii="Times New Roman" w:hAnsi="Times New Roman" w:cs="Times New Roman"/>
          <w:sz w:val="24"/>
          <w:szCs w:val="24"/>
        </w:rPr>
        <w:t xml:space="preserve"> Edited by B. Lewin. Beirut: </w:t>
      </w:r>
      <w:proofErr w:type="spellStart"/>
      <w:r>
        <w:rPr>
          <w:rFonts w:ascii="Times New Roman" w:hAnsi="Times New Roman" w:cs="Times New Roman"/>
          <w:sz w:val="24"/>
          <w:szCs w:val="24"/>
        </w:rPr>
        <w:t>Dār</w:t>
      </w:r>
      <w:proofErr w:type="spellEnd"/>
      <w:r>
        <w:rPr>
          <w:rFonts w:ascii="Times New Roman" w:hAnsi="Times New Roman" w:cs="Times New Roman"/>
          <w:sz w:val="24"/>
          <w:szCs w:val="24"/>
        </w:rPr>
        <w:t xml:space="preserve"> al-Qalam.</w:t>
      </w:r>
    </w:p>
    <w:p w14:paraId="6160FB9E" w14:textId="70B75715" w:rsidR="00FE1A00" w:rsidRPr="00E912B1" w:rsidRDefault="0030717E" w:rsidP="002B271E">
      <w:pPr>
        <w:ind w:left="720" w:hanging="720"/>
        <w:jc w:val="both"/>
      </w:pPr>
      <w:r>
        <w:t xml:space="preserve">Ibn </w:t>
      </w:r>
      <w:proofErr w:type="spellStart"/>
      <w:r>
        <w:t>Fāris</w:t>
      </w:r>
      <w:proofErr w:type="spellEnd"/>
      <w:r>
        <w:t xml:space="preserve">, </w:t>
      </w:r>
      <w:proofErr w:type="spellStart"/>
      <w:r>
        <w:t>Aḥmad</w:t>
      </w:r>
      <w:proofErr w:type="spellEnd"/>
      <w:r>
        <w:t xml:space="preserve">. </w:t>
      </w:r>
      <w:r w:rsidRPr="00E912B1">
        <w:t xml:space="preserve">1984. </w:t>
      </w:r>
      <w:proofErr w:type="spellStart"/>
      <w:r w:rsidRPr="00E912B1">
        <w:rPr>
          <w:i/>
          <w:iCs/>
        </w:rPr>
        <w:t>Mujmal</w:t>
      </w:r>
      <w:proofErr w:type="spellEnd"/>
      <w:r w:rsidRPr="00E912B1">
        <w:rPr>
          <w:i/>
          <w:iCs/>
        </w:rPr>
        <w:t xml:space="preserve"> al-</w:t>
      </w:r>
      <w:proofErr w:type="spellStart"/>
      <w:r w:rsidRPr="00E912B1">
        <w:rPr>
          <w:i/>
          <w:iCs/>
        </w:rPr>
        <w:t>lugha</w:t>
      </w:r>
      <w:proofErr w:type="spellEnd"/>
      <w:r w:rsidRPr="00E912B1">
        <w:rPr>
          <w:i/>
          <w:iCs/>
        </w:rPr>
        <w:t>.</w:t>
      </w:r>
      <w:r w:rsidRPr="00E912B1">
        <w:t xml:space="preserve"> Beirut: </w:t>
      </w:r>
      <w:proofErr w:type="spellStart"/>
      <w:r w:rsidRPr="00E912B1">
        <w:t>M</w:t>
      </w:r>
      <w:r w:rsidR="00257965" w:rsidRPr="00E912B1">
        <w:t>u’a</w:t>
      </w:r>
      <w:r w:rsidRPr="00E912B1">
        <w:t>s</w:t>
      </w:r>
      <w:r w:rsidR="00257965" w:rsidRPr="00E912B1">
        <w:t>sas</w:t>
      </w:r>
      <w:r w:rsidRPr="00E912B1">
        <w:t>at</w:t>
      </w:r>
      <w:proofErr w:type="spellEnd"/>
      <w:r w:rsidRPr="00E912B1">
        <w:t xml:space="preserve"> al-</w:t>
      </w:r>
      <w:proofErr w:type="spellStart"/>
      <w:r w:rsidRPr="00E912B1">
        <w:t>Risāla</w:t>
      </w:r>
      <w:proofErr w:type="spellEnd"/>
      <w:r w:rsidRPr="00E912B1">
        <w:t>.</w:t>
      </w:r>
    </w:p>
    <w:p w14:paraId="006C599A" w14:textId="4494B8F7" w:rsidR="0030717E" w:rsidRPr="00FE1A00" w:rsidRDefault="00FE1A00" w:rsidP="002B271E">
      <w:pPr>
        <w:ind w:left="720" w:hanging="720"/>
        <w:jc w:val="both"/>
      </w:pPr>
      <w:r w:rsidRPr="00E912B1">
        <w:t xml:space="preserve">Ibn </w:t>
      </w:r>
      <w:proofErr w:type="spellStart"/>
      <w:r w:rsidRPr="00E912B1">
        <w:t>Sīda</w:t>
      </w:r>
      <w:proofErr w:type="spellEnd"/>
      <w:r w:rsidRPr="00E912B1">
        <w:t xml:space="preserve">, </w:t>
      </w:r>
      <w:proofErr w:type="spellStart"/>
      <w:r w:rsidRPr="00E912B1">
        <w:t>Abū</w:t>
      </w:r>
      <w:proofErr w:type="spellEnd"/>
      <w:r w:rsidRPr="00E912B1">
        <w:t xml:space="preserve"> al-</w:t>
      </w:r>
      <w:proofErr w:type="spellStart"/>
      <w:r w:rsidRPr="00E912B1">
        <w:t>Ḥasan</w:t>
      </w:r>
      <w:proofErr w:type="spellEnd"/>
      <w:r w:rsidRPr="00E912B1">
        <w:t xml:space="preserve"> ‘</w:t>
      </w:r>
      <w:proofErr w:type="spellStart"/>
      <w:r w:rsidRPr="00E912B1">
        <w:t>Alī</w:t>
      </w:r>
      <w:proofErr w:type="spellEnd"/>
      <w:r w:rsidRPr="00E912B1">
        <w:t xml:space="preserve">. 1965. </w:t>
      </w:r>
      <w:r w:rsidRPr="00E912B1">
        <w:rPr>
          <w:i/>
          <w:iCs/>
        </w:rPr>
        <w:t>al-</w:t>
      </w:r>
      <w:proofErr w:type="spellStart"/>
      <w:r w:rsidRPr="00E912B1">
        <w:rPr>
          <w:i/>
          <w:iCs/>
        </w:rPr>
        <w:t>Mukhaṣṣaṣ</w:t>
      </w:r>
      <w:proofErr w:type="spellEnd"/>
      <w:r w:rsidRPr="00E912B1">
        <w:rPr>
          <w:i/>
          <w:iCs/>
        </w:rPr>
        <w:t xml:space="preserve">. </w:t>
      </w:r>
      <w:r w:rsidRPr="00FE1A00">
        <w:t>Beirut:  al-</w:t>
      </w:r>
      <w:proofErr w:type="spellStart"/>
      <w:r w:rsidRPr="00FE1A00">
        <w:t>Maktab</w:t>
      </w:r>
      <w:proofErr w:type="spellEnd"/>
      <w:r w:rsidRPr="00FE1A00">
        <w:t xml:space="preserve"> al-</w:t>
      </w:r>
      <w:proofErr w:type="spellStart"/>
      <w:r w:rsidRPr="00FE1A00">
        <w:t>Tijārī</w:t>
      </w:r>
      <w:proofErr w:type="spellEnd"/>
      <w:r w:rsidRPr="00FE1A00">
        <w:t xml:space="preserve"> li-al-</w:t>
      </w:r>
      <w:proofErr w:type="spellStart"/>
      <w:proofErr w:type="gramStart"/>
      <w:r w:rsidRPr="00FE1A00">
        <w:t>Ṭibā‘</w:t>
      </w:r>
      <w:proofErr w:type="gramEnd"/>
      <w:r w:rsidRPr="00FE1A00">
        <w:t>a</w:t>
      </w:r>
      <w:proofErr w:type="spellEnd"/>
      <w:r w:rsidRPr="00FE1A00">
        <w:t xml:space="preserve"> </w:t>
      </w:r>
      <w:proofErr w:type="spellStart"/>
      <w:r w:rsidRPr="00FE1A00">
        <w:t>wa</w:t>
      </w:r>
      <w:proofErr w:type="spellEnd"/>
      <w:r w:rsidRPr="00FE1A00">
        <w:t>-al-</w:t>
      </w:r>
      <w:proofErr w:type="spellStart"/>
      <w:r w:rsidRPr="00FE1A00">
        <w:t>Tawāzi</w:t>
      </w:r>
      <w:proofErr w:type="spellEnd"/>
      <w:r w:rsidRPr="00FE1A00">
        <w:t xml:space="preserve">‘ </w:t>
      </w:r>
      <w:proofErr w:type="spellStart"/>
      <w:r w:rsidRPr="00FE1A00">
        <w:t>wa</w:t>
      </w:r>
      <w:proofErr w:type="spellEnd"/>
      <w:r w:rsidRPr="00FE1A00">
        <w:t>-al-</w:t>
      </w:r>
      <w:proofErr w:type="spellStart"/>
      <w:r w:rsidRPr="00FE1A00">
        <w:t>Nashr</w:t>
      </w:r>
      <w:proofErr w:type="spellEnd"/>
      <w:r>
        <w:t>.</w:t>
      </w:r>
      <w:r w:rsidRPr="00FE1A00">
        <w:t xml:space="preserve"> </w:t>
      </w:r>
      <w:r w:rsidR="00680BD8" w:rsidRPr="00FE1A00">
        <w:t xml:space="preserve">17 volumes.  </w:t>
      </w:r>
    </w:p>
    <w:p w14:paraId="6C5C5D3B" w14:textId="1888AAA2" w:rsidR="00D71CA5" w:rsidRPr="00D71CA5" w:rsidRDefault="00D71CA5" w:rsidP="002B271E">
      <w:pPr>
        <w:ind w:left="720" w:hanging="720"/>
        <w:jc w:val="both"/>
      </w:pPr>
      <w:proofErr w:type="spellStart"/>
      <w:r>
        <w:t>Khalīl</w:t>
      </w:r>
      <w:proofErr w:type="spellEnd"/>
      <w:r>
        <w:t xml:space="preserve"> b. </w:t>
      </w:r>
      <w:proofErr w:type="spellStart"/>
      <w:r>
        <w:t>Aḥmad</w:t>
      </w:r>
      <w:proofErr w:type="spellEnd"/>
      <w:r>
        <w:t>. 200</w:t>
      </w:r>
      <w:r w:rsidR="00FA3729">
        <w:t>3</w:t>
      </w:r>
      <w:r>
        <w:t xml:space="preserve">. </w:t>
      </w:r>
      <w:proofErr w:type="spellStart"/>
      <w:r w:rsidRPr="00D71CA5">
        <w:rPr>
          <w:i/>
          <w:iCs/>
        </w:rPr>
        <w:t>Kitāb</w:t>
      </w:r>
      <w:proofErr w:type="spellEnd"/>
      <w:r w:rsidRPr="00D71CA5">
        <w:rPr>
          <w:i/>
          <w:iCs/>
        </w:rPr>
        <w:t xml:space="preserve"> al</w:t>
      </w:r>
      <w:proofErr w:type="gramStart"/>
      <w:r w:rsidRPr="00D71CA5">
        <w:rPr>
          <w:i/>
          <w:iCs/>
        </w:rPr>
        <w:t>-‘</w:t>
      </w:r>
      <w:proofErr w:type="gramEnd"/>
      <w:r w:rsidRPr="00D71CA5">
        <w:rPr>
          <w:i/>
          <w:iCs/>
        </w:rPr>
        <w:t>Ayn.</w:t>
      </w:r>
      <w:r>
        <w:t xml:space="preserve"> </w:t>
      </w:r>
      <w:r w:rsidRPr="00D71CA5">
        <w:t xml:space="preserve">Beirut: </w:t>
      </w:r>
      <w:proofErr w:type="spellStart"/>
      <w:r w:rsidRPr="00D71CA5">
        <w:t>Dār</w:t>
      </w:r>
      <w:proofErr w:type="spellEnd"/>
      <w:r w:rsidRPr="00D71CA5">
        <w:t xml:space="preserve"> al-</w:t>
      </w:r>
      <w:proofErr w:type="spellStart"/>
      <w:r w:rsidRPr="00D71CA5">
        <w:t>Kutub</w:t>
      </w:r>
      <w:proofErr w:type="spellEnd"/>
      <w:r w:rsidRPr="00D71CA5">
        <w:t xml:space="preserve"> al</w:t>
      </w:r>
      <w:proofErr w:type="gramStart"/>
      <w:r w:rsidRPr="00D71CA5">
        <w:t>-‘</w:t>
      </w:r>
      <w:proofErr w:type="spellStart"/>
      <w:proofErr w:type="gramEnd"/>
      <w:r w:rsidRPr="00D71CA5">
        <w:t>Ilmiyya</w:t>
      </w:r>
      <w:proofErr w:type="spellEnd"/>
      <w:r w:rsidRPr="00D71CA5">
        <w:t>.</w:t>
      </w:r>
    </w:p>
    <w:p w14:paraId="7F114BC3" w14:textId="2301A412" w:rsidR="00083665" w:rsidRDefault="00FD727D" w:rsidP="002B271E">
      <w:pPr>
        <w:ind w:left="720" w:hanging="720"/>
        <w:jc w:val="both"/>
      </w:pPr>
      <w:r>
        <w:t xml:space="preserve">Leach, E. </w:t>
      </w:r>
      <w:r w:rsidRPr="00FD727D">
        <w:t xml:space="preserve">1985. “The </w:t>
      </w:r>
      <w:r w:rsidR="002B271E">
        <w:t>a</w:t>
      </w:r>
      <w:r w:rsidRPr="00FD727D">
        <w:t xml:space="preserve">nthropology of </w:t>
      </w:r>
      <w:r w:rsidR="002B271E">
        <w:t>r</w:t>
      </w:r>
      <w:r w:rsidRPr="00FD727D">
        <w:t xml:space="preserve">eligion: British and French </w:t>
      </w:r>
      <w:r w:rsidR="002B271E">
        <w:t>s</w:t>
      </w:r>
      <w:r w:rsidRPr="00FD727D">
        <w:t xml:space="preserve">chools.” In N. Smart, J. Clayton, S. Katz, and P. Sherry, eds., </w:t>
      </w:r>
      <w:r w:rsidRPr="00FD727D">
        <w:rPr>
          <w:i/>
          <w:iCs/>
        </w:rPr>
        <w:t>Nineteenth Century Religious Thought in the West</w:t>
      </w:r>
      <w:r w:rsidRPr="00FD727D">
        <w:t>, 3</w:t>
      </w:r>
      <w:r>
        <w:t>:</w:t>
      </w:r>
      <w:r w:rsidRPr="00FD727D">
        <w:t>215–261. Cambridge: Cambridge University Press.</w:t>
      </w:r>
    </w:p>
    <w:p w14:paraId="3D79BDDB" w14:textId="47F633D0" w:rsidR="00FD727D" w:rsidRDefault="00083665" w:rsidP="002B271E">
      <w:pPr>
        <w:ind w:left="720" w:hanging="720"/>
        <w:jc w:val="both"/>
      </w:pPr>
      <w:r>
        <w:t xml:space="preserve">Morgan, </w:t>
      </w:r>
      <w:r w:rsidR="002B271E">
        <w:t>L.</w:t>
      </w:r>
      <w:r>
        <w:t xml:space="preserve"> H. 1871. </w:t>
      </w:r>
      <w:r w:rsidRPr="00F53613">
        <w:rPr>
          <w:i/>
          <w:iCs/>
        </w:rPr>
        <w:t>Systems of Consanguinity and Affinity of the Human Family.</w:t>
      </w:r>
      <w:r>
        <w:t xml:space="preserve"> Washington, D.C.: The Smithsonian Institution.</w:t>
      </w:r>
    </w:p>
    <w:p w14:paraId="7D39D00A" w14:textId="65CF72EA" w:rsidR="003A59D8" w:rsidRDefault="00ED79D1" w:rsidP="002B271E">
      <w:pPr>
        <w:ind w:left="720" w:hanging="720"/>
        <w:jc w:val="both"/>
      </w:pPr>
      <w:r>
        <w:lastRenderedPageBreak/>
        <w:t>Smith, W</w:t>
      </w:r>
      <w:r w:rsidR="002B271E">
        <w:t>.</w:t>
      </w:r>
      <w:r>
        <w:t xml:space="preserve"> R. </w:t>
      </w:r>
      <w:r w:rsidR="00FD727D">
        <w:t xml:space="preserve">1885. </w:t>
      </w:r>
      <w:r w:rsidRPr="004126C5">
        <w:rPr>
          <w:i/>
          <w:iCs/>
        </w:rPr>
        <w:t>Kinship and Marriage in Early Arabia</w:t>
      </w:r>
      <w:r>
        <w:rPr>
          <w:i/>
          <w:iCs/>
        </w:rPr>
        <w:t xml:space="preserve">. </w:t>
      </w:r>
      <w:r>
        <w:t xml:space="preserve">Oxford: </w:t>
      </w:r>
      <w:r w:rsidRPr="004126C5">
        <w:t>Oxford</w:t>
      </w:r>
      <w:r>
        <w:rPr>
          <w:i/>
          <w:iCs/>
        </w:rPr>
        <w:t xml:space="preserve"> </w:t>
      </w:r>
      <w:r w:rsidRPr="004126C5">
        <w:t>University Press</w:t>
      </w:r>
      <w:r>
        <w:t>.</w:t>
      </w:r>
    </w:p>
    <w:p w14:paraId="65C797D3" w14:textId="33D43AA8" w:rsidR="008E0EB1" w:rsidRDefault="003A59D8" w:rsidP="002B271E">
      <w:pPr>
        <w:ind w:left="720" w:hanging="720"/>
        <w:jc w:val="both"/>
      </w:pPr>
      <w:proofErr w:type="spellStart"/>
      <w:r>
        <w:t>Varisco</w:t>
      </w:r>
      <w:proofErr w:type="spellEnd"/>
      <w:r>
        <w:t>, D</w:t>
      </w:r>
      <w:r w:rsidR="002B271E">
        <w:t>.</w:t>
      </w:r>
      <w:r>
        <w:t xml:space="preserve"> M. 1995. </w:t>
      </w:r>
      <w:r w:rsidRPr="003A59D8">
        <w:t xml:space="preserve">The </w:t>
      </w:r>
      <w:r w:rsidR="0078695D">
        <w:t>t</w:t>
      </w:r>
      <w:r w:rsidRPr="003A59D8">
        <w:t xml:space="preserve">ribal </w:t>
      </w:r>
      <w:r w:rsidR="0078695D">
        <w:t>p</w:t>
      </w:r>
      <w:r w:rsidRPr="003A59D8">
        <w:t xml:space="preserve">aradigm and the </w:t>
      </w:r>
      <w:r w:rsidR="0078695D">
        <w:t>g</w:t>
      </w:r>
      <w:r w:rsidRPr="003A59D8">
        <w:t xml:space="preserve">enealogy of Muhammad. </w:t>
      </w:r>
      <w:r w:rsidRPr="003A59D8">
        <w:rPr>
          <w:i/>
          <w:iCs/>
        </w:rPr>
        <w:t>Anthropological Quarterly</w:t>
      </w:r>
      <w:r w:rsidRPr="003A59D8">
        <w:t xml:space="preserve"> 68(3):139-156.</w:t>
      </w:r>
    </w:p>
    <w:p w14:paraId="50840CA3" w14:textId="77777777" w:rsidR="008E0EB1" w:rsidRDefault="008E0EB1" w:rsidP="002B271E">
      <w:pPr>
        <w:ind w:left="720" w:hanging="720"/>
        <w:jc w:val="both"/>
      </w:pPr>
      <w:r>
        <w:t>al-</w:t>
      </w:r>
      <w:proofErr w:type="spellStart"/>
      <w:r>
        <w:t>Wāʾilī</w:t>
      </w:r>
      <w:proofErr w:type="spellEnd"/>
      <w:r>
        <w:t xml:space="preserve">, </w:t>
      </w:r>
      <w:proofErr w:type="spellStart"/>
      <w:r>
        <w:t>ʿAbd</w:t>
      </w:r>
      <w:proofErr w:type="spellEnd"/>
      <w:r>
        <w:t>-al-</w:t>
      </w:r>
      <w:proofErr w:type="spellStart"/>
      <w:r>
        <w:t>Ḥakīm</w:t>
      </w:r>
      <w:proofErr w:type="spellEnd"/>
      <w:r>
        <w:t xml:space="preserve">. 2002. </w:t>
      </w:r>
      <w:proofErr w:type="spellStart"/>
      <w:r w:rsidRPr="008E0EB1">
        <w:rPr>
          <w:i/>
          <w:iCs/>
        </w:rPr>
        <w:t>Mawsūʿat</w:t>
      </w:r>
      <w:proofErr w:type="spellEnd"/>
      <w:r w:rsidRPr="008E0EB1">
        <w:rPr>
          <w:i/>
          <w:iCs/>
        </w:rPr>
        <w:t xml:space="preserve"> </w:t>
      </w:r>
      <w:proofErr w:type="spellStart"/>
      <w:r w:rsidRPr="008E0EB1">
        <w:rPr>
          <w:i/>
          <w:iCs/>
        </w:rPr>
        <w:t>qabāʾil</w:t>
      </w:r>
      <w:proofErr w:type="spellEnd"/>
      <w:r w:rsidRPr="008E0EB1">
        <w:rPr>
          <w:i/>
          <w:iCs/>
        </w:rPr>
        <w:t xml:space="preserve"> al-</w:t>
      </w:r>
      <w:proofErr w:type="spellStart"/>
      <w:r w:rsidRPr="008E0EB1">
        <w:rPr>
          <w:i/>
          <w:iCs/>
        </w:rPr>
        <w:t>ʿarab</w:t>
      </w:r>
      <w:proofErr w:type="spellEnd"/>
      <w:r>
        <w:t xml:space="preserve"> (Encyclopedia of Arab Tribes).</w:t>
      </w:r>
    </w:p>
    <w:p w14:paraId="05A0A882" w14:textId="0C837506" w:rsidR="005818D9" w:rsidRDefault="008E0EB1" w:rsidP="002B271E">
      <w:pPr>
        <w:ind w:left="720" w:hanging="720"/>
        <w:jc w:val="both"/>
      </w:pPr>
      <w:r>
        <w:t xml:space="preserve">Amman, Jordan: </w:t>
      </w:r>
      <w:proofErr w:type="spellStart"/>
      <w:r>
        <w:t>Dār</w:t>
      </w:r>
      <w:proofErr w:type="spellEnd"/>
      <w:r>
        <w:t xml:space="preserve"> </w:t>
      </w:r>
      <w:proofErr w:type="spellStart"/>
      <w:r>
        <w:t>Usāmah</w:t>
      </w:r>
      <w:proofErr w:type="spellEnd"/>
      <w:r>
        <w:t xml:space="preserve"> li-al-</w:t>
      </w:r>
      <w:proofErr w:type="spellStart"/>
      <w:r>
        <w:t>Našr</w:t>
      </w:r>
      <w:proofErr w:type="spellEnd"/>
      <w:r>
        <w:t xml:space="preserve"> </w:t>
      </w:r>
      <w:proofErr w:type="spellStart"/>
      <w:r>
        <w:t>wa</w:t>
      </w:r>
      <w:proofErr w:type="spellEnd"/>
      <w:r>
        <w:t>-al-</w:t>
      </w:r>
      <w:proofErr w:type="spellStart"/>
      <w:r>
        <w:t>Tawzīʿ</w:t>
      </w:r>
      <w:proofErr w:type="spellEnd"/>
      <w:r>
        <w:t>.</w:t>
      </w:r>
      <w:r w:rsidR="00F53613">
        <w:t xml:space="preserve"> Six volumes.</w:t>
      </w:r>
    </w:p>
    <w:p w14:paraId="1AECB3AB" w14:textId="61D46738" w:rsidR="005818D9" w:rsidRPr="004126C5" w:rsidRDefault="005818D9" w:rsidP="002B271E">
      <w:pPr>
        <w:ind w:left="720" w:hanging="720"/>
        <w:jc w:val="both"/>
        <w:rPr>
          <w:b/>
          <w:bCs/>
        </w:rPr>
      </w:pPr>
      <w:r>
        <w:t>Young</w:t>
      </w:r>
      <w:r w:rsidR="002B271E">
        <w:t>,</w:t>
      </w:r>
      <w:r>
        <w:t xml:space="preserve"> W</w:t>
      </w:r>
      <w:r w:rsidR="002B271E">
        <w:t>.</w:t>
      </w:r>
      <w:r>
        <w:t xml:space="preserve"> C. </w:t>
      </w:r>
      <w:r w:rsidRPr="005818D9">
        <w:t xml:space="preserve">1996. </w:t>
      </w:r>
      <w:r w:rsidRPr="005818D9">
        <w:rPr>
          <w:i/>
          <w:iCs/>
        </w:rPr>
        <w:t xml:space="preserve">The </w:t>
      </w:r>
      <w:proofErr w:type="spellStart"/>
      <w:r w:rsidRPr="005818D9">
        <w:rPr>
          <w:i/>
          <w:iCs/>
        </w:rPr>
        <w:t>Rashaayda</w:t>
      </w:r>
      <w:proofErr w:type="spellEnd"/>
      <w:r w:rsidRPr="005818D9">
        <w:rPr>
          <w:i/>
          <w:iCs/>
        </w:rPr>
        <w:t xml:space="preserve"> Bedouin: Arab Pastoralists of Eastern Sudan</w:t>
      </w:r>
      <w:r w:rsidRPr="005818D9">
        <w:t>. Fort Worth, Texas: Harcourt Brace College Publishers.</w:t>
      </w:r>
    </w:p>
    <w:p w14:paraId="5B6073F9" w14:textId="6C69509E" w:rsidR="00F374E5" w:rsidRDefault="00F374E5" w:rsidP="00DC3270">
      <w:pPr>
        <w:jc w:val="both"/>
      </w:pPr>
      <w:r>
        <w:t xml:space="preserve"> </w:t>
      </w:r>
    </w:p>
    <w:sectPr w:rsidR="00F374E5" w:rsidSect="00066ED3">
      <w:footerReference w:type="even" r:id="rId7"/>
      <w:footerReference w:type="default" r:id="rId8"/>
      <w:pgSz w:w="12240" w:h="15840"/>
      <w:pgMar w:top="1440" w:right="1440" w:bottom="1440" w:left="1440" w:header="720" w:footer="720" w:gutter="0"/>
      <w:pgNumType w:start="2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C124E" w14:textId="77777777" w:rsidR="003950D4" w:rsidRDefault="003950D4" w:rsidP="00FE6C1F">
      <w:r>
        <w:separator/>
      </w:r>
    </w:p>
  </w:endnote>
  <w:endnote w:type="continuationSeparator" w:id="0">
    <w:p w14:paraId="5681E8B6" w14:textId="77777777" w:rsidR="003950D4" w:rsidRDefault="003950D4" w:rsidP="00FE6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JaghbUni">
    <w:altName w:val="Calibri"/>
    <w:panose1 w:val="020B0604020202020204"/>
    <w:charset w:val="4D"/>
    <w:family w:val="auto"/>
    <w:pitch w:val="variable"/>
    <w:sig w:usb0="A00000FF" w:usb1="00000000" w:usb2="00000000" w:usb3="00000000" w:csb0="00000019"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55639768"/>
      <w:docPartObj>
        <w:docPartGallery w:val="Page Numbers (Bottom of Page)"/>
        <w:docPartUnique/>
      </w:docPartObj>
    </w:sdtPr>
    <w:sdtContent>
      <w:p w14:paraId="2591DF34" w14:textId="0F3ABB83" w:rsidR="00FE6C1F" w:rsidRDefault="00FE6C1F" w:rsidP="00066ED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71E603" w14:textId="77777777" w:rsidR="00FE6C1F" w:rsidRDefault="00FE6C1F" w:rsidP="00FE6C1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2641394"/>
      <w:docPartObj>
        <w:docPartGallery w:val="Page Numbers (Bottom of Page)"/>
        <w:docPartUnique/>
      </w:docPartObj>
    </w:sdtPr>
    <w:sdtContent>
      <w:p w14:paraId="1C802F30" w14:textId="26BF3E99" w:rsidR="00FE6C1F" w:rsidRDefault="00FE6C1F" w:rsidP="00066ED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070CBC" w14:textId="77777777" w:rsidR="00FE6C1F" w:rsidRDefault="00FE6C1F" w:rsidP="00FE6C1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E2522" w14:textId="77777777" w:rsidR="003950D4" w:rsidRDefault="003950D4" w:rsidP="00FE6C1F">
      <w:r>
        <w:separator/>
      </w:r>
    </w:p>
  </w:footnote>
  <w:footnote w:type="continuationSeparator" w:id="0">
    <w:p w14:paraId="2B89B5AF" w14:textId="77777777" w:rsidR="003950D4" w:rsidRDefault="003950D4" w:rsidP="00FE6C1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B3A"/>
    <w:rsid w:val="00001841"/>
    <w:rsid w:val="00027CD4"/>
    <w:rsid w:val="000330E2"/>
    <w:rsid w:val="00046642"/>
    <w:rsid w:val="00066ED3"/>
    <w:rsid w:val="0007188C"/>
    <w:rsid w:val="00083665"/>
    <w:rsid w:val="000D6D4C"/>
    <w:rsid w:val="000E141F"/>
    <w:rsid w:val="000F2166"/>
    <w:rsid w:val="0011532D"/>
    <w:rsid w:val="00153C75"/>
    <w:rsid w:val="001A3133"/>
    <w:rsid w:val="001C4A0A"/>
    <w:rsid w:val="00201BD7"/>
    <w:rsid w:val="00212E7B"/>
    <w:rsid w:val="002273C4"/>
    <w:rsid w:val="00232680"/>
    <w:rsid w:val="002355FF"/>
    <w:rsid w:val="00250866"/>
    <w:rsid w:val="00257965"/>
    <w:rsid w:val="002962B9"/>
    <w:rsid w:val="002B271E"/>
    <w:rsid w:val="002C4687"/>
    <w:rsid w:val="002C654B"/>
    <w:rsid w:val="002E1403"/>
    <w:rsid w:val="002F0DF6"/>
    <w:rsid w:val="0030717E"/>
    <w:rsid w:val="0031793E"/>
    <w:rsid w:val="003770BB"/>
    <w:rsid w:val="00390909"/>
    <w:rsid w:val="003950D4"/>
    <w:rsid w:val="00397E63"/>
    <w:rsid w:val="003A1674"/>
    <w:rsid w:val="003A31D9"/>
    <w:rsid w:val="003A59D8"/>
    <w:rsid w:val="003E296E"/>
    <w:rsid w:val="003E6020"/>
    <w:rsid w:val="004126C5"/>
    <w:rsid w:val="004823AA"/>
    <w:rsid w:val="004B4279"/>
    <w:rsid w:val="005044EF"/>
    <w:rsid w:val="005266C9"/>
    <w:rsid w:val="00556DDA"/>
    <w:rsid w:val="005818D9"/>
    <w:rsid w:val="005D4E75"/>
    <w:rsid w:val="00603A10"/>
    <w:rsid w:val="00680BD8"/>
    <w:rsid w:val="00687340"/>
    <w:rsid w:val="00696467"/>
    <w:rsid w:val="006A63F9"/>
    <w:rsid w:val="006B0253"/>
    <w:rsid w:val="006D4AEF"/>
    <w:rsid w:val="00716EE3"/>
    <w:rsid w:val="00734D55"/>
    <w:rsid w:val="00736122"/>
    <w:rsid w:val="007369BE"/>
    <w:rsid w:val="0078695D"/>
    <w:rsid w:val="00786C8E"/>
    <w:rsid w:val="0079060E"/>
    <w:rsid w:val="00794C7D"/>
    <w:rsid w:val="007A6B3A"/>
    <w:rsid w:val="007A763F"/>
    <w:rsid w:val="008048D6"/>
    <w:rsid w:val="008329E0"/>
    <w:rsid w:val="00844988"/>
    <w:rsid w:val="008708C6"/>
    <w:rsid w:val="00883497"/>
    <w:rsid w:val="00887D23"/>
    <w:rsid w:val="008A2071"/>
    <w:rsid w:val="008E0EB1"/>
    <w:rsid w:val="0095562A"/>
    <w:rsid w:val="00971876"/>
    <w:rsid w:val="009C5B39"/>
    <w:rsid w:val="00A20F80"/>
    <w:rsid w:val="00A466EE"/>
    <w:rsid w:val="00A82450"/>
    <w:rsid w:val="00AA58E0"/>
    <w:rsid w:val="00B0491D"/>
    <w:rsid w:val="00B17AF5"/>
    <w:rsid w:val="00B51B34"/>
    <w:rsid w:val="00BA1BE9"/>
    <w:rsid w:val="00BA3AC6"/>
    <w:rsid w:val="00BE0FF0"/>
    <w:rsid w:val="00C26C47"/>
    <w:rsid w:val="00C8591E"/>
    <w:rsid w:val="00CB08BB"/>
    <w:rsid w:val="00CB3256"/>
    <w:rsid w:val="00CC4BB4"/>
    <w:rsid w:val="00CE084F"/>
    <w:rsid w:val="00D1095D"/>
    <w:rsid w:val="00D27911"/>
    <w:rsid w:val="00D339BC"/>
    <w:rsid w:val="00D42661"/>
    <w:rsid w:val="00D55C95"/>
    <w:rsid w:val="00D71CA5"/>
    <w:rsid w:val="00DC3270"/>
    <w:rsid w:val="00DD0CDE"/>
    <w:rsid w:val="00DD7BAE"/>
    <w:rsid w:val="00DF43C7"/>
    <w:rsid w:val="00E27657"/>
    <w:rsid w:val="00E912B1"/>
    <w:rsid w:val="00E96AFE"/>
    <w:rsid w:val="00ED79D1"/>
    <w:rsid w:val="00EF0BA1"/>
    <w:rsid w:val="00F3124B"/>
    <w:rsid w:val="00F374E5"/>
    <w:rsid w:val="00F53613"/>
    <w:rsid w:val="00F56453"/>
    <w:rsid w:val="00FA28D6"/>
    <w:rsid w:val="00FA3729"/>
    <w:rsid w:val="00FD727D"/>
    <w:rsid w:val="00FE0E2B"/>
    <w:rsid w:val="00FE1A00"/>
    <w:rsid w:val="00FE3151"/>
    <w:rsid w:val="00FE6C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5539BCB2"/>
  <w15:chartTrackingRefBased/>
  <w15:docId w15:val="{8C504CC8-D84F-BA42-B841-5BC31EE9B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Bidi" w:eastAsiaTheme="minorHAnsi" w:hAnsiTheme="majorBidi" w:cstheme="maj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6B3A"/>
    <w:pPr>
      <w:keepNext/>
      <w:keepLines/>
      <w:spacing w:before="360" w:after="80"/>
      <w:outlineLvl w:val="0"/>
    </w:pPr>
    <w:rPr>
      <w:rFonts w:asciiTheme="majorHAnsi" w:eastAsiaTheme="majorEastAsia" w:hAnsiTheme="majorHAnsi"/>
      <w:color w:val="0F4761" w:themeColor="accent1" w:themeShade="BF"/>
      <w:sz w:val="40"/>
      <w:szCs w:val="40"/>
    </w:rPr>
  </w:style>
  <w:style w:type="paragraph" w:styleId="Heading2">
    <w:name w:val="heading 2"/>
    <w:basedOn w:val="Normal"/>
    <w:next w:val="Normal"/>
    <w:link w:val="Heading2Char"/>
    <w:uiPriority w:val="9"/>
    <w:semiHidden/>
    <w:unhideWhenUsed/>
    <w:qFormat/>
    <w:rsid w:val="007A6B3A"/>
    <w:pPr>
      <w:keepNext/>
      <w:keepLines/>
      <w:spacing w:before="160" w:after="80"/>
      <w:outlineLvl w:val="1"/>
    </w:pPr>
    <w:rPr>
      <w:rFonts w:asciiTheme="majorHAnsi" w:eastAsiaTheme="majorEastAsia" w:hAnsiTheme="majorHAnsi"/>
      <w:color w:val="0F4761" w:themeColor="accent1" w:themeShade="BF"/>
      <w:sz w:val="32"/>
      <w:szCs w:val="32"/>
    </w:rPr>
  </w:style>
  <w:style w:type="paragraph" w:styleId="Heading3">
    <w:name w:val="heading 3"/>
    <w:basedOn w:val="Normal"/>
    <w:next w:val="Normal"/>
    <w:link w:val="Heading3Char"/>
    <w:uiPriority w:val="9"/>
    <w:semiHidden/>
    <w:unhideWhenUsed/>
    <w:qFormat/>
    <w:rsid w:val="007A6B3A"/>
    <w:pPr>
      <w:keepNext/>
      <w:keepLines/>
      <w:spacing w:before="160" w:after="80"/>
      <w:outlineLvl w:val="2"/>
    </w:pPr>
    <w:rPr>
      <w:rFonts w:asciiTheme="minorHAnsi" w:eastAsiaTheme="majorEastAsia" w:hAnsiTheme="minorHAnsi"/>
      <w:color w:val="0F4761" w:themeColor="accent1" w:themeShade="BF"/>
      <w:sz w:val="28"/>
      <w:szCs w:val="28"/>
    </w:rPr>
  </w:style>
  <w:style w:type="paragraph" w:styleId="Heading4">
    <w:name w:val="heading 4"/>
    <w:basedOn w:val="Normal"/>
    <w:next w:val="Normal"/>
    <w:link w:val="Heading4Char"/>
    <w:uiPriority w:val="9"/>
    <w:semiHidden/>
    <w:unhideWhenUsed/>
    <w:qFormat/>
    <w:rsid w:val="007A6B3A"/>
    <w:pPr>
      <w:keepNext/>
      <w:keepLines/>
      <w:spacing w:before="80" w:after="40"/>
      <w:outlineLvl w:val="3"/>
    </w:pPr>
    <w:rPr>
      <w:rFonts w:asciiTheme="minorHAnsi" w:eastAsiaTheme="majorEastAsia" w:hAnsiTheme="minorHAnsi"/>
      <w:i/>
      <w:iCs/>
      <w:color w:val="0F4761" w:themeColor="accent1" w:themeShade="BF"/>
    </w:rPr>
  </w:style>
  <w:style w:type="paragraph" w:styleId="Heading5">
    <w:name w:val="heading 5"/>
    <w:basedOn w:val="Normal"/>
    <w:next w:val="Normal"/>
    <w:link w:val="Heading5Char"/>
    <w:uiPriority w:val="9"/>
    <w:semiHidden/>
    <w:unhideWhenUsed/>
    <w:qFormat/>
    <w:rsid w:val="007A6B3A"/>
    <w:pPr>
      <w:keepNext/>
      <w:keepLines/>
      <w:spacing w:before="80" w:after="40"/>
      <w:outlineLvl w:val="4"/>
    </w:pPr>
    <w:rPr>
      <w:rFonts w:asciiTheme="minorHAnsi" w:eastAsiaTheme="majorEastAsia" w:hAnsiTheme="minorHAnsi"/>
      <w:color w:val="0F4761" w:themeColor="accent1" w:themeShade="BF"/>
    </w:rPr>
  </w:style>
  <w:style w:type="paragraph" w:styleId="Heading6">
    <w:name w:val="heading 6"/>
    <w:basedOn w:val="Normal"/>
    <w:next w:val="Normal"/>
    <w:link w:val="Heading6Char"/>
    <w:uiPriority w:val="9"/>
    <w:semiHidden/>
    <w:unhideWhenUsed/>
    <w:qFormat/>
    <w:rsid w:val="007A6B3A"/>
    <w:pPr>
      <w:keepNext/>
      <w:keepLines/>
      <w:spacing w:before="40"/>
      <w:outlineLvl w:val="5"/>
    </w:pPr>
    <w:rPr>
      <w:rFonts w:asciiTheme="minorHAnsi" w:eastAsiaTheme="majorEastAsia" w:hAnsiTheme="minorHAnsi"/>
      <w:i/>
      <w:iCs/>
      <w:color w:val="595959" w:themeColor="text1" w:themeTint="A6"/>
    </w:rPr>
  </w:style>
  <w:style w:type="paragraph" w:styleId="Heading7">
    <w:name w:val="heading 7"/>
    <w:basedOn w:val="Normal"/>
    <w:next w:val="Normal"/>
    <w:link w:val="Heading7Char"/>
    <w:uiPriority w:val="9"/>
    <w:semiHidden/>
    <w:unhideWhenUsed/>
    <w:qFormat/>
    <w:rsid w:val="007A6B3A"/>
    <w:pPr>
      <w:keepNext/>
      <w:keepLines/>
      <w:spacing w:before="40"/>
      <w:outlineLvl w:val="6"/>
    </w:pPr>
    <w:rPr>
      <w:rFonts w:asciiTheme="minorHAnsi" w:eastAsiaTheme="majorEastAsia" w:hAnsiTheme="minorHAnsi"/>
      <w:color w:val="595959" w:themeColor="text1" w:themeTint="A6"/>
    </w:rPr>
  </w:style>
  <w:style w:type="paragraph" w:styleId="Heading8">
    <w:name w:val="heading 8"/>
    <w:basedOn w:val="Normal"/>
    <w:next w:val="Normal"/>
    <w:link w:val="Heading8Char"/>
    <w:uiPriority w:val="9"/>
    <w:semiHidden/>
    <w:unhideWhenUsed/>
    <w:qFormat/>
    <w:rsid w:val="007A6B3A"/>
    <w:pPr>
      <w:keepNext/>
      <w:keepLines/>
      <w:outlineLvl w:val="7"/>
    </w:pPr>
    <w:rPr>
      <w:rFonts w:asciiTheme="minorHAnsi" w:eastAsiaTheme="majorEastAsia" w:hAnsiTheme="minorHAnsi"/>
      <w:i/>
      <w:iCs/>
      <w:color w:val="272727" w:themeColor="text1" w:themeTint="D8"/>
    </w:rPr>
  </w:style>
  <w:style w:type="paragraph" w:styleId="Heading9">
    <w:name w:val="heading 9"/>
    <w:basedOn w:val="Normal"/>
    <w:next w:val="Normal"/>
    <w:link w:val="Heading9Char"/>
    <w:uiPriority w:val="9"/>
    <w:semiHidden/>
    <w:unhideWhenUsed/>
    <w:qFormat/>
    <w:rsid w:val="007A6B3A"/>
    <w:pPr>
      <w:keepNext/>
      <w:keepLines/>
      <w:outlineLvl w:val="8"/>
    </w:pPr>
    <w:rPr>
      <w:rFonts w:asciiTheme="minorHAnsi" w:eastAsiaTheme="majorEastAsia" w:hAnsiTheme="minorHAns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6B3A"/>
    <w:rPr>
      <w:rFonts w:asciiTheme="majorHAnsi" w:eastAsiaTheme="majorEastAsia" w:hAnsiTheme="majorHAnsi"/>
      <w:color w:val="0F4761" w:themeColor="accent1" w:themeShade="BF"/>
      <w:sz w:val="40"/>
      <w:szCs w:val="40"/>
    </w:rPr>
  </w:style>
  <w:style w:type="character" w:customStyle="1" w:styleId="Heading2Char">
    <w:name w:val="Heading 2 Char"/>
    <w:basedOn w:val="DefaultParagraphFont"/>
    <w:link w:val="Heading2"/>
    <w:uiPriority w:val="9"/>
    <w:semiHidden/>
    <w:rsid w:val="007A6B3A"/>
    <w:rPr>
      <w:rFonts w:asciiTheme="majorHAnsi" w:eastAsiaTheme="majorEastAsia" w:hAnsiTheme="majorHAnsi"/>
      <w:color w:val="0F4761" w:themeColor="accent1" w:themeShade="BF"/>
      <w:sz w:val="32"/>
      <w:szCs w:val="32"/>
    </w:rPr>
  </w:style>
  <w:style w:type="character" w:customStyle="1" w:styleId="Heading3Char">
    <w:name w:val="Heading 3 Char"/>
    <w:basedOn w:val="DefaultParagraphFont"/>
    <w:link w:val="Heading3"/>
    <w:uiPriority w:val="9"/>
    <w:semiHidden/>
    <w:rsid w:val="007A6B3A"/>
    <w:rPr>
      <w:rFonts w:asciiTheme="minorHAnsi" w:eastAsiaTheme="majorEastAsia" w:hAnsiTheme="minorHAnsi"/>
      <w:color w:val="0F4761" w:themeColor="accent1" w:themeShade="BF"/>
      <w:sz w:val="28"/>
      <w:szCs w:val="28"/>
    </w:rPr>
  </w:style>
  <w:style w:type="character" w:customStyle="1" w:styleId="Heading4Char">
    <w:name w:val="Heading 4 Char"/>
    <w:basedOn w:val="DefaultParagraphFont"/>
    <w:link w:val="Heading4"/>
    <w:uiPriority w:val="9"/>
    <w:semiHidden/>
    <w:rsid w:val="007A6B3A"/>
    <w:rPr>
      <w:rFonts w:asciiTheme="minorHAnsi" w:eastAsiaTheme="majorEastAsia" w:hAnsiTheme="minorHAnsi"/>
      <w:i/>
      <w:iCs/>
      <w:color w:val="0F4761" w:themeColor="accent1" w:themeShade="BF"/>
    </w:rPr>
  </w:style>
  <w:style w:type="character" w:customStyle="1" w:styleId="Heading5Char">
    <w:name w:val="Heading 5 Char"/>
    <w:basedOn w:val="DefaultParagraphFont"/>
    <w:link w:val="Heading5"/>
    <w:uiPriority w:val="9"/>
    <w:semiHidden/>
    <w:rsid w:val="007A6B3A"/>
    <w:rPr>
      <w:rFonts w:asciiTheme="minorHAnsi" w:eastAsiaTheme="majorEastAsia" w:hAnsiTheme="minorHAnsi"/>
      <w:color w:val="0F4761" w:themeColor="accent1" w:themeShade="BF"/>
    </w:rPr>
  </w:style>
  <w:style w:type="character" w:customStyle="1" w:styleId="Heading6Char">
    <w:name w:val="Heading 6 Char"/>
    <w:basedOn w:val="DefaultParagraphFont"/>
    <w:link w:val="Heading6"/>
    <w:uiPriority w:val="9"/>
    <w:semiHidden/>
    <w:rsid w:val="007A6B3A"/>
    <w:rPr>
      <w:rFonts w:asciiTheme="minorHAnsi" w:eastAsiaTheme="majorEastAsia" w:hAnsiTheme="minorHAnsi"/>
      <w:i/>
      <w:iCs/>
      <w:color w:val="595959" w:themeColor="text1" w:themeTint="A6"/>
    </w:rPr>
  </w:style>
  <w:style w:type="character" w:customStyle="1" w:styleId="Heading7Char">
    <w:name w:val="Heading 7 Char"/>
    <w:basedOn w:val="DefaultParagraphFont"/>
    <w:link w:val="Heading7"/>
    <w:uiPriority w:val="9"/>
    <w:semiHidden/>
    <w:rsid w:val="007A6B3A"/>
    <w:rPr>
      <w:rFonts w:asciiTheme="minorHAnsi" w:eastAsiaTheme="majorEastAsia" w:hAnsiTheme="minorHAnsi"/>
      <w:color w:val="595959" w:themeColor="text1" w:themeTint="A6"/>
    </w:rPr>
  </w:style>
  <w:style w:type="character" w:customStyle="1" w:styleId="Heading8Char">
    <w:name w:val="Heading 8 Char"/>
    <w:basedOn w:val="DefaultParagraphFont"/>
    <w:link w:val="Heading8"/>
    <w:uiPriority w:val="9"/>
    <w:semiHidden/>
    <w:rsid w:val="007A6B3A"/>
    <w:rPr>
      <w:rFonts w:asciiTheme="minorHAnsi" w:eastAsiaTheme="majorEastAsia" w:hAnsiTheme="minorHAnsi"/>
      <w:i/>
      <w:iCs/>
      <w:color w:val="272727" w:themeColor="text1" w:themeTint="D8"/>
    </w:rPr>
  </w:style>
  <w:style w:type="character" w:customStyle="1" w:styleId="Heading9Char">
    <w:name w:val="Heading 9 Char"/>
    <w:basedOn w:val="DefaultParagraphFont"/>
    <w:link w:val="Heading9"/>
    <w:uiPriority w:val="9"/>
    <w:semiHidden/>
    <w:rsid w:val="007A6B3A"/>
    <w:rPr>
      <w:rFonts w:asciiTheme="minorHAnsi" w:eastAsiaTheme="majorEastAsia" w:hAnsiTheme="minorHAnsi"/>
      <w:color w:val="272727" w:themeColor="text1" w:themeTint="D8"/>
    </w:rPr>
  </w:style>
  <w:style w:type="paragraph" w:styleId="Title">
    <w:name w:val="Title"/>
    <w:basedOn w:val="Normal"/>
    <w:next w:val="Normal"/>
    <w:link w:val="TitleChar"/>
    <w:uiPriority w:val="10"/>
    <w:qFormat/>
    <w:rsid w:val="007A6B3A"/>
    <w:pPr>
      <w:spacing w:after="80"/>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7A6B3A"/>
    <w:rPr>
      <w:rFonts w:asciiTheme="majorHAnsi" w:eastAsiaTheme="majorEastAsia" w:hAnsiTheme="majorHAnsi"/>
      <w:spacing w:val="-10"/>
      <w:kern w:val="28"/>
      <w:sz w:val="56"/>
      <w:szCs w:val="56"/>
    </w:rPr>
  </w:style>
  <w:style w:type="paragraph" w:styleId="Subtitle">
    <w:name w:val="Subtitle"/>
    <w:basedOn w:val="Normal"/>
    <w:next w:val="Normal"/>
    <w:link w:val="SubtitleChar"/>
    <w:uiPriority w:val="11"/>
    <w:qFormat/>
    <w:rsid w:val="007A6B3A"/>
    <w:pPr>
      <w:numPr>
        <w:ilvl w:val="1"/>
      </w:numPr>
      <w:spacing w:after="160"/>
    </w:pPr>
    <w:rPr>
      <w:rFonts w:asciiTheme="minorHAnsi" w:eastAsiaTheme="majorEastAsia" w:hAnsiTheme="minorHAnsi"/>
      <w:color w:val="595959" w:themeColor="text1" w:themeTint="A6"/>
      <w:spacing w:val="15"/>
      <w:sz w:val="28"/>
      <w:szCs w:val="28"/>
    </w:rPr>
  </w:style>
  <w:style w:type="character" w:customStyle="1" w:styleId="SubtitleChar">
    <w:name w:val="Subtitle Char"/>
    <w:basedOn w:val="DefaultParagraphFont"/>
    <w:link w:val="Subtitle"/>
    <w:uiPriority w:val="11"/>
    <w:rsid w:val="007A6B3A"/>
    <w:rPr>
      <w:rFonts w:asciiTheme="minorHAnsi" w:eastAsiaTheme="majorEastAsia" w:hAnsiTheme="minorHAnsi"/>
      <w:color w:val="595959" w:themeColor="text1" w:themeTint="A6"/>
      <w:spacing w:val="15"/>
      <w:sz w:val="28"/>
      <w:szCs w:val="28"/>
    </w:rPr>
  </w:style>
  <w:style w:type="paragraph" w:styleId="Quote">
    <w:name w:val="Quote"/>
    <w:basedOn w:val="Normal"/>
    <w:next w:val="Normal"/>
    <w:link w:val="QuoteChar"/>
    <w:uiPriority w:val="29"/>
    <w:qFormat/>
    <w:rsid w:val="007A6B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A6B3A"/>
    <w:rPr>
      <w:i/>
      <w:iCs/>
      <w:color w:val="404040" w:themeColor="text1" w:themeTint="BF"/>
    </w:rPr>
  </w:style>
  <w:style w:type="paragraph" w:styleId="ListParagraph">
    <w:name w:val="List Paragraph"/>
    <w:basedOn w:val="Normal"/>
    <w:uiPriority w:val="34"/>
    <w:qFormat/>
    <w:rsid w:val="007A6B3A"/>
    <w:pPr>
      <w:ind w:left="720"/>
      <w:contextualSpacing/>
    </w:pPr>
  </w:style>
  <w:style w:type="character" w:styleId="IntenseEmphasis">
    <w:name w:val="Intense Emphasis"/>
    <w:basedOn w:val="DefaultParagraphFont"/>
    <w:uiPriority w:val="21"/>
    <w:qFormat/>
    <w:rsid w:val="007A6B3A"/>
    <w:rPr>
      <w:i/>
      <w:iCs/>
      <w:color w:val="0F4761" w:themeColor="accent1" w:themeShade="BF"/>
    </w:rPr>
  </w:style>
  <w:style w:type="paragraph" w:styleId="IntenseQuote">
    <w:name w:val="Intense Quote"/>
    <w:basedOn w:val="Normal"/>
    <w:next w:val="Normal"/>
    <w:link w:val="IntenseQuoteChar"/>
    <w:uiPriority w:val="30"/>
    <w:qFormat/>
    <w:rsid w:val="007A6B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6B3A"/>
    <w:rPr>
      <w:i/>
      <w:iCs/>
      <w:color w:val="0F4761" w:themeColor="accent1" w:themeShade="BF"/>
    </w:rPr>
  </w:style>
  <w:style w:type="character" w:styleId="IntenseReference">
    <w:name w:val="Intense Reference"/>
    <w:basedOn w:val="DefaultParagraphFont"/>
    <w:uiPriority w:val="32"/>
    <w:qFormat/>
    <w:rsid w:val="007A6B3A"/>
    <w:rPr>
      <w:b/>
      <w:bCs/>
      <w:smallCaps/>
      <w:color w:val="0F4761" w:themeColor="accent1" w:themeShade="BF"/>
      <w:spacing w:val="5"/>
    </w:rPr>
  </w:style>
  <w:style w:type="character" w:customStyle="1" w:styleId="hwtze">
    <w:name w:val="hwtze"/>
    <w:basedOn w:val="DefaultParagraphFont"/>
    <w:rsid w:val="007A6B3A"/>
  </w:style>
  <w:style w:type="character" w:customStyle="1" w:styleId="rynqvb">
    <w:name w:val="rynqvb"/>
    <w:basedOn w:val="DefaultParagraphFont"/>
    <w:rsid w:val="007A6B3A"/>
  </w:style>
  <w:style w:type="paragraph" w:customStyle="1" w:styleId="Normal2">
    <w:name w:val="Normal 2"/>
    <w:uiPriority w:val="99"/>
    <w:rsid w:val="005266C9"/>
    <w:pPr>
      <w:autoSpaceDE w:val="0"/>
      <w:autoSpaceDN w:val="0"/>
      <w:adjustRightInd w:val="0"/>
    </w:pPr>
    <w:rPr>
      <w:rFonts w:ascii="JaghbUni" w:eastAsia="Times New Roman" w:hAnsi="JaghbUni" w:cs="JaghbUni"/>
      <w:kern w:val="0"/>
      <w:sz w:val="28"/>
      <w:szCs w:val="28"/>
      <w14:ligatures w14:val="none"/>
    </w:rPr>
  </w:style>
  <w:style w:type="paragraph" w:styleId="Footer">
    <w:name w:val="footer"/>
    <w:basedOn w:val="Normal"/>
    <w:link w:val="FooterChar"/>
    <w:uiPriority w:val="99"/>
    <w:unhideWhenUsed/>
    <w:rsid w:val="00FE6C1F"/>
    <w:pPr>
      <w:tabs>
        <w:tab w:val="center" w:pos="4680"/>
        <w:tab w:val="right" w:pos="9360"/>
      </w:tabs>
    </w:pPr>
  </w:style>
  <w:style w:type="character" w:customStyle="1" w:styleId="FooterChar">
    <w:name w:val="Footer Char"/>
    <w:basedOn w:val="DefaultParagraphFont"/>
    <w:link w:val="Footer"/>
    <w:uiPriority w:val="99"/>
    <w:rsid w:val="00FE6C1F"/>
  </w:style>
  <w:style w:type="character" w:styleId="PageNumber">
    <w:name w:val="page number"/>
    <w:basedOn w:val="DefaultParagraphFont"/>
    <w:uiPriority w:val="99"/>
    <w:semiHidden/>
    <w:unhideWhenUsed/>
    <w:rsid w:val="00FE6C1F"/>
  </w:style>
  <w:style w:type="character" w:styleId="Hyperlink">
    <w:name w:val="Hyperlink"/>
    <w:basedOn w:val="DefaultParagraphFont"/>
    <w:uiPriority w:val="99"/>
    <w:unhideWhenUsed/>
    <w:rsid w:val="008708C6"/>
    <w:rPr>
      <w:color w:val="467886" w:themeColor="hyperlink"/>
      <w:u w:val="single"/>
    </w:rPr>
  </w:style>
  <w:style w:type="character" w:styleId="UnresolvedMention">
    <w:name w:val="Unresolved Mention"/>
    <w:basedOn w:val="DefaultParagraphFont"/>
    <w:uiPriority w:val="99"/>
    <w:semiHidden/>
    <w:unhideWhenUsed/>
    <w:rsid w:val="008708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852923">
      <w:bodyDiv w:val="1"/>
      <w:marLeft w:val="0"/>
      <w:marRight w:val="0"/>
      <w:marTop w:val="0"/>
      <w:marBottom w:val="0"/>
      <w:divBdr>
        <w:top w:val="none" w:sz="0" w:space="0" w:color="auto"/>
        <w:left w:val="none" w:sz="0" w:space="0" w:color="auto"/>
        <w:bottom w:val="none" w:sz="0" w:space="0" w:color="auto"/>
        <w:right w:val="none" w:sz="0" w:space="0" w:color="auto"/>
      </w:divBdr>
    </w:div>
    <w:div w:id="1449004740">
      <w:bodyDiv w:val="1"/>
      <w:marLeft w:val="0"/>
      <w:marRight w:val="0"/>
      <w:marTop w:val="0"/>
      <w:marBottom w:val="0"/>
      <w:divBdr>
        <w:top w:val="none" w:sz="0" w:space="0" w:color="auto"/>
        <w:left w:val="none" w:sz="0" w:space="0" w:color="auto"/>
        <w:bottom w:val="none" w:sz="0" w:space="0" w:color="auto"/>
        <w:right w:val="none" w:sz="0" w:space="0" w:color="auto"/>
      </w:divBdr>
    </w:div>
    <w:div w:id="1459226903">
      <w:bodyDiv w:val="1"/>
      <w:marLeft w:val="0"/>
      <w:marRight w:val="0"/>
      <w:marTop w:val="0"/>
      <w:marBottom w:val="0"/>
      <w:divBdr>
        <w:top w:val="none" w:sz="0" w:space="0" w:color="auto"/>
        <w:left w:val="none" w:sz="0" w:space="0" w:color="auto"/>
        <w:bottom w:val="none" w:sz="0" w:space="0" w:color="auto"/>
        <w:right w:val="none" w:sz="0" w:space="0" w:color="auto"/>
      </w:divBdr>
    </w:div>
    <w:div w:id="2147234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E80DF-0DDC-ED4C-8E85-E26F4053C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6</Pages>
  <Words>2909</Words>
  <Characters>16584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Varisco</dc:creator>
  <cp:keywords/>
  <dc:description/>
  <cp:lastModifiedBy>Dwight Read</cp:lastModifiedBy>
  <cp:revision>6</cp:revision>
  <dcterms:created xsi:type="dcterms:W3CDTF">2024-07-28T20:57:00Z</dcterms:created>
  <dcterms:modified xsi:type="dcterms:W3CDTF">2024-07-29T07:56:00Z</dcterms:modified>
</cp:coreProperties>
</file>