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00000002" w14:textId="70CE8C82" w:rsidR="006F0F70" w:rsidRPr="007E0A49" w:rsidRDefault="00A55B5C">
      <w:pPr>
        <w:jc w:val="both"/>
        <w:rPr>
          <w:rFonts w:ascii="Garamond" w:eastAsia="Garamond" w:hAnsi="Garamond" w:cs="Garamond"/>
          <w:b/>
          <w:color w:val="000000"/>
          <w:sz w:val="40"/>
          <w:szCs w:val="40"/>
        </w:rPr>
      </w:pPr>
      <w:r>
        <w:rPr>
          <w:rFonts w:ascii="Garamond" w:eastAsia="Garamond" w:hAnsi="Garamond" w:cs="Garamond"/>
          <w:b/>
          <w:color w:val="000000"/>
          <w:sz w:val="40"/>
          <w:szCs w:val="40"/>
        </w:rPr>
        <w:t>ARTICLE</w:t>
      </w:r>
    </w:p>
    <w:p w14:paraId="00000003" w14:textId="77777777" w:rsidR="006F0F70" w:rsidRPr="007A610F" w:rsidRDefault="006F0F70">
      <w:pPr>
        <w:jc w:val="both"/>
        <w:rPr>
          <w:rFonts w:ascii="Garamond" w:eastAsia="Garamond" w:hAnsi="Garamond" w:cs="Garamond"/>
          <w:color w:val="000000"/>
          <w:sz w:val="24"/>
          <w:szCs w:val="24"/>
        </w:rPr>
      </w:pPr>
    </w:p>
    <w:p w14:paraId="76E48DC1" w14:textId="280C4638" w:rsidR="001F793B" w:rsidRPr="001F793B" w:rsidRDefault="00967B53" w:rsidP="00967B53">
      <w:pPr>
        <w:pStyle w:val="L2JTitle"/>
      </w:pPr>
      <w:r>
        <w:t>Reading</w:t>
      </w:r>
      <w:r>
        <w:rPr>
          <w:rFonts w:ascii="Times New Roman" w:hAnsi="Times New Roman" w:cs="Times New Roman"/>
        </w:rPr>
        <w:t>‒</w:t>
      </w:r>
      <w:r>
        <w:t>Writing Connections:</w:t>
      </w:r>
      <w:r>
        <w:t xml:space="preserve"> </w:t>
      </w:r>
      <w:r>
        <w:t xml:space="preserve">A Systematic Review </w:t>
      </w:r>
      <w:proofErr w:type="gramStart"/>
      <w:r>
        <w:t>O</w:t>
      </w:r>
      <w:r>
        <w:t>f</w:t>
      </w:r>
      <w:proofErr w:type="gramEnd"/>
      <w:r>
        <w:t xml:space="preserve"> Second Language Synthesis Writing</w:t>
      </w:r>
    </w:p>
    <w:p w14:paraId="77BA4798" w14:textId="77777777" w:rsidR="00967B53" w:rsidRDefault="00967B53" w:rsidP="005C461E">
      <w:pPr>
        <w:pStyle w:val="L2JAuthorByline"/>
      </w:pPr>
    </w:p>
    <w:p w14:paraId="00000006" w14:textId="489BA9FA" w:rsidR="006F0F70" w:rsidRPr="00AA29E3" w:rsidRDefault="00967B53" w:rsidP="005C461E">
      <w:pPr>
        <w:pStyle w:val="L2JAuthorByline"/>
      </w:pPr>
      <w:r>
        <w:t>JUYEON YOO</w:t>
      </w:r>
    </w:p>
    <w:p w14:paraId="00000007" w14:textId="77777777" w:rsidR="006F0F70" w:rsidRPr="00AA29E3" w:rsidRDefault="006F0F70">
      <w:pPr>
        <w:rPr>
          <w:rFonts w:ascii="Garamond" w:eastAsia="Garamond" w:hAnsi="Garamond" w:cs="Garamond"/>
          <w:color w:val="000000"/>
          <w:sz w:val="24"/>
          <w:szCs w:val="24"/>
        </w:rPr>
      </w:pPr>
    </w:p>
    <w:p w14:paraId="00000008" w14:textId="2CCAD933" w:rsidR="006F0F70" w:rsidRPr="007400F4" w:rsidRDefault="00967B53" w:rsidP="005C461E">
      <w:pPr>
        <w:pStyle w:val="L2JAuthorAffiliation"/>
      </w:pPr>
      <w:r>
        <w:t xml:space="preserve">Ball State University </w:t>
      </w:r>
    </w:p>
    <w:p w14:paraId="30E7A2A0" w14:textId="0E4C5BA8" w:rsidR="001F793B" w:rsidRDefault="00000000" w:rsidP="005C461E">
      <w:pPr>
        <w:pStyle w:val="L2JAuthorAffiliation"/>
      </w:pPr>
      <w:r w:rsidRPr="007400F4">
        <w:t>E-mail:</w:t>
      </w:r>
      <w:r w:rsidR="00FD6AAC" w:rsidRPr="007400F4">
        <w:t xml:space="preserve"> </w:t>
      </w:r>
      <w:hyperlink r:id="rId8" w:history="1">
        <w:r w:rsidR="0006404E" w:rsidRPr="00190236">
          <w:rPr>
            <w:rStyle w:val="Hyperlink"/>
          </w:rPr>
          <w:t>juyeon.yoo@bsu.edu</w:t>
        </w:r>
      </w:hyperlink>
      <w:r w:rsidR="004F25FB">
        <w:t xml:space="preserve"> </w:t>
      </w:r>
    </w:p>
    <w:p w14:paraId="2E3B6BC8" w14:textId="77777777" w:rsidR="00E70CD7" w:rsidRDefault="00E70CD7" w:rsidP="005C461E">
      <w:pPr>
        <w:pStyle w:val="L2JAuthorAffiliation"/>
      </w:pPr>
    </w:p>
    <w:p w14:paraId="00000016" w14:textId="77777777" w:rsidR="006F0F70" w:rsidRPr="007E0A49" w:rsidRDefault="006F0F70">
      <w:pPr>
        <w:pBdr>
          <w:top w:val="single" w:sz="4" w:space="1" w:color="000000"/>
        </w:pBdr>
        <w:tabs>
          <w:tab w:val="left" w:pos="560"/>
          <w:tab w:val="left" w:pos="1120"/>
          <w:tab w:val="left" w:pos="1440"/>
          <w:tab w:val="left" w:pos="1680"/>
          <w:tab w:val="left" w:pos="2240"/>
          <w:tab w:val="left" w:pos="2800"/>
          <w:tab w:val="left" w:pos="3360"/>
          <w:tab w:val="left" w:pos="3920"/>
          <w:tab w:val="left" w:pos="4480"/>
          <w:tab w:val="left" w:pos="5040"/>
          <w:tab w:val="left" w:pos="5490"/>
          <w:tab w:val="left" w:pos="5600"/>
          <w:tab w:val="left" w:pos="6160"/>
          <w:tab w:val="left" w:pos="6720"/>
        </w:tabs>
        <w:ind w:right="-90"/>
        <w:jc w:val="both"/>
        <w:rPr>
          <w:rFonts w:ascii="Garamond" w:eastAsia="Garamond" w:hAnsi="Garamond" w:cs="Garamond"/>
          <w:color w:val="000000"/>
          <w:sz w:val="2"/>
          <w:szCs w:val="2"/>
        </w:rPr>
      </w:pPr>
    </w:p>
    <w:p w14:paraId="386488DF" w14:textId="77777777" w:rsidR="006B65B4" w:rsidRDefault="006B65B4" w:rsidP="00A83B77">
      <w:pPr>
        <w:shd w:val="clear" w:color="auto" w:fill="FFFFFF"/>
        <w:jc w:val="both"/>
        <w:rPr>
          <w:rFonts w:ascii="Garamond" w:eastAsia="Garamond" w:hAnsi="Garamond" w:cs="Garamond"/>
          <w:color w:val="000000"/>
          <w:sz w:val="20"/>
          <w:szCs w:val="20"/>
        </w:rPr>
      </w:pPr>
    </w:p>
    <w:p w14:paraId="1A3CA30E" w14:textId="77777777" w:rsidR="00967B53" w:rsidRDefault="00967B53" w:rsidP="00967B53">
      <w:pPr>
        <w:pStyle w:val="L2JAbstract"/>
        <w:rPr>
          <w:shd w:val="clear" w:color="auto" w:fill="FFFFFF"/>
        </w:rPr>
      </w:pPr>
      <w:r w:rsidRPr="00967B53">
        <w:rPr>
          <w:shd w:val="clear" w:color="auto" w:fill="FFFFFF"/>
        </w:rPr>
        <w:t>Synthesis writing is a widely practiced form of academic writing in which students incorporate into their writing multiple perspectives from various sources. Although scholars have acknowledged that synthesis writing is particularly challenging for writers using a second language, few of them have systematically reviewed the relevant literature. The purpose of the current study was to investigate the discrepancy between extensive practice and the scarcity of reviews by assessing 92 empirical studies on synthesis writing produced during the last two decades (2004–2024). The aim of this review was a comprehensive examination of patterns in research contexts, theoretical frameworks, methodological approaches, and key research findings. The main findings suggest that most previous research was conducted in higher education settings, predominantly focusing on undergraduate students in North America (the US and Canada), followed by Asia (e.g., China, Japan, United Arab Emirates, and Iran). Regarding the theoretical orientations used in these studies, most researchers used cognitively oriented approaches, followed by social or sociocultural approaches. Methodologically, quantitative approaches were used slightly more than qualitative ones, followed by an approach emphasizing quantitative methods, or eclectic (QUAN + qual). The areas of synthesis writing receiving the most attention were source use, predictors of writing scores, task representation, and writing processes. Overall, many empirical studies highlighted students’ continuous struggles with source use, underscoring the need for systematic instruction to enhance their synthesis writing skills.</w:t>
      </w:r>
    </w:p>
    <w:p w14:paraId="00000019" w14:textId="1725A521" w:rsidR="006F0F70" w:rsidRPr="007E0A49" w:rsidRDefault="00000000">
      <w:pPr>
        <w:shd w:val="clear" w:color="auto" w:fill="FFFFFF"/>
        <w:jc w:val="center"/>
        <w:rPr>
          <w:rFonts w:ascii="Garamond" w:eastAsia="Garamond" w:hAnsi="Garamond" w:cs="Garamond"/>
          <w:color w:val="000000"/>
        </w:rPr>
      </w:pPr>
      <w:r w:rsidRPr="007E0A49">
        <w:rPr>
          <w:rFonts w:ascii="Garamond" w:eastAsia="Garamond" w:hAnsi="Garamond" w:cs="Garamond"/>
          <w:color w:val="000000"/>
        </w:rPr>
        <w:t>_______________</w:t>
      </w:r>
    </w:p>
    <w:p w14:paraId="0000001A" w14:textId="77777777" w:rsidR="006F0F70" w:rsidRPr="007E0A49" w:rsidRDefault="006F0F70">
      <w:pPr>
        <w:shd w:val="clear" w:color="auto" w:fill="FFFFFF"/>
        <w:jc w:val="center"/>
        <w:rPr>
          <w:rFonts w:ascii="Garamond" w:eastAsia="Garamond" w:hAnsi="Garamond" w:cs="Garamond"/>
          <w:color w:val="000000"/>
          <w:sz w:val="24"/>
          <w:szCs w:val="24"/>
        </w:rPr>
      </w:pPr>
    </w:p>
    <w:p w14:paraId="2E8299D9" w14:textId="0830D5EA" w:rsidR="006B65B4" w:rsidRDefault="00000000" w:rsidP="006B65B4">
      <w:pPr>
        <w:pStyle w:val="L2JH1"/>
      </w:pPr>
      <w:r w:rsidRPr="007E0A49">
        <w:t>INTRODUCTION</w:t>
      </w:r>
    </w:p>
    <w:p w14:paraId="2924C5D7" w14:textId="77777777" w:rsidR="006B65B4" w:rsidRPr="006B65B4" w:rsidRDefault="006B65B4" w:rsidP="005C461E">
      <w:pPr>
        <w:pStyle w:val="L2JBody"/>
      </w:pPr>
    </w:p>
    <w:p w14:paraId="583913CA" w14:textId="77777777" w:rsidR="0006404E" w:rsidRDefault="0006404E" w:rsidP="00523A2C">
      <w:pPr>
        <w:pStyle w:val="L2JBody"/>
        <w:ind w:firstLine="0"/>
      </w:pPr>
      <w:r>
        <w:t>Academic literacy, which involves both reading and writing skills, has always been regarded as the sine qua non for success in academic settings. In researching it, significant attention has been directed toward synthesis writing, in which students read and connect multiple perspectives based on source texts. Van Ockenburg et al. (2019) defined synthesis writing as the process of “</w:t>
      </w:r>
      <w:proofErr w:type="spellStart"/>
      <w:r>
        <w:t>integrat</w:t>
      </w:r>
      <w:proofErr w:type="spellEnd"/>
      <w:r>
        <w:t>[</w:t>
      </w:r>
      <w:proofErr w:type="spellStart"/>
      <w:r>
        <w:t>ing</w:t>
      </w:r>
      <w:proofErr w:type="spellEnd"/>
      <w:r>
        <w:t xml:space="preserve">] different information sources” and generating a “representative” text (p. 402). In this sense, synthesis writing surpasses simple amalgamations of parts and is instead an act of transformation (Bereiter &amp; </w:t>
      </w:r>
      <w:proofErr w:type="spellStart"/>
      <w:r>
        <w:t>Scardamalia</w:t>
      </w:r>
      <w:proofErr w:type="spellEnd"/>
      <w:r>
        <w:t>, 1987) because synthesizing facilitates new critical thought (Martínez et al., 2015) or novel perspectives (Vandermeulen et al., 2020).</w:t>
      </w:r>
    </w:p>
    <w:p w14:paraId="20B91EBA" w14:textId="77777777" w:rsidR="0006404E" w:rsidRDefault="0006404E" w:rsidP="0006404E">
      <w:pPr>
        <w:pStyle w:val="L2JBody"/>
      </w:pPr>
      <w:r>
        <w:t xml:space="preserve">Typical examples of synthesis writing are argumentative essays (Zhang, 2013), literature reviews (Dovey, 2010), and research papers (Ene et al., 2019) in which multiple viewpoints from reading sources are examined, compared, and integrated. Synthesis writing is also known to be a highly demanding task—cognitively, linguistically, and rhetorically (Zhao &amp; Hirvela, 2015)— because the writer must accurately understand source material, extract only essential information for the chosen themes, and reflect those ideas in a well-formed text (Doolan &amp; Fitzsimmons-Doolan, 2024). Many student writers, particularly second language (L2) students, struggle with synthesis writing because they need to manage two or more linguistic and rhetorical systems at once (Grabe &amp; Zhang, 2013; Hirvela, 2016). </w:t>
      </w:r>
    </w:p>
    <w:p w14:paraId="78DC8016" w14:textId="77777777" w:rsidR="0006404E" w:rsidRDefault="0006404E" w:rsidP="0006404E">
      <w:pPr>
        <w:pStyle w:val="L2JBody"/>
      </w:pPr>
      <w:r>
        <w:lastRenderedPageBreak/>
        <w:t>Most of the existing body of research on synthesis writing is grounded in Spivey (1984), who described synthesis processes through a model of discourse synthesis with three subprocesses—organizing, selecting, and connecting. First, writers engage in organizing when they examine the structure of their reading sources and contemplate a plan for their paper. Then, they choose the most important source ideas related to the chosen theme(s). Writers also explore relationships among the source materials to create appropriate syntheses. Although Spivey’s (1984) model was originally constructed with data from first language (L1) students, it has been widely applied in research on L2 synthesis writing.</w:t>
      </w:r>
    </w:p>
    <w:p w14:paraId="3E2AC6E0" w14:textId="77777777" w:rsidR="0006404E" w:rsidRDefault="0006404E" w:rsidP="0006404E">
      <w:pPr>
        <w:pStyle w:val="L2JBody"/>
      </w:pPr>
      <w:r>
        <w:t xml:space="preserve">Several representative L2 writing researchers incorporated Spivey’s discourse synthesis. For example, </w:t>
      </w:r>
      <w:proofErr w:type="spellStart"/>
      <w:r>
        <w:t>Plakans</w:t>
      </w:r>
      <w:proofErr w:type="spellEnd"/>
      <w:r>
        <w:t xml:space="preserve"> (2009a) provided evidence that Spivey’s L1-based model was applicable in L2 students’ synthesis process by demonstrating that ESL undergraduate and graduate students engaged in organizing, selecting, and connecting. Zhang (2013) examined the pedagogical effects of discourse-synthesis instruction and found that it promoted significant growth in L2 students’ synthesis writing. More recently, Doolan (2021) illustrated that both L1 and L2 students rarely integrated source information (2% of true synthesis) despite the specific requirement of synthesis, emphasizing the challenge that synthesis writing poses to students of all backgrounds.</w:t>
      </w:r>
    </w:p>
    <w:p w14:paraId="0A1C5506" w14:textId="77777777" w:rsidR="0006404E" w:rsidRDefault="0006404E" w:rsidP="0006404E">
      <w:pPr>
        <w:pStyle w:val="L2JBody"/>
      </w:pPr>
      <w:r>
        <w:t xml:space="preserve">My primary motivation for the current study was, therefore, to respond to the dearth of systematic reviews published specifically on L2 synthesis writing. Recently, Nelson and King (2023) undertook a review of discourse synthesis, but it was a conceptual piece without the systematic inclusion or analysis of empirical studies. The only two broader reviews on source-based writing were published nearly a decade ago. Cumming et al. (2016) analyzed 69 empirical studies to investigate L2 writers’ source-based writing and found significant differences depending on their disciplines, educational levels, and task conditions. They also found important differences between L1 and L2 students in their citation of sources. Then, in a larger thematic review of 135 studies, Liu et al. (2016) identified source-use problems that L2 students encountered, finding that they engaged in inappropriate source use practices, such as illegitimate textual borrowing, in part due to differing cultural norms. Such plagiarism issues were also explained by insufficient institutional guidelines and the faculty’s use of plagiarism detection software (e.g., Turnitin) to punish rather than to educate students. To help students better understand source-use practices, authors made two pedagogical recommendations: (a) invite students to various workshops on responsible use of sources and (b) engage faculty in conducting more concrete source-use activities in class to narrow the gap between faculty expectations and student understanding. </w:t>
      </w:r>
    </w:p>
    <w:p w14:paraId="7BF66BE4" w14:textId="77777777" w:rsidR="0006404E" w:rsidRDefault="0006404E" w:rsidP="0006404E">
      <w:pPr>
        <w:pStyle w:val="L2JBody"/>
      </w:pPr>
      <w:r>
        <w:t xml:space="preserve">My secondary motivation for the current study was the emergence of generative artificial intelligence (GenAI) tools, which </w:t>
      </w:r>
      <w:proofErr w:type="gramStart"/>
      <w:r>
        <w:t>are capable of producing</w:t>
      </w:r>
      <w:proofErr w:type="gramEnd"/>
      <w:r>
        <w:t xml:space="preserve"> texts involving sources (Sun, 2024). Some language educators (Lee, 2024; Szabó &amp; Szoke, 2024) have stated that GenAI represents a breakthrough that can enhance writers’ thoughts and elevate their work (Barnett, 2024), whereas other scholars in composition (</w:t>
      </w:r>
      <w:proofErr w:type="spellStart"/>
      <w:r>
        <w:t>Bedington</w:t>
      </w:r>
      <w:proofErr w:type="spellEnd"/>
      <w:r>
        <w:t xml:space="preserve"> et al., 2024; Cummings et al., 2024) have voiced their apprehension about overreliance on AI content (Zou &amp; Huang, 2023). Although I did not expect to find a significant amount of research on the topic of generative AI and synthesis writing at this point, especially empirical studies with L2 learners as the subjects, I nevertheless </w:t>
      </w:r>
      <w:proofErr w:type="gramStart"/>
      <w:r>
        <w:t>made an effort</w:t>
      </w:r>
      <w:proofErr w:type="gramEnd"/>
      <w:r>
        <w:t xml:space="preserve"> to search for such studies because they have the potential to bring new foci and perspectives to the field of L2 academic writing.</w:t>
      </w:r>
    </w:p>
    <w:p w14:paraId="37960A2E" w14:textId="77777777" w:rsidR="0006404E" w:rsidRDefault="0006404E" w:rsidP="0006404E">
      <w:pPr>
        <w:pStyle w:val="L2JBody"/>
      </w:pPr>
      <w:r>
        <w:t>Clearly, the time is ripe for a systematic examination of research on synthesis writing. Thus, I conducted a critical examination of 92 empirical studies, providing an overall picture of synthesis writing research and addressing the following research questions:</w:t>
      </w:r>
    </w:p>
    <w:p w14:paraId="1946C15A" w14:textId="77777777" w:rsidR="00523A2C" w:rsidRDefault="0006404E" w:rsidP="0006404E">
      <w:pPr>
        <w:pStyle w:val="L2JBody"/>
      </w:pPr>
      <w:r>
        <w:t>RQ 1: In what geographical and educational contexts has synthesis writing research</w:t>
      </w:r>
    </w:p>
    <w:p w14:paraId="5B223B59" w14:textId="0E925F16" w:rsidR="00523A2C" w:rsidRDefault="0006404E" w:rsidP="00E753F2">
      <w:pPr>
        <w:pStyle w:val="L2JBody"/>
      </w:pPr>
      <w:r>
        <w:lastRenderedPageBreak/>
        <w:t>been</w:t>
      </w:r>
      <w:r w:rsidR="00523A2C">
        <w:t xml:space="preserve"> </w:t>
      </w:r>
      <w:r>
        <w:t>conducted?</w:t>
      </w:r>
    </w:p>
    <w:p w14:paraId="2EFB0E99" w14:textId="639B7EBB" w:rsidR="00523A2C" w:rsidRDefault="0006404E" w:rsidP="00E753F2">
      <w:pPr>
        <w:pStyle w:val="L2JBody"/>
      </w:pPr>
      <w:r>
        <w:t>RQ 2: What theoretical frameworks have been used to investigate synthesis writing?</w:t>
      </w:r>
    </w:p>
    <w:p w14:paraId="7569B62B" w14:textId="4B4B9E0C" w:rsidR="0006404E" w:rsidRDefault="0006404E" w:rsidP="0006404E">
      <w:pPr>
        <w:pStyle w:val="L2JBody"/>
      </w:pPr>
      <w:r>
        <w:t xml:space="preserve">RQ 3: Which methodological approaches have been adopted to investigate synthesis </w:t>
      </w:r>
    </w:p>
    <w:p w14:paraId="72CD046A" w14:textId="5F59AEC3" w:rsidR="00523A2C" w:rsidRDefault="0006404E" w:rsidP="00E753F2">
      <w:pPr>
        <w:pStyle w:val="L2JBody"/>
      </w:pPr>
      <w:r>
        <w:t>writing?</w:t>
      </w:r>
    </w:p>
    <w:p w14:paraId="56584651" w14:textId="706BCE0F" w:rsidR="0006404E" w:rsidRDefault="0006404E" w:rsidP="0006404E">
      <w:pPr>
        <w:pStyle w:val="L2JBody"/>
      </w:pPr>
      <w:r>
        <w:t xml:space="preserve">RQ 4: What </w:t>
      </w:r>
      <w:proofErr w:type="gramStart"/>
      <w:r>
        <w:t>are</w:t>
      </w:r>
      <w:proofErr w:type="gramEnd"/>
      <w:r>
        <w:t xml:space="preserve"> the key thematized research findings on synthesis writing?</w:t>
      </w:r>
    </w:p>
    <w:p w14:paraId="2EDD2E81" w14:textId="77777777" w:rsidR="00523A2C" w:rsidRDefault="00523A2C" w:rsidP="0006404E">
      <w:pPr>
        <w:pStyle w:val="L2JBody"/>
      </w:pPr>
    </w:p>
    <w:p w14:paraId="22B39CF0" w14:textId="5F987588" w:rsidR="00523A2C" w:rsidRDefault="00523A2C" w:rsidP="00523A2C">
      <w:pPr>
        <w:pStyle w:val="L2JH1"/>
      </w:pPr>
      <w:r>
        <w:t>METHODOLOGY</w:t>
      </w:r>
    </w:p>
    <w:p w14:paraId="3BAEF162" w14:textId="77777777" w:rsidR="00523A2C" w:rsidRDefault="00523A2C" w:rsidP="0006404E">
      <w:pPr>
        <w:pStyle w:val="L2JBody"/>
      </w:pPr>
    </w:p>
    <w:p w14:paraId="5AB895BC" w14:textId="6CCAD088" w:rsidR="0006404E" w:rsidRDefault="0006404E" w:rsidP="00523A2C">
      <w:pPr>
        <w:pStyle w:val="L2JBody"/>
        <w:ind w:firstLine="0"/>
      </w:pPr>
      <w:r>
        <w:t xml:space="preserve">In this systematic review I followed the conventional protocols recommended by leading scholars in L2 research (Norris &amp; Ortega, 2007). In total, I analyzed 92 empirical investigations of synthesis writing, published in 29 peer-reviewed journals between 2004 and 2024. I chose this period first, because synthesis writing was consistently used at that time as a standard task in writing </w:t>
      </w:r>
      <w:proofErr w:type="gramStart"/>
      <w:r>
        <w:t>education  (</w:t>
      </w:r>
      <w:proofErr w:type="gramEnd"/>
      <w:r>
        <w:t xml:space="preserve">Hirvela, 2016) and second, because the challenge posed by the recent arrival of GenAI technology to the field of L2 composition merits further discussion. </w:t>
      </w:r>
    </w:p>
    <w:p w14:paraId="7655336C" w14:textId="77777777" w:rsidR="0006404E" w:rsidRDefault="0006404E" w:rsidP="0006404E">
      <w:pPr>
        <w:pStyle w:val="L2JBody"/>
      </w:pPr>
      <w:r>
        <w:t>During this period (2004</w:t>
      </w:r>
      <w:r>
        <w:rPr>
          <w:rFonts w:ascii="Times New Roman" w:hAnsi="Times New Roman" w:cs="Times New Roman"/>
        </w:rPr>
        <w:t>‒</w:t>
      </w:r>
      <w:r>
        <w:t>2024), researchers proposed several new perspectives on L2 learning. Specifically, the social turn (Block, 2003) encouraged educators and researchers to view language learning as a relational activity shaped by interactions and power dynamics in society (Lave &amp; Wenger, 1991; Norton, 2000). The bilingual turn challenged monolingual perspectives and advocated for heritage learners’ knowledge of their first language as an asset (García, 2008). The multilingual turn questioned binary monolingual versus bilingual conceptualizations and emphasized knowledge of multiple languages as a norm reflecting real-world language use (</w:t>
      </w:r>
      <w:proofErr w:type="gramStart"/>
      <w:r>
        <w:t>May,</w:t>
      </w:r>
      <w:proofErr w:type="gramEnd"/>
      <w:r>
        <w:t xml:space="preserve"> 2014). More recently, the translanguaging turn promoted learners’ use of their entire linguistic repertoire to express themselves fully and to learn a language effectively (</w:t>
      </w:r>
      <w:proofErr w:type="spellStart"/>
      <w:r>
        <w:t>Canagarajah</w:t>
      </w:r>
      <w:proofErr w:type="spellEnd"/>
      <w:r>
        <w:t xml:space="preserve">, 2013). These new perspectives resulted in a shift in the topics, theories, and methodologies examined in the field of L2 education overall, including L2 writing research, necessitating a further investigation of synthesis writing through the systematic review below. </w:t>
      </w:r>
    </w:p>
    <w:p w14:paraId="6FB8146A" w14:textId="03F42CB5" w:rsidR="00AA61F3" w:rsidRDefault="0006404E" w:rsidP="00AA61F3">
      <w:pPr>
        <w:pStyle w:val="L2JBody"/>
      </w:pPr>
      <w:r>
        <w:t xml:space="preserve">I executed this review systematically and reliably in three stages by doing the following: </w:t>
      </w:r>
    </w:p>
    <w:p w14:paraId="2D11A624" w14:textId="191F886D" w:rsidR="00523A2C" w:rsidRDefault="0006404E" w:rsidP="00523A2C">
      <w:pPr>
        <w:pStyle w:val="L2JBody"/>
        <w:numPr>
          <w:ilvl w:val="0"/>
          <w:numId w:val="55"/>
        </w:numPr>
      </w:pPr>
      <w:r>
        <w:t>Searching relevant studies exhaustively until reaching data saturation for</w:t>
      </w:r>
    </w:p>
    <w:p w14:paraId="506BE79A" w14:textId="77777777" w:rsidR="00523A2C" w:rsidRDefault="0006404E" w:rsidP="00523A2C">
      <w:pPr>
        <w:pStyle w:val="L2JBody"/>
        <w:ind w:left="1080" w:firstLine="0"/>
      </w:pPr>
      <w:r>
        <w:t xml:space="preserve">consideration for </w:t>
      </w:r>
      <w:proofErr w:type="spellStart"/>
      <w:r>
        <w:t>inclusion,</w:t>
      </w:r>
      <w:proofErr w:type="spellEnd"/>
    </w:p>
    <w:p w14:paraId="0174854C" w14:textId="77777777" w:rsidR="00523A2C" w:rsidRDefault="0006404E" w:rsidP="00523A2C">
      <w:pPr>
        <w:pStyle w:val="L2JBody"/>
        <w:numPr>
          <w:ilvl w:val="0"/>
          <w:numId w:val="55"/>
        </w:numPr>
      </w:pPr>
      <w:r>
        <w:t xml:space="preserve">Using transparent and reliable procedures throughout the stages of conceptualizing, searching, condensing, and drawing conclusions, and </w:t>
      </w:r>
    </w:p>
    <w:p w14:paraId="7B824FC9" w14:textId="09D66886" w:rsidR="0006404E" w:rsidRDefault="0006404E" w:rsidP="00523A2C">
      <w:pPr>
        <w:pStyle w:val="L2JBody"/>
        <w:numPr>
          <w:ilvl w:val="0"/>
          <w:numId w:val="55"/>
        </w:numPr>
      </w:pPr>
      <w:r>
        <w:t>Reviewing the material recursively with sufficient time intervals to reduce reviewer bias.</w:t>
      </w:r>
    </w:p>
    <w:p w14:paraId="68BD4A22" w14:textId="77777777" w:rsidR="00523A2C" w:rsidRDefault="00523A2C" w:rsidP="00523A2C">
      <w:pPr>
        <w:pStyle w:val="L2JBody"/>
        <w:ind w:left="1080" w:firstLine="0"/>
      </w:pPr>
    </w:p>
    <w:p w14:paraId="6B6FB652" w14:textId="77777777" w:rsidR="00523A2C" w:rsidRDefault="0006404E" w:rsidP="00523A2C">
      <w:pPr>
        <w:pStyle w:val="L2JH2"/>
      </w:pPr>
      <w:r>
        <w:t>Data Collection</w:t>
      </w:r>
    </w:p>
    <w:p w14:paraId="682C3A55" w14:textId="77777777" w:rsidR="00523A2C" w:rsidRDefault="00523A2C" w:rsidP="00523A2C">
      <w:pPr>
        <w:pStyle w:val="L2JH2"/>
      </w:pPr>
    </w:p>
    <w:p w14:paraId="7C6A63FE" w14:textId="45BFBFC1" w:rsidR="0006404E" w:rsidRDefault="0006404E" w:rsidP="00523A2C">
      <w:pPr>
        <w:pStyle w:val="L2JH3"/>
      </w:pPr>
      <w:r>
        <w:t>Inclusion</w:t>
      </w:r>
      <w:r>
        <w:rPr>
          <w:rFonts w:ascii="Times New Roman" w:hAnsi="Times New Roman" w:cs="Times New Roman"/>
        </w:rPr>
        <w:t>‒</w:t>
      </w:r>
      <w:r>
        <w:t>Exclusion Criteria</w:t>
      </w:r>
    </w:p>
    <w:p w14:paraId="2DFFC7B2" w14:textId="77777777" w:rsidR="00523A2C" w:rsidRDefault="00523A2C" w:rsidP="00523A2C">
      <w:pPr>
        <w:pStyle w:val="L2JBody"/>
        <w:ind w:firstLine="0"/>
      </w:pPr>
    </w:p>
    <w:p w14:paraId="188AF7AB" w14:textId="38C30E13" w:rsidR="0006404E" w:rsidRDefault="0006404E" w:rsidP="00523A2C">
      <w:pPr>
        <w:pStyle w:val="L2JBody"/>
        <w:ind w:firstLine="0"/>
      </w:pPr>
      <w:r>
        <w:t>I used the following questions to determine whether a piece of research qualified for inclusion:</w:t>
      </w:r>
    </w:p>
    <w:p w14:paraId="0E95406D" w14:textId="77777777" w:rsidR="00523A2C" w:rsidRDefault="0006404E" w:rsidP="00523A2C">
      <w:pPr>
        <w:pStyle w:val="L2JBody"/>
        <w:numPr>
          <w:ilvl w:val="0"/>
          <w:numId w:val="56"/>
        </w:numPr>
      </w:pPr>
      <w:r>
        <w:t>Was the study empirical with original findings? In the current study, I compared theories, methodologies, and findings in the selected studies, necessitating the inclusion of only primary research.</w:t>
      </w:r>
    </w:p>
    <w:p w14:paraId="304478D9" w14:textId="77777777" w:rsidR="00523A2C" w:rsidRDefault="0006404E" w:rsidP="00523A2C">
      <w:pPr>
        <w:pStyle w:val="L2JBody"/>
        <w:numPr>
          <w:ilvl w:val="0"/>
          <w:numId w:val="56"/>
        </w:numPr>
      </w:pPr>
      <w:r>
        <w:t>Was the study published between 2004 and 2024? If so, I considered it recent and relevant for this review (see explanation above).</w:t>
      </w:r>
    </w:p>
    <w:p w14:paraId="5AA16677" w14:textId="77777777" w:rsidR="00523A2C" w:rsidRDefault="0006404E" w:rsidP="00523A2C">
      <w:pPr>
        <w:pStyle w:val="L2JBody"/>
        <w:numPr>
          <w:ilvl w:val="0"/>
          <w:numId w:val="56"/>
        </w:numPr>
      </w:pPr>
      <w:r>
        <w:t xml:space="preserve">Were participants L2 or multilingual writers? Studies with both L1 and L2 participants were considered relevant for the current review only if they offered </w:t>
      </w:r>
      <w:r>
        <w:lastRenderedPageBreak/>
        <w:t xml:space="preserve">separate analyses for L2 participants’ writing. If, however, only L1 participants were involved or if the researchers had not explicitly mentioned participants’ language background(s), the study was excluded. </w:t>
      </w:r>
    </w:p>
    <w:p w14:paraId="7DA1E0CB" w14:textId="77777777" w:rsidR="00523A2C" w:rsidRDefault="0006404E" w:rsidP="00523A2C">
      <w:pPr>
        <w:pStyle w:val="L2JBody"/>
        <w:numPr>
          <w:ilvl w:val="0"/>
          <w:numId w:val="56"/>
        </w:numPr>
      </w:pPr>
      <w:r>
        <w:t>Did the study focus on the participant writing that involved at least two sources for synthesis? Studies with zero sources or only one source text/material (e.g., summary writing) were excluded.</w:t>
      </w:r>
    </w:p>
    <w:p w14:paraId="145E147E" w14:textId="77777777" w:rsidR="00523A2C" w:rsidRDefault="0006404E" w:rsidP="00523A2C">
      <w:pPr>
        <w:pStyle w:val="L2JBody"/>
        <w:numPr>
          <w:ilvl w:val="0"/>
          <w:numId w:val="56"/>
        </w:numPr>
      </w:pPr>
      <w:r>
        <w:t>Was English used as a second language (ESL) or as a foreign language (EFL) in the L2 writing examined in the study? I chose English as the output language because most empirical studies on source writing were conducted in English. Selecting studies with the same output language allowed for precise and rigorous comparisons and analysis.</w:t>
      </w:r>
    </w:p>
    <w:p w14:paraId="2FC18292" w14:textId="7362121F" w:rsidR="0006404E" w:rsidRDefault="0006404E" w:rsidP="00523A2C">
      <w:pPr>
        <w:pStyle w:val="L2JBody"/>
        <w:numPr>
          <w:ilvl w:val="0"/>
          <w:numId w:val="56"/>
        </w:numPr>
      </w:pPr>
      <w:r>
        <w:t>Was the study peer-reviewed? Initially, I considered book chapters, theses, and dissertations to capture as many studies as possible for a broader scope of discussion; however, to ensure similar levels of academic rigor, I ultimately included only peer-reviewed journal articles.</w:t>
      </w:r>
    </w:p>
    <w:p w14:paraId="7E4CFD3D" w14:textId="77777777" w:rsidR="00523A2C" w:rsidRDefault="00523A2C" w:rsidP="00523A2C">
      <w:pPr>
        <w:pStyle w:val="L2JH2"/>
      </w:pPr>
    </w:p>
    <w:p w14:paraId="2DBAE9A4" w14:textId="7C7A63A0" w:rsidR="0006404E" w:rsidRDefault="0006404E" w:rsidP="00E753F2">
      <w:pPr>
        <w:pStyle w:val="L2JH3"/>
      </w:pPr>
      <w:r>
        <w:t>Search Procedure</w:t>
      </w:r>
    </w:p>
    <w:p w14:paraId="363A7A80" w14:textId="77777777" w:rsidR="00523A2C" w:rsidRDefault="00523A2C" w:rsidP="00523A2C">
      <w:pPr>
        <w:pStyle w:val="L2JBody"/>
        <w:ind w:firstLine="0"/>
      </w:pPr>
    </w:p>
    <w:p w14:paraId="4EDC425A" w14:textId="77777777" w:rsidR="00523A2C" w:rsidRDefault="0006404E" w:rsidP="0006404E">
      <w:pPr>
        <w:pStyle w:val="L2JBody"/>
        <w:ind w:firstLine="0"/>
      </w:pPr>
      <w:r>
        <w:t xml:space="preserve">I undertook the search process in the following stages. First, I used the Ball State University library website to access various research databases, such as the Education Resources Information Center (ERIC), Journal Storage (JSTOR), PsycINFO, the Modern Language Association (MLA), ProQuest Educational Journals, Language and Linguistics Behavior Abstracts (LLBA), and EBSCOhost. The key search terms I used were “source use,” “citations,” “source-based writing,” “synthesis writing,” “reading-to-write,” “integrated writing,” and “discourse synthesis.” </w:t>
      </w:r>
    </w:p>
    <w:p w14:paraId="6282966A" w14:textId="02E095E2" w:rsidR="0006404E" w:rsidRDefault="0006404E" w:rsidP="00E027AC">
      <w:pPr>
        <w:pStyle w:val="L2JBody"/>
      </w:pPr>
      <w:r w:rsidRPr="00523A2C">
        <w:t>Second, after manually examining relevant peer-reviewed journals I used Google Scholar to locate studies undetected with the strategies noted above. Finally, I inspected the reference lists in the retrieved studies to locate other frequently cited studies. Table 1 shows the complete list of journals that published the included studies. Journal of Second Language Writing and Journal of English for Academic Purposes published the highest number of L2 synthesis writing studies because of the nature of the target task.</w:t>
      </w:r>
    </w:p>
    <w:p w14:paraId="2B80683E" w14:textId="77777777" w:rsidR="00E753F2" w:rsidRDefault="00E753F2" w:rsidP="0006404E">
      <w:pPr>
        <w:pStyle w:val="L2JBody"/>
        <w:ind w:firstLine="0"/>
      </w:pPr>
    </w:p>
    <w:p w14:paraId="13847D12" w14:textId="77777777" w:rsidR="00E753F2" w:rsidRDefault="00E753F2" w:rsidP="00362839">
      <w:pPr>
        <w:pStyle w:val="L2JFigureCallOut"/>
      </w:pPr>
      <w:r w:rsidRPr="00362839">
        <w:t>Table 1</w:t>
      </w:r>
    </w:p>
    <w:p w14:paraId="428FA71F" w14:textId="77777777" w:rsidR="00362839" w:rsidRPr="00362839" w:rsidRDefault="00362839" w:rsidP="00362839">
      <w:pPr>
        <w:pStyle w:val="L2JFigureCallOut"/>
      </w:pPr>
    </w:p>
    <w:p w14:paraId="5CBEDD2D" w14:textId="77777777" w:rsidR="00E753F2" w:rsidRDefault="00E753F2" w:rsidP="00362839">
      <w:pPr>
        <w:pStyle w:val="L2JFigureTitle"/>
        <w:rPr>
          <w:shd w:val="clear" w:color="auto" w:fill="FFFFFF"/>
        </w:rPr>
      </w:pPr>
      <w:r w:rsidRPr="006368A5">
        <w:rPr>
          <w:shd w:val="clear" w:color="auto" w:fill="FFFFFF"/>
        </w:rPr>
        <w:t>Journals Publishing the Included Studies</w:t>
      </w:r>
    </w:p>
    <w:p w14:paraId="32458919" w14:textId="77777777" w:rsidR="00362839" w:rsidRPr="006368A5" w:rsidRDefault="00362839" w:rsidP="00362839">
      <w:pPr>
        <w:pStyle w:val="L2JFigureTitle"/>
        <w:rPr>
          <w:shd w:val="clear" w:color="auto" w:fill="FFFFFF"/>
        </w:rPr>
      </w:pPr>
    </w:p>
    <w:tbl>
      <w:tblPr>
        <w:tblStyle w:val="TableGrid"/>
        <w:tblW w:w="9265" w:type="dxa"/>
        <w:tblLook w:val="04A0" w:firstRow="1" w:lastRow="0" w:firstColumn="1" w:lastColumn="0" w:noHBand="0" w:noVBand="1"/>
      </w:tblPr>
      <w:tblGrid>
        <w:gridCol w:w="7645"/>
        <w:gridCol w:w="1620"/>
      </w:tblGrid>
      <w:tr w:rsidR="00E753F2" w:rsidRPr="006368A5" w14:paraId="77459D00" w14:textId="77777777" w:rsidTr="00924822">
        <w:tc>
          <w:tcPr>
            <w:tcW w:w="7645" w:type="dxa"/>
            <w:tcBorders>
              <w:left w:val="nil"/>
              <w:right w:val="nil"/>
            </w:tcBorders>
          </w:tcPr>
          <w:p w14:paraId="2137E5AF" w14:textId="77777777" w:rsidR="00E753F2" w:rsidRPr="00AA61F3" w:rsidRDefault="00E753F2" w:rsidP="00924822">
            <w:pPr>
              <w:rPr>
                <w:rFonts w:ascii="Garamond" w:hAnsi="Garamond"/>
                <w:sz w:val="24"/>
                <w:szCs w:val="24"/>
                <w:shd w:val="clear" w:color="auto" w:fill="FFFFFF"/>
              </w:rPr>
            </w:pPr>
            <w:r w:rsidRPr="00AA61F3">
              <w:rPr>
                <w:rFonts w:ascii="Garamond" w:hAnsi="Garamond"/>
                <w:sz w:val="24"/>
                <w:szCs w:val="24"/>
                <w:shd w:val="clear" w:color="auto" w:fill="FFFFFF"/>
              </w:rPr>
              <w:t>Journal Title</w:t>
            </w:r>
          </w:p>
        </w:tc>
        <w:tc>
          <w:tcPr>
            <w:tcW w:w="1620" w:type="dxa"/>
            <w:tcBorders>
              <w:left w:val="nil"/>
              <w:right w:val="nil"/>
            </w:tcBorders>
          </w:tcPr>
          <w:p w14:paraId="78733859" w14:textId="77777777" w:rsidR="00E753F2" w:rsidRPr="00AA61F3" w:rsidRDefault="00E753F2" w:rsidP="00924822">
            <w:pPr>
              <w:rPr>
                <w:rFonts w:ascii="Garamond" w:hAnsi="Garamond"/>
                <w:sz w:val="24"/>
                <w:szCs w:val="24"/>
                <w:shd w:val="clear" w:color="auto" w:fill="FFFFFF"/>
              </w:rPr>
            </w:pPr>
            <w:r w:rsidRPr="00AA61F3">
              <w:rPr>
                <w:rFonts w:ascii="Garamond" w:hAnsi="Garamond"/>
                <w:sz w:val="24"/>
                <w:szCs w:val="24"/>
                <w:shd w:val="clear" w:color="auto" w:fill="FFFFFF"/>
              </w:rPr>
              <w:t>n (%)</w:t>
            </w:r>
          </w:p>
        </w:tc>
      </w:tr>
      <w:tr w:rsidR="00E753F2" w:rsidRPr="006368A5" w14:paraId="4C57A697" w14:textId="77777777" w:rsidTr="00924822">
        <w:tc>
          <w:tcPr>
            <w:tcW w:w="7645" w:type="dxa"/>
            <w:tcBorders>
              <w:left w:val="nil"/>
              <w:right w:val="nil"/>
            </w:tcBorders>
          </w:tcPr>
          <w:p w14:paraId="44A4EDC7" w14:textId="77777777" w:rsidR="00E753F2" w:rsidRPr="00362839" w:rsidRDefault="00E753F2" w:rsidP="00924822">
            <w:pPr>
              <w:rPr>
                <w:rFonts w:ascii="Garamond" w:hAnsi="Garamond" w:cstheme="majorBidi"/>
                <w:i/>
                <w:iCs/>
                <w:sz w:val="24"/>
                <w:szCs w:val="24"/>
                <w:shd w:val="clear" w:color="auto" w:fill="FFFFFF"/>
              </w:rPr>
            </w:pPr>
            <w:r w:rsidRPr="00362839">
              <w:rPr>
                <w:rFonts w:ascii="Garamond" w:hAnsi="Garamond" w:cstheme="majorBidi"/>
                <w:i/>
                <w:iCs/>
                <w:sz w:val="24"/>
                <w:szCs w:val="24"/>
                <w:shd w:val="clear" w:color="auto" w:fill="FFFFFF"/>
              </w:rPr>
              <w:t>Journal of Second Language Writing</w:t>
            </w:r>
          </w:p>
        </w:tc>
        <w:tc>
          <w:tcPr>
            <w:tcW w:w="1620" w:type="dxa"/>
            <w:tcBorders>
              <w:left w:val="nil"/>
              <w:right w:val="nil"/>
            </w:tcBorders>
          </w:tcPr>
          <w:p w14:paraId="0642D0F9" w14:textId="77777777" w:rsidR="00E753F2" w:rsidRPr="00362839" w:rsidRDefault="00E753F2" w:rsidP="00924822">
            <w:pPr>
              <w:rPr>
                <w:rFonts w:ascii="Garamond" w:hAnsi="Garamond"/>
                <w:sz w:val="24"/>
                <w:szCs w:val="24"/>
                <w:shd w:val="clear" w:color="auto" w:fill="FFFFFF"/>
              </w:rPr>
            </w:pPr>
            <w:r w:rsidRPr="00362839">
              <w:rPr>
                <w:rFonts w:ascii="Garamond" w:hAnsi="Garamond"/>
                <w:sz w:val="24"/>
                <w:szCs w:val="24"/>
                <w:shd w:val="clear" w:color="auto" w:fill="FFFFFF"/>
              </w:rPr>
              <w:t>26 (28%)</w:t>
            </w:r>
          </w:p>
        </w:tc>
      </w:tr>
      <w:tr w:rsidR="00E753F2" w:rsidRPr="006368A5" w14:paraId="16ACD9C3" w14:textId="77777777" w:rsidTr="00924822">
        <w:tc>
          <w:tcPr>
            <w:tcW w:w="7645" w:type="dxa"/>
            <w:tcBorders>
              <w:left w:val="nil"/>
              <w:right w:val="nil"/>
            </w:tcBorders>
          </w:tcPr>
          <w:p w14:paraId="599EC94B" w14:textId="77777777" w:rsidR="00E753F2" w:rsidRPr="00362839" w:rsidRDefault="00E753F2" w:rsidP="00924822">
            <w:pPr>
              <w:rPr>
                <w:rFonts w:ascii="Garamond" w:hAnsi="Garamond" w:cstheme="majorBidi"/>
                <w:i/>
                <w:iCs/>
                <w:sz w:val="24"/>
                <w:szCs w:val="24"/>
                <w:shd w:val="clear" w:color="auto" w:fill="FFFFFF"/>
              </w:rPr>
            </w:pPr>
            <w:r w:rsidRPr="00362839">
              <w:rPr>
                <w:rFonts w:ascii="Garamond" w:hAnsi="Garamond" w:cstheme="majorBidi"/>
                <w:i/>
                <w:iCs/>
                <w:sz w:val="24"/>
                <w:szCs w:val="24"/>
                <w:shd w:val="clear" w:color="auto" w:fill="FFFFFF"/>
              </w:rPr>
              <w:t>Journal of English for Academic Purposes</w:t>
            </w:r>
          </w:p>
        </w:tc>
        <w:tc>
          <w:tcPr>
            <w:tcW w:w="1620" w:type="dxa"/>
            <w:tcBorders>
              <w:left w:val="nil"/>
              <w:right w:val="nil"/>
            </w:tcBorders>
          </w:tcPr>
          <w:p w14:paraId="3B9D254D" w14:textId="77777777" w:rsidR="00E753F2" w:rsidRPr="00362839" w:rsidRDefault="00E753F2" w:rsidP="00924822">
            <w:pPr>
              <w:rPr>
                <w:rFonts w:ascii="Garamond" w:hAnsi="Garamond"/>
                <w:sz w:val="24"/>
                <w:szCs w:val="24"/>
                <w:shd w:val="clear" w:color="auto" w:fill="FFFFFF"/>
              </w:rPr>
            </w:pPr>
            <w:r w:rsidRPr="00362839">
              <w:rPr>
                <w:rFonts w:ascii="Garamond" w:hAnsi="Garamond"/>
                <w:sz w:val="24"/>
                <w:szCs w:val="24"/>
                <w:shd w:val="clear" w:color="auto" w:fill="FFFFFF"/>
              </w:rPr>
              <w:t>25 (27%)</w:t>
            </w:r>
          </w:p>
        </w:tc>
      </w:tr>
      <w:tr w:rsidR="00E753F2" w:rsidRPr="006368A5" w14:paraId="4EEC910C" w14:textId="77777777" w:rsidTr="00924822">
        <w:tc>
          <w:tcPr>
            <w:tcW w:w="7645" w:type="dxa"/>
            <w:tcBorders>
              <w:left w:val="nil"/>
              <w:right w:val="nil"/>
            </w:tcBorders>
          </w:tcPr>
          <w:p w14:paraId="002AB8B4" w14:textId="77777777" w:rsidR="00E753F2" w:rsidRPr="00362839" w:rsidRDefault="00E753F2" w:rsidP="00924822">
            <w:pPr>
              <w:rPr>
                <w:rFonts w:ascii="Garamond" w:hAnsi="Garamond" w:cstheme="majorBidi"/>
                <w:i/>
                <w:iCs/>
                <w:sz w:val="24"/>
                <w:szCs w:val="24"/>
                <w:shd w:val="clear" w:color="auto" w:fill="FFFFFF"/>
              </w:rPr>
            </w:pPr>
            <w:r w:rsidRPr="00362839">
              <w:rPr>
                <w:rFonts w:ascii="Garamond" w:hAnsi="Garamond" w:cstheme="majorBidi"/>
                <w:i/>
                <w:iCs/>
                <w:sz w:val="24"/>
                <w:szCs w:val="24"/>
              </w:rPr>
              <w:t>Assessing Writing</w:t>
            </w:r>
          </w:p>
        </w:tc>
        <w:tc>
          <w:tcPr>
            <w:tcW w:w="1620" w:type="dxa"/>
            <w:tcBorders>
              <w:left w:val="nil"/>
              <w:right w:val="nil"/>
            </w:tcBorders>
          </w:tcPr>
          <w:p w14:paraId="01FC80F9" w14:textId="77777777" w:rsidR="00E753F2" w:rsidRPr="00362839" w:rsidRDefault="00E753F2" w:rsidP="00924822">
            <w:pPr>
              <w:rPr>
                <w:rFonts w:ascii="Garamond" w:hAnsi="Garamond"/>
                <w:sz w:val="24"/>
                <w:szCs w:val="24"/>
                <w:shd w:val="clear" w:color="auto" w:fill="FFFFFF"/>
              </w:rPr>
            </w:pPr>
            <w:r w:rsidRPr="00362839">
              <w:rPr>
                <w:rFonts w:ascii="Garamond" w:hAnsi="Garamond"/>
                <w:sz w:val="24"/>
                <w:szCs w:val="24"/>
                <w:shd w:val="clear" w:color="auto" w:fill="FFFFFF"/>
              </w:rPr>
              <w:t>7 (9%)</w:t>
            </w:r>
          </w:p>
        </w:tc>
      </w:tr>
      <w:tr w:rsidR="00E753F2" w:rsidRPr="006368A5" w14:paraId="7E996C45" w14:textId="77777777" w:rsidTr="00924822">
        <w:tc>
          <w:tcPr>
            <w:tcW w:w="7645" w:type="dxa"/>
            <w:tcBorders>
              <w:left w:val="nil"/>
              <w:right w:val="nil"/>
            </w:tcBorders>
          </w:tcPr>
          <w:p w14:paraId="6485513D" w14:textId="77777777" w:rsidR="00E753F2" w:rsidRPr="00362839" w:rsidRDefault="00E753F2" w:rsidP="00924822">
            <w:pPr>
              <w:rPr>
                <w:rFonts w:ascii="Garamond" w:hAnsi="Garamond" w:cstheme="majorBidi"/>
                <w:i/>
                <w:iCs/>
                <w:sz w:val="24"/>
                <w:szCs w:val="24"/>
                <w:shd w:val="clear" w:color="auto" w:fill="FFFFFF"/>
              </w:rPr>
            </w:pPr>
            <w:r w:rsidRPr="00362839">
              <w:rPr>
                <w:rFonts w:ascii="Garamond" w:hAnsi="Garamond" w:cstheme="majorBidi"/>
                <w:i/>
                <w:iCs/>
                <w:sz w:val="24"/>
                <w:szCs w:val="24"/>
              </w:rPr>
              <w:t>Language Testing</w:t>
            </w:r>
          </w:p>
        </w:tc>
        <w:tc>
          <w:tcPr>
            <w:tcW w:w="1620" w:type="dxa"/>
            <w:tcBorders>
              <w:left w:val="nil"/>
              <w:right w:val="nil"/>
            </w:tcBorders>
          </w:tcPr>
          <w:p w14:paraId="698A6D8B" w14:textId="77777777" w:rsidR="00E753F2" w:rsidRPr="00362839" w:rsidRDefault="00E753F2" w:rsidP="00924822">
            <w:pPr>
              <w:rPr>
                <w:rFonts w:ascii="Garamond" w:hAnsi="Garamond"/>
                <w:sz w:val="24"/>
                <w:szCs w:val="24"/>
                <w:shd w:val="clear" w:color="auto" w:fill="FFFFFF"/>
              </w:rPr>
            </w:pPr>
            <w:r w:rsidRPr="00362839">
              <w:rPr>
                <w:rFonts w:ascii="Garamond" w:hAnsi="Garamond"/>
                <w:sz w:val="24"/>
                <w:szCs w:val="24"/>
                <w:shd w:val="clear" w:color="auto" w:fill="FFFFFF"/>
              </w:rPr>
              <w:t>4 (4%)</w:t>
            </w:r>
          </w:p>
        </w:tc>
      </w:tr>
      <w:tr w:rsidR="00E753F2" w:rsidRPr="006368A5" w14:paraId="3CC2241D" w14:textId="77777777" w:rsidTr="00924822">
        <w:tc>
          <w:tcPr>
            <w:tcW w:w="7645" w:type="dxa"/>
            <w:tcBorders>
              <w:left w:val="nil"/>
              <w:right w:val="nil"/>
            </w:tcBorders>
          </w:tcPr>
          <w:p w14:paraId="5EDBA028" w14:textId="77777777" w:rsidR="00E753F2" w:rsidRPr="00362839" w:rsidRDefault="00E753F2" w:rsidP="00924822">
            <w:pPr>
              <w:rPr>
                <w:rFonts w:ascii="Garamond" w:hAnsi="Garamond" w:cstheme="majorBidi"/>
                <w:i/>
                <w:iCs/>
                <w:sz w:val="24"/>
                <w:szCs w:val="24"/>
                <w:shd w:val="clear" w:color="auto" w:fill="FFFFFF"/>
              </w:rPr>
            </w:pPr>
            <w:r w:rsidRPr="00362839">
              <w:rPr>
                <w:rFonts w:ascii="Garamond" w:hAnsi="Garamond" w:cstheme="majorBidi"/>
                <w:i/>
                <w:iCs/>
                <w:sz w:val="24"/>
                <w:szCs w:val="24"/>
              </w:rPr>
              <w:t>TESOL Quarterly</w:t>
            </w:r>
          </w:p>
        </w:tc>
        <w:tc>
          <w:tcPr>
            <w:tcW w:w="1620" w:type="dxa"/>
            <w:tcBorders>
              <w:left w:val="nil"/>
              <w:right w:val="nil"/>
            </w:tcBorders>
          </w:tcPr>
          <w:p w14:paraId="2A9BF992" w14:textId="77777777" w:rsidR="00E753F2" w:rsidRPr="00362839" w:rsidRDefault="00E753F2" w:rsidP="00924822">
            <w:pPr>
              <w:rPr>
                <w:rFonts w:ascii="Garamond" w:hAnsi="Garamond"/>
                <w:sz w:val="24"/>
                <w:szCs w:val="24"/>
                <w:shd w:val="clear" w:color="auto" w:fill="FFFFFF"/>
              </w:rPr>
            </w:pPr>
            <w:r w:rsidRPr="00362839">
              <w:rPr>
                <w:rFonts w:ascii="Garamond" w:hAnsi="Garamond"/>
                <w:sz w:val="24"/>
                <w:szCs w:val="24"/>
                <w:shd w:val="clear" w:color="auto" w:fill="FFFFFF"/>
              </w:rPr>
              <w:t>3 (3%)</w:t>
            </w:r>
          </w:p>
        </w:tc>
      </w:tr>
      <w:tr w:rsidR="00E753F2" w:rsidRPr="006368A5" w14:paraId="3805C329" w14:textId="77777777" w:rsidTr="00924822">
        <w:tc>
          <w:tcPr>
            <w:tcW w:w="7645" w:type="dxa"/>
            <w:tcBorders>
              <w:left w:val="nil"/>
              <w:right w:val="nil"/>
            </w:tcBorders>
          </w:tcPr>
          <w:p w14:paraId="7EF050B6" w14:textId="77777777" w:rsidR="00E753F2" w:rsidRPr="00362839" w:rsidRDefault="00E753F2" w:rsidP="00924822">
            <w:pPr>
              <w:rPr>
                <w:rFonts w:ascii="Garamond" w:hAnsi="Garamond" w:cstheme="majorBidi"/>
                <w:i/>
                <w:iCs/>
                <w:sz w:val="24"/>
                <w:szCs w:val="24"/>
                <w:shd w:val="clear" w:color="auto" w:fill="FFFFFF"/>
              </w:rPr>
            </w:pPr>
            <w:r w:rsidRPr="00362839">
              <w:rPr>
                <w:rFonts w:ascii="Garamond" w:hAnsi="Garamond" w:cstheme="majorBidi"/>
                <w:i/>
                <w:iCs/>
                <w:sz w:val="24"/>
                <w:szCs w:val="24"/>
              </w:rPr>
              <w:t>Language Testing in Asia</w:t>
            </w:r>
          </w:p>
        </w:tc>
        <w:tc>
          <w:tcPr>
            <w:tcW w:w="1620" w:type="dxa"/>
            <w:tcBorders>
              <w:left w:val="nil"/>
              <w:right w:val="nil"/>
            </w:tcBorders>
          </w:tcPr>
          <w:p w14:paraId="645550B3" w14:textId="77777777" w:rsidR="00E753F2" w:rsidRPr="00362839" w:rsidRDefault="00E753F2" w:rsidP="00924822">
            <w:pPr>
              <w:rPr>
                <w:rFonts w:ascii="Garamond" w:hAnsi="Garamond"/>
                <w:sz w:val="24"/>
                <w:szCs w:val="24"/>
                <w:shd w:val="clear" w:color="auto" w:fill="FFFFFF"/>
              </w:rPr>
            </w:pPr>
            <w:r w:rsidRPr="00362839">
              <w:rPr>
                <w:rFonts w:ascii="Garamond" w:hAnsi="Garamond"/>
                <w:sz w:val="24"/>
                <w:szCs w:val="24"/>
                <w:shd w:val="clear" w:color="auto" w:fill="FFFFFF"/>
              </w:rPr>
              <w:t>3 (3%)</w:t>
            </w:r>
          </w:p>
        </w:tc>
      </w:tr>
      <w:tr w:rsidR="00E753F2" w:rsidRPr="006368A5" w14:paraId="11DBACF9" w14:textId="77777777" w:rsidTr="00924822">
        <w:tc>
          <w:tcPr>
            <w:tcW w:w="7645" w:type="dxa"/>
            <w:tcBorders>
              <w:left w:val="nil"/>
              <w:right w:val="nil"/>
            </w:tcBorders>
          </w:tcPr>
          <w:p w14:paraId="501CD775" w14:textId="77777777" w:rsidR="00E753F2" w:rsidRPr="00362839" w:rsidRDefault="00E753F2" w:rsidP="00924822">
            <w:pPr>
              <w:rPr>
                <w:rFonts w:ascii="Garamond" w:hAnsi="Garamond" w:cstheme="majorBidi"/>
                <w:i/>
                <w:iCs/>
                <w:sz w:val="24"/>
                <w:szCs w:val="24"/>
                <w:shd w:val="clear" w:color="auto" w:fill="FFFFFF"/>
              </w:rPr>
            </w:pPr>
            <w:bookmarkStart w:id="0" w:name="_Hlk172366412"/>
            <w:r w:rsidRPr="00362839">
              <w:rPr>
                <w:rFonts w:ascii="Garamond" w:hAnsi="Garamond" w:cstheme="majorBidi"/>
                <w:i/>
                <w:iCs/>
                <w:sz w:val="24"/>
                <w:szCs w:val="24"/>
                <w:shd w:val="clear" w:color="auto" w:fill="FFFFFF"/>
              </w:rPr>
              <w:t>Canadian Journal of Applied Linguistics</w:t>
            </w:r>
            <w:bookmarkEnd w:id="0"/>
          </w:p>
        </w:tc>
        <w:tc>
          <w:tcPr>
            <w:tcW w:w="1620" w:type="dxa"/>
            <w:tcBorders>
              <w:left w:val="nil"/>
              <w:right w:val="nil"/>
            </w:tcBorders>
          </w:tcPr>
          <w:p w14:paraId="7D827BFE" w14:textId="77777777" w:rsidR="00E753F2" w:rsidRPr="00362839" w:rsidRDefault="00E753F2" w:rsidP="00924822">
            <w:pPr>
              <w:rPr>
                <w:rFonts w:ascii="Garamond" w:hAnsi="Garamond"/>
                <w:sz w:val="24"/>
                <w:szCs w:val="24"/>
                <w:shd w:val="clear" w:color="auto" w:fill="FFFFFF"/>
              </w:rPr>
            </w:pPr>
            <w:r w:rsidRPr="00362839">
              <w:rPr>
                <w:rFonts w:ascii="Garamond" w:hAnsi="Garamond"/>
                <w:sz w:val="24"/>
                <w:szCs w:val="24"/>
                <w:shd w:val="clear" w:color="auto" w:fill="FFFFFF"/>
              </w:rPr>
              <w:t>2 (2%)</w:t>
            </w:r>
          </w:p>
        </w:tc>
      </w:tr>
      <w:tr w:rsidR="00E753F2" w:rsidRPr="006368A5" w14:paraId="37FBE6E7" w14:textId="77777777" w:rsidTr="00924822">
        <w:tc>
          <w:tcPr>
            <w:tcW w:w="7645" w:type="dxa"/>
            <w:tcBorders>
              <w:left w:val="nil"/>
              <w:right w:val="nil"/>
            </w:tcBorders>
          </w:tcPr>
          <w:p w14:paraId="33877CF0" w14:textId="77777777" w:rsidR="00E753F2" w:rsidRPr="00362839" w:rsidRDefault="00E753F2" w:rsidP="00924822">
            <w:pPr>
              <w:rPr>
                <w:rFonts w:ascii="Garamond" w:hAnsi="Garamond"/>
                <w:sz w:val="24"/>
                <w:szCs w:val="24"/>
                <w:shd w:val="clear" w:color="auto" w:fill="FFFFFF"/>
              </w:rPr>
            </w:pPr>
            <w:r w:rsidRPr="00362839">
              <w:rPr>
                <w:rFonts w:ascii="Garamond" w:hAnsi="Garamond"/>
                <w:sz w:val="24"/>
                <w:szCs w:val="24"/>
                <w:shd w:val="clear" w:color="auto" w:fill="FFFFFF"/>
              </w:rPr>
              <w:t>Other journals*</w:t>
            </w:r>
          </w:p>
        </w:tc>
        <w:tc>
          <w:tcPr>
            <w:tcW w:w="1620" w:type="dxa"/>
            <w:tcBorders>
              <w:left w:val="nil"/>
              <w:right w:val="nil"/>
            </w:tcBorders>
          </w:tcPr>
          <w:p w14:paraId="6FD0CAAB" w14:textId="77777777" w:rsidR="00E753F2" w:rsidRPr="00362839" w:rsidRDefault="00E753F2" w:rsidP="00924822">
            <w:pPr>
              <w:rPr>
                <w:rFonts w:ascii="Garamond" w:hAnsi="Garamond"/>
                <w:sz w:val="24"/>
                <w:szCs w:val="24"/>
                <w:shd w:val="clear" w:color="auto" w:fill="FFFFFF"/>
              </w:rPr>
            </w:pPr>
            <w:r w:rsidRPr="00362839">
              <w:rPr>
                <w:rFonts w:ascii="Garamond" w:hAnsi="Garamond"/>
                <w:sz w:val="24"/>
                <w:szCs w:val="24"/>
                <w:shd w:val="clear" w:color="auto" w:fill="FFFFFF"/>
              </w:rPr>
              <w:t>22 (24%)</w:t>
            </w:r>
          </w:p>
        </w:tc>
      </w:tr>
      <w:tr w:rsidR="00E753F2" w:rsidRPr="006368A5" w14:paraId="557EDEE6" w14:textId="77777777" w:rsidTr="00924822">
        <w:tc>
          <w:tcPr>
            <w:tcW w:w="7645" w:type="dxa"/>
            <w:tcBorders>
              <w:left w:val="nil"/>
              <w:right w:val="nil"/>
            </w:tcBorders>
          </w:tcPr>
          <w:p w14:paraId="55D5EB3B" w14:textId="77777777" w:rsidR="00E753F2" w:rsidRPr="00362839" w:rsidRDefault="00E753F2" w:rsidP="00924822">
            <w:pPr>
              <w:rPr>
                <w:rFonts w:ascii="Garamond" w:hAnsi="Garamond"/>
                <w:sz w:val="24"/>
                <w:szCs w:val="24"/>
                <w:shd w:val="clear" w:color="auto" w:fill="FFFFFF"/>
              </w:rPr>
            </w:pPr>
            <w:r w:rsidRPr="00362839">
              <w:rPr>
                <w:rFonts w:ascii="Garamond" w:hAnsi="Garamond"/>
                <w:sz w:val="24"/>
                <w:szCs w:val="24"/>
                <w:shd w:val="clear" w:color="auto" w:fill="FFFFFF"/>
              </w:rPr>
              <w:t>Total</w:t>
            </w:r>
          </w:p>
        </w:tc>
        <w:tc>
          <w:tcPr>
            <w:tcW w:w="1620" w:type="dxa"/>
            <w:tcBorders>
              <w:left w:val="nil"/>
              <w:right w:val="nil"/>
            </w:tcBorders>
          </w:tcPr>
          <w:p w14:paraId="0AAE22EF" w14:textId="77777777" w:rsidR="00E753F2" w:rsidRPr="00362839" w:rsidRDefault="00E753F2" w:rsidP="00924822">
            <w:pPr>
              <w:rPr>
                <w:rFonts w:ascii="Garamond" w:hAnsi="Garamond"/>
                <w:sz w:val="24"/>
                <w:szCs w:val="24"/>
                <w:shd w:val="clear" w:color="auto" w:fill="FFFFFF"/>
              </w:rPr>
            </w:pPr>
            <w:r w:rsidRPr="00362839">
              <w:rPr>
                <w:rFonts w:ascii="Garamond" w:hAnsi="Garamond"/>
                <w:sz w:val="24"/>
                <w:szCs w:val="24"/>
                <w:shd w:val="clear" w:color="auto" w:fill="FFFFFF"/>
              </w:rPr>
              <w:t>92 (100%)</w:t>
            </w:r>
          </w:p>
        </w:tc>
      </w:tr>
    </w:tbl>
    <w:p w14:paraId="7F3A009B" w14:textId="77777777" w:rsidR="00E753F2" w:rsidRDefault="00E753F2" w:rsidP="00362839">
      <w:pPr>
        <w:pStyle w:val="L2Jfootnote"/>
      </w:pPr>
      <w:r w:rsidRPr="00362839">
        <w:rPr>
          <w:shd w:val="clear" w:color="auto" w:fill="FFFFFF"/>
        </w:rPr>
        <w:lastRenderedPageBreak/>
        <w:t>*Note: One article came from each of the following journals:</w:t>
      </w:r>
      <w:r w:rsidRPr="00362839">
        <w:rPr>
          <w:rFonts w:cs="Times New Roman"/>
        </w:rPr>
        <w:t xml:space="preserve"> </w:t>
      </w:r>
      <w:r w:rsidRPr="00362839">
        <w:t xml:space="preserve">Cogent Education; Computer Assisted Language Learning; Computers and Composition; Educational Media International; English for Specific Purposes; English Language Teaching; ETS Research Report Series; </w:t>
      </w:r>
      <w:bookmarkStart w:id="1" w:name="_Hlk172366715"/>
      <w:r w:rsidRPr="00362839">
        <w:t>Journal of Asian Pacific Communication</w:t>
      </w:r>
      <w:bookmarkEnd w:id="1"/>
      <w:r w:rsidRPr="00362839">
        <w:t xml:space="preserve">; Journal of Language Teaching and Research; Journal of Pan-Pacific Association of Applied Linguistics; Language and Sociocultural Theory; Language Assessment Quarterly; Language Education and Assessment; Reading and Writing; Reading in a Foreign Language; RELC Journal; Second Language Research; Sustainability; </w:t>
      </w:r>
      <w:bookmarkStart w:id="2" w:name="_Hlk172366644"/>
      <w:r w:rsidRPr="00362839">
        <w:t>Technology, Knowledge and Learning</w:t>
      </w:r>
      <w:bookmarkEnd w:id="2"/>
      <w:r w:rsidRPr="00362839">
        <w:t>; TESL Canada Journal; TESOL Journal; and The Modern Language Journal.</w:t>
      </w:r>
    </w:p>
    <w:p w14:paraId="517DFA25" w14:textId="77777777" w:rsidR="00E027AC" w:rsidRDefault="00E027AC" w:rsidP="00362839">
      <w:pPr>
        <w:pStyle w:val="L2Jfootnote"/>
      </w:pPr>
    </w:p>
    <w:p w14:paraId="060AD79D" w14:textId="68FE6817" w:rsidR="00E027AC" w:rsidRDefault="00E027AC" w:rsidP="00E027AC">
      <w:pPr>
        <w:pStyle w:val="L2JBody"/>
        <w:rPr>
          <w:shd w:val="clear" w:color="auto" w:fill="FFFFFF"/>
        </w:rPr>
      </w:pPr>
      <w:r w:rsidRPr="006368A5">
        <w:rPr>
          <w:shd w:val="clear" w:color="auto" w:fill="FFFFFF"/>
        </w:rPr>
        <w:t>Figure</w:t>
      </w:r>
      <w:r w:rsidRPr="006368A5">
        <w:rPr>
          <w:rFonts w:hint="eastAsia"/>
          <w:shd w:val="clear" w:color="auto" w:fill="FFFFFF"/>
        </w:rPr>
        <w:t xml:space="preserve"> 1 illustrates </w:t>
      </w:r>
      <w:r w:rsidRPr="006368A5">
        <w:rPr>
          <w:shd w:val="clear" w:color="auto" w:fill="FFFFFF"/>
        </w:rPr>
        <w:t>my</w:t>
      </w:r>
      <w:r w:rsidRPr="006368A5">
        <w:rPr>
          <w:rFonts w:hint="eastAsia"/>
          <w:shd w:val="clear" w:color="auto" w:fill="FFFFFF"/>
        </w:rPr>
        <w:t xml:space="preserve"> overall search and selecti</w:t>
      </w:r>
      <w:r w:rsidRPr="006368A5">
        <w:rPr>
          <w:shd w:val="clear" w:color="auto" w:fill="FFFFFF"/>
        </w:rPr>
        <w:t>on</w:t>
      </w:r>
      <w:r w:rsidRPr="006368A5">
        <w:rPr>
          <w:rFonts w:hint="eastAsia"/>
          <w:shd w:val="clear" w:color="auto" w:fill="FFFFFF"/>
        </w:rPr>
        <w:t xml:space="preserve"> process for the review, </w:t>
      </w:r>
      <w:r w:rsidRPr="006368A5">
        <w:rPr>
          <w:shd w:val="clear" w:color="auto" w:fill="FFFFFF"/>
        </w:rPr>
        <w:t>involving</w:t>
      </w:r>
      <w:r w:rsidRPr="006368A5">
        <w:rPr>
          <w:rFonts w:hint="eastAsia"/>
          <w:shd w:val="clear" w:color="auto" w:fill="FFFFFF"/>
        </w:rPr>
        <w:t xml:space="preserve"> two rounds. In the first round,</w:t>
      </w:r>
      <w:r w:rsidRPr="006368A5">
        <w:rPr>
          <w:shd w:val="clear" w:color="auto" w:fill="FFFFFF"/>
        </w:rPr>
        <w:t xml:space="preserve"> I </w:t>
      </w:r>
      <w:r w:rsidRPr="006368A5">
        <w:rPr>
          <w:rFonts w:hint="eastAsia"/>
          <w:shd w:val="clear" w:color="auto" w:fill="FFFFFF"/>
        </w:rPr>
        <w:t>initially identified 208 studies</w:t>
      </w:r>
      <w:r w:rsidRPr="006368A5">
        <w:rPr>
          <w:shd w:val="clear" w:color="auto" w:fill="FFFFFF"/>
        </w:rPr>
        <w:t>, with</w:t>
      </w:r>
      <w:r w:rsidRPr="006368A5">
        <w:rPr>
          <w:rFonts w:hint="eastAsia"/>
          <w:shd w:val="clear" w:color="auto" w:fill="FFFFFF"/>
        </w:rPr>
        <w:t xml:space="preserve"> 99 studies </w:t>
      </w:r>
      <w:r w:rsidRPr="006368A5">
        <w:rPr>
          <w:shd w:val="clear" w:color="auto" w:fill="FFFFFF"/>
        </w:rPr>
        <w:t>later</w:t>
      </w:r>
      <w:r w:rsidRPr="006368A5">
        <w:rPr>
          <w:rFonts w:hint="eastAsia"/>
          <w:shd w:val="clear" w:color="auto" w:fill="FFFFFF"/>
        </w:rPr>
        <w:t xml:space="preserve"> excluded</w:t>
      </w:r>
      <w:r w:rsidRPr="006368A5">
        <w:rPr>
          <w:shd w:val="clear" w:color="auto" w:fill="FFFFFF"/>
        </w:rPr>
        <w:t xml:space="preserve"> </w:t>
      </w:r>
      <w:r w:rsidRPr="006368A5">
        <w:rPr>
          <w:rFonts w:hint="eastAsia"/>
          <w:shd w:val="clear" w:color="auto" w:fill="FFFFFF"/>
        </w:rPr>
        <w:t xml:space="preserve">for </w:t>
      </w:r>
      <w:r w:rsidRPr="006368A5">
        <w:rPr>
          <w:shd w:val="clear" w:color="auto" w:fill="FFFFFF"/>
        </w:rPr>
        <w:t xml:space="preserve">reasons related to </w:t>
      </w:r>
      <w:r w:rsidRPr="006368A5">
        <w:rPr>
          <w:rFonts w:hint="eastAsia"/>
          <w:shd w:val="clear" w:color="auto" w:fill="FFFFFF"/>
        </w:rPr>
        <w:t>duplicat</w:t>
      </w:r>
      <w:r w:rsidRPr="006368A5">
        <w:rPr>
          <w:shd w:val="clear" w:color="auto" w:fill="FFFFFF"/>
        </w:rPr>
        <w:t>ion</w:t>
      </w:r>
      <w:r w:rsidRPr="006368A5">
        <w:rPr>
          <w:rFonts w:hint="eastAsia"/>
          <w:shd w:val="clear" w:color="auto" w:fill="FFFFFF"/>
        </w:rPr>
        <w:t>, source</w:t>
      </w:r>
      <w:r w:rsidRPr="006368A5">
        <w:rPr>
          <w:shd w:val="clear" w:color="auto" w:fill="FFFFFF"/>
        </w:rPr>
        <w:t>s</w:t>
      </w:r>
      <w:r w:rsidRPr="006368A5">
        <w:rPr>
          <w:rFonts w:hint="eastAsia"/>
          <w:shd w:val="clear" w:color="auto" w:fill="FFFFFF"/>
        </w:rPr>
        <w:t xml:space="preserve"> (e.g., having one </w:t>
      </w:r>
      <w:r w:rsidRPr="006368A5">
        <w:rPr>
          <w:shd w:val="clear" w:color="auto" w:fill="FFFFFF"/>
        </w:rPr>
        <w:t xml:space="preserve">or </w:t>
      </w:r>
      <w:r w:rsidRPr="006368A5">
        <w:rPr>
          <w:rFonts w:hint="eastAsia"/>
          <w:shd w:val="clear" w:color="auto" w:fill="FFFFFF"/>
        </w:rPr>
        <w:t>fewer</w:t>
      </w:r>
      <w:r w:rsidRPr="006368A5">
        <w:rPr>
          <w:shd w:val="clear" w:color="auto" w:fill="FFFFFF"/>
        </w:rPr>
        <w:t xml:space="preserve"> </w:t>
      </w:r>
      <w:r w:rsidRPr="006368A5">
        <w:rPr>
          <w:rFonts w:hint="eastAsia"/>
          <w:shd w:val="clear" w:color="auto" w:fill="FFFFFF"/>
        </w:rPr>
        <w:t>source</w:t>
      </w:r>
      <w:r w:rsidRPr="006368A5">
        <w:rPr>
          <w:shd w:val="clear" w:color="auto" w:fill="FFFFFF"/>
        </w:rPr>
        <w:t>s</w:t>
      </w:r>
      <w:r w:rsidRPr="006368A5">
        <w:rPr>
          <w:rFonts w:hint="eastAsia"/>
          <w:shd w:val="clear" w:color="auto" w:fill="FFFFFF"/>
        </w:rPr>
        <w:t>)</w:t>
      </w:r>
      <w:r w:rsidRPr="006368A5">
        <w:rPr>
          <w:shd w:val="clear" w:color="auto" w:fill="FFFFFF"/>
        </w:rPr>
        <w:t>,</w:t>
      </w:r>
      <w:r w:rsidRPr="006368A5">
        <w:rPr>
          <w:rFonts w:hint="eastAsia"/>
          <w:shd w:val="clear" w:color="auto" w:fill="FFFFFF"/>
        </w:rPr>
        <w:t xml:space="preserve"> and output</w:t>
      </w:r>
      <w:r w:rsidRPr="006368A5">
        <w:rPr>
          <w:shd w:val="clear" w:color="auto" w:fill="FFFFFF"/>
        </w:rPr>
        <w:t xml:space="preserve"> </w:t>
      </w:r>
      <w:r w:rsidRPr="006368A5">
        <w:rPr>
          <w:rFonts w:hint="eastAsia"/>
          <w:shd w:val="clear" w:color="auto" w:fill="FFFFFF"/>
        </w:rPr>
        <w:t xml:space="preserve">language. This </w:t>
      </w:r>
      <w:r w:rsidRPr="006368A5">
        <w:rPr>
          <w:shd w:val="clear" w:color="auto" w:fill="FFFFFF"/>
        </w:rPr>
        <w:t>left me with</w:t>
      </w:r>
      <w:r w:rsidRPr="006368A5">
        <w:rPr>
          <w:rFonts w:hint="eastAsia"/>
          <w:shd w:val="clear" w:color="auto" w:fill="FFFFFF"/>
        </w:rPr>
        <w:t xml:space="preserve"> 109 studies </w:t>
      </w:r>
      <w:r w:rsidRPr="006368A5">
        <w:rPr>
          <w:shd w:val="clear" w:color="auto" w:fill="FFFFFF"/>
        </w:rPr>
        <w:t>to</w:t>
      </w:r>
      <w:r w:rsidRPr="006368A5">
        <w:rPr>
          <w:rFonts w:hint="eastAsia"/>
          <w:shd w:val="clear" w:color="auto" w:fill="FFFFFF"/>
        </w:rPr>
        <w:t xml:space="preserve"> </w:t>
      </w:r>
      <w:r w:rsidRPr="006368A5">
        <w:rPr>
          <w:shd w:val="clear" w:color="auto" w:fill="FFFFFF"/>
        </w:rPr>
        <w:t>assess</w:t>
      </w:r>
      <w:r w:rsidRPr="006368A5">
        <w:rPr>
          <w:rFonts w:hint="eastAsia"/>
          <w:shd w:val="clear" w:color="auto" w:fill="FFFFFF"/>
        </w:rPr>
        <w:t xml:space="preserve"> for eligibility</w:t>
      </w:r>
      <w:r w:rsidRPr="006368A5">
        <w:rPr>
          <w:shd w:val="clear" w:color="auto" w:fill="FFFFFF"/>
        </w:rPr>
        <w:t>,</w:t>
      </w:r>
      <w:r w:rsidRPr="006368A5">
        <w:rPr>
          <w:rFonts w:hint="eastAsia"/>
          <w:shd w:val="clear" w:color="auto" w:fill="FFFFFF"/>
        </w:rPr>
        <w:t xml:space="preserve"> </w:t>
      </w:r>
      <w:r w:rsidRPr="006368A5">
        <w:rPr>
          <w:shd w:val="clear" w:color="auto" w:fill="FFFFFF"/>
        </w:rPr>
        <w:t>over</w:t>
      </w:r>
      <w:r w:rsidRPr="006368A5">
        <w:rPr>
          <w:rFonts w:hint="eastAsia"/>
          <w:shd w:val="clear" w:color="auto" w:fill="FFFFFF"/>
        </w:rPr>
        <w:t xml:space="preserve"> half of </w:t>
      </w:r>
      <w:r w:rsidRPr="006368A5">
        <w:rPr>
          <w:shd w:val="clear" w:color="auto" w:fill="FFFFFF"/>
        </w:rPr>
        <w:t>which</w:t>
      </w:r>
      <w:r w:rsidRPr="006368A5">
        <w:rPr>
          <w:rFonts w:hint="eastAsia"/>
          <w:shd w:val="clear" w:color="auto" w:fill="FFFFFF"/>
        </w:rPr>
        <w:t xml:space="preserve"> (</w:t>
      </w:r>
      <w:r w:rsidRPr="006368A5">
        <w:rPr>
          <w:rFonts w:hint="eastAsia"/>
          <w:i/>
          <w:iCs/>
          <w:shd w:val="clear" w:color="auto" w:fill="FFFFFF"/>
        </w:rPr>
        <w:t xml:space="preserve">n </w:t>
      </w:r>
      <w:r w:rsidRPr="006368A5">
        <w:rPr>
          <w:rFonts w:hint="eastAsia"/>
          <w:shd w:val="clear" w:color="auto" w:fill="FFFFFF"/>
        </w:rPr>
        <w:t xml:space="preserve">= 63) </w:t>
      </w:r>
      <w:r w:rsidRPr="006368A5">
        <w:rPr>
          <w:shd w:val="clear" w:color="auto" w:fill="FFFFFF"/>
        </w:rPr>
        <w:t>I</w:t>
      </w:r>
      <w:r w:rsidRPr="006368A5">
        <w:rPr>
          <w:rFonts w:hint="eastAsia"/>
          <w:shd w:val="clear" w:color="auto" w:fill="FFFFFF"/>
        </w:rPr>
        <w:t xml:space="preserve"> excluded for </w:t>
      </w:r>
      <w:r w:rsidRPr="006368A5">
        <w:rPr>
          <w:shd w:val="clear" w:color="auto" w:fill="FFFFFF"/>
        </w:rPr>
        <w:t xml:space="preserve">issues with </w:t>
      </w:r>
      <w:r w:rsidRPr="006368A5">
        <w:rPr>
          <w:rFonts w:hint="eastAsia"/>
          <w:shd w:val="clear" w:color="auto" w:fill="FFFFFF"/>
        </w:rPr>
        <w:t>source</w:t>
      </w:r>
      <w:r w:rsidRPr="006368A5">
        <w:rPr>
          <w:shd w:val="clear" w:color="auto" w:fill="FFFFFF"/>
        </w:rPr>
        <w:t>s</w:t>
      </w:r>
      <w:r w:rsidRPr="006368A5">
        <w:rPr>
          <w:rFonts w:hint="eastAsia"/>
          <w:shd w:val="clear" w:color="auto" w:fill="FFFFFF"/>
        </w:rPr>
        <w:t xml:space="preserve"> and output</w:t>
      </w:r>
      <w:r w:rsidRPr="006368A5">
        <w:rPr>
          <w:shd w:val="clear" w:color="auto" w:fill="FFFFFF"/>
        </w:rPr>
        <w:t xml:space="preserve"> </w:t>
      </w:r>
      <w:r w:rsidRPr="006368A5">
        <w:rPr>
          <w:rFonts w:hint="eastAsia"/>
          <w:shd w:val="clear" w:color="auto" w:fill="FFFFFF"/>
        </w:rPr>
        <w:t xml:space="preserve">language, resulting in 46 studies </w:t>
      </w:r>
      <w:r w:rsidRPr="006368A5">
        <w:rPr>
          <w:shd w:val="clear" w:color="auto" w:fill="FFFFFF"/>
        </w:rPr>
        <w:t>in the</w:t>
      </w:r>
      <w:r w:rsidRPr="006368A5">
        <w:rPr>
          <w:rFonts w:hint="eastAsia"/>
          <w:shd w:val="clear" w:color="auto" w:fill="FFFFFF"/>
        </w:rPr>
        <w:t xml:space="preserve"> first round. The second round, </w:t>
      </w:r>
      <w:r w:rsidRPr="006368A5">
        <w:rPr>
          <w:shd w:val="clear" w:color="auto" w:fill="FFFFFF"/>
        </w:rPr>
        <w:t xml:space="preserve">in </w:t>
      </w:r>
      <w:r w:rsidRPr="006368A5">
        <w:rPr>
          <w:rFonts w:hint="eastAsia"/>
          <w:shd w:val="clear" w:color="auto" w:fill="FFFFFF"/>
        </w:rPr>
        <w:t xml:space="preserve">which </w:t>
      </w:r>
      <w:r w:rsidRPr="006368A5">
        <w:rPr>
          <w:shd w:val="clear" w:color="auto" w:fill="FFFFFF"/>
        </w:rPr>
        <w:t>I aimed</w:t>
      </w:r>
      <w:r w:rsidRPr="006368A5">
        <w:rPr>
          <w:rFonts w:hint="eastAsia"/>
          <w:shd w:val="clear" w:color="auto" w:fill="FFFFFF"/>
        </w:rPr>
        <w:t xml:space="preserve"> to include more recent studies, led to </w:t>
      </w:r>
      <w:r w:rsidRPr="006368A5">
        <w:rPr>
          <w:shd w:val="clear" w:color="auto" w:fill="FFFFFF"/>
        </w:rPr>
        <w:t xml:space="preserve">identifying </w:t>
      </w:r>
      <w:r w:rsidRPr="006368A5">
        <w:rPr>
          <w:rFonts w:hint="eastAsia"/>
          <w:shd w:val="clear" w:color="auto" w:fill="FFFFFF"/>
        </w:rPr>
        <w:t xml:space="preserve">145 new studies. </w:t>
      </w:r>
      <w:r w:rsidRPr="006368A5">
        <w:rPr>
          <w:shd w:val="clear" w:color="auto" w:fill="FFFFFF"/>
        </w:rPr>
        <w:t>I then considered these</w:t>
      </w:r>
      <w:r w:rsidRPr="006368A5">
        <w:rPr>
          <w:rFonts w:hint="eastAsia"/>
          <w:shd w:val="clear" w:color="auto" w:fill="FFFFFF"/>
        </w:rPr>
        <w:t xml:space="preserve"> 191 studies (46 studies from the first round and 145 new studies in the second round)</w:t>
      </w:r>
      <w:r w:rsidRPr="006368A5">
        <w:rPr>
          <w:shd w:val="clear" w:color="auto" w:fill="FFFFFF"/>
        </w:rPr>
        <w:t xml:space="preserve">, excluding </w:t>
      </w:r>
      <w:r w:rsidRPr="006368A5">
        <w:rPr>
          <w:rFonts w:hint="eastAsia"/>
          <w:shd w:val="clear" w:color="auto" w:fill="FFFFFF"/>
        </w:rPr>
        <w:t xml:space="preserve">99 </w:t>
      </w:r>
      <w:r w:rsidRPr="006368A5">
        <w:rPr>
          <w:shd w:val="clear" w:color="auto" w:fill="FFFFFF"/>
        </w:rPr>
        <w:t>of them</w:t>
      </w:r>
      <w:r w:rsidRPr="006368A5">
        <w:rPr>
          <w:rFonts w:hint="eastAsia"/>
          <w:shd w:val="clear" w:color="auto" w:fill="FFFFFF"/>
        </w:rPr>
        <w:t xml:space="preserve"> after </w:t>
      </w:r>
      <w:r w:rsidRPr="006368A5">
        <w:rPr>
          <w:shd w:val="clear" w:color="auto" w:fill="FFFFFF"/>
        </w:rPr>
        <w:t>assessing</w:t>
      </w:r>
      <w:r w:rsidRPr="006368A5">
        <w:rPr>
          <w:rFonts w:hint="eastAsia"/>
          <w:shd w:val="clear" w:color="auto" w:fill="FFFFFF"/>
        </w:rPr>
        <w:t xml:space="preserve"> </w:t>
      </w:r>
      <w:r w:rsidRPr="006368A5">
        <w:rPr>
          <w:shd w:val="clear" w:color="auto" w:fill="FFFFFF"/>
        </w:rPr>
        <w:t>eligibility</w:t>
      </w:r>
      <w:r w:rsidRPr="006368A5">
        <w:rPr>
          <w:rFonts w:hint="eastAsia"/>
          <w:shd w:val="clear" w:color="auto" w:fill="FFFFFF"/>
        </w:rPr>
        <w:t xml:space="preserve">. </w:t>
      </w:r>
      <w:r w:rsidRPr="006368A5">
        <w:rPr>
          <w:shd w:val="clear" w:color="auto" w:fill="FFFFFF"/>
        </w:rPr>
        <w:t>Ultimately</w:t>
      </w:r>
      <w:r w:rsidRPr="006368A5">
        <w:rPr>
          <w:rFonts w:hint="eastAsia"/>
          <w:shd w:val="clear" w:color="auto" w:fill="FFFFFF"/>
        </w:rPr>
        <w:t>,</w:t>
      </w:r>
      <w:r w:rsidRPr="006368A5">
        <w:rPr>
          <w:shd w:val="clear" w:color="auto" w:fill="FFFFFF"/>
        </w:rPr>
        <w:t xml:space="preserve"> I selected </w:t>
      </w:r>
      <w:r w:rsidRPr="006368A5">
        <w:rPr>
          <w:rFonts w:hint="eastAsia"/>
          <w:shd w:val="clear" w:color="auto" w:fill="FFFFFF"/>
        </w:rPr>
        <w:t>92</w:t>
      </w:r>
      <w:r w:rsidRPr="006368A5">
        <w:rPr>
          <w:shd w:val="clear" w:color="auto" w:fill="FFFFFF"/>
        </w:rPr>
        <w:t xml:space="preserve"> studies</w:t>
      </w:r>
      <w:r w:rsidRPr="006368A5">
        <w:rPr>
          <w:rFonts w:hint="eastAsia"/>
          <w:shd w:val="clear" w:color="auto" w:fill="FFFFFF"/>
        </w:rPr>
        <w:t xml:space="preserve"> </w:t>
      </w:r>
      <w:r w:rsidRPr="006368A5">
        <w:rPr>
          <w:shd w:val="clear" w:color="auto" w:fill="FFFFFF"/>
        </w:rPr>
        <w:t xml:space="preserve">for </w:t>
      </w:r>
      <w:r w:rsidRPr="006368A5">
        <w:rPr>
          <w:rFonts w:hint="eastAsia"/>
          <w:shd w:val="clear" w:color="auto" w:fill="FFFFFF"/>
        </w:rPr>
        <w:t>inclu</w:t>
      </w:r>
      <w:r w:rsidRPr="006368A5">
        <w:rPr>
          <w:shd w:val="clear" w:color="auto" w:fill="FFFFFF"/>
        </w:rPr>
        <w:t>sion in</w:t>
      </w:r>
      <w:r w:rsidRPr="006368A5">
        <w:rPr>
          <w:rFonts w:hint="eastAsia"/>
          <w:shd w:val="clear" w:color="auto" w:fill="FFFFFF"/>
        </w:rPr>
        <w:t xml:space="preserve"> </w:t>
      </w:r>
      <w:r w:rsidRPr="006368A5">
        <w:rPr>
          <w:shd w:val="clear" w:color="auto" w:fill="FFFFFF"/>
        </w:rPr>
        <w:t>the current review.</w:t>
      </w:r>
    </w:p>
    <w:p w14:paraId="3A9AFC9D" w14:textId="77777777" w:rsidR="00E027AC" w:rsidRPr="00E027AC" w:rsidRDefault="00E027AC" w:rsidP="00E027AC">
      <w:pPr>
        <w:pStyle w:val="L2JBody"/>
        <w:rPr>
          <w:shd w:val="clear" w:color="auto" w:fill="FFFFFF"/>
        </w:rPr>
      </w:pPr>
    </w:p>
    <w:p w14:paraId="7BA60D33" w14:textId="77777777" w:rsidR="00E027AC" w:rsidRDefault="00E027AC">
      <w:pPr>
        <w:rPr>
          <w:rFonts w:ascii="Garamond" w:eastAsia="Garamond" w:hAnsi="Garamond" w:cs="Garamond"/>
          <w:color w:val="000000" w:themeColor="text1"/>
          <w:sz w:val="24"/>
          <w:szCs w:val="24"/>
          <w:shd w:val="clear" w:color="auto" w:fill="FFFFFF"/>
        </w:rPr>
      </w:pPr>
      <w:r>
        <w:rPr>
          <w:shd w:val="clear" w:color="auto" w:fill="FFFFFF"/>
        </w:rPr>
        <w:br w:type="page"/>
      </w:r>
    </w:p>
    <w:p w14:paraId="5AB2BCAC" w14:textId="3AD0E9CC" w:rsidR="00E027AC" w:rsidRDefault="00E027AC" w:rsidP="00E027AC">
      <w:pPr>
        <w:pStyle w:val="L2JFigureCallOut"/>
        <w:rPr>
          <w:shd w:val="clear" w:color="auto" w:fill="FFFFFF"/>
        </w:rPr>
      </w:pPr>
      <w:r w:rsidRPr="006368A5">
        <w:rPr>
          <w:shd w:val="clear" w:color="auto" w:fill="FFFFFF"/>
        </w:rPr>
        <w:lastRenderedPageBreak/>
        <w:t>Figure 1</w:t>
      </w:r>
    </w:p>
    <w:p w14:paraId="35F53D86" w14:textId="77777777" w:rsidR="00E027AC" w:rsidRPr="006368A5" w:rsidRDefault="00E027AC" w:rsidP="00E027AC">
      <w:pPr>
        <w:pStyle w:val="L2JFigureCallOut"/>
        <w:rPr>
          <w:shd w:val="clear" w:color="auto" w:fill="FFFFFF"/>
        </w:rPr>
      </w:pPr>
    </w:p>
    <w:p w14:paraId="15FCF82A" w14:textId="77777777" w:rsidR="00E027AC" w:rsidRDefault="00E027AC" w:rsidP="00E027AC">
      <w:pPr>
        <w:pStyle w:val="L2JFigureTitle"/>
        <w:rPr>
          <w:shd w:val="clear" w:color="auto" w:fill="FFFFFF"/>
        </w:rPr>
      </w:pPr>
      <w:r w:rsidRPr="006368A5">
        <w:rPr>
          <w:shd w:val="clear" w:color="auto" w:fill="FFFFFF"/>
        </w:rPr>
        <w:t xml:space="preserve">A </w:t>
      </w:r>
      <w:r w:rsidRPr="006368A5">
        <w:rPr>
          <w:rFonts w:hint="eastAsia"/>
          <w:shd w:val="clear" w:color="auto" w:fill="FFFFFF"/>
        </w:rPr>
        <w:t>PRISMA F</w:t>
      </w:r>
      <w:r w:rsidRPr="006368A5">
        <w:rPr>
          <w:shd w:val="clear" w:color="auto" w:fill="FFFFFF"/>
        </w:rPr>
        <w:t xml:space="preserve">low </w:t>
      </w:r>
      <w:r w:rsidRPr="006368A5">
        <w:rPr>
          <w:rFonts w:hint="eastAsia"/>
          <w:shd w:val="clear" w:color="auto" w:fill="FFFFFF"/>
        </w:rPr>
        <w:t>D</w:t>
      </w:r>
      <w:r w:rsidRPr="006368A5">
        <w:rPr>
          <w:shd w:val="clear" w:color="auto" w:fill="FFFFFF"/>
        </w:rPr>
        <w:t xml:space="preserve">iagram of the </w:t>
      </w:r>
      <w:r w:rsidRPr="006368A5">
        <w:rPr>
          <w:rFonts w:hint="eastAsia"/>
          <w:shd w:val="clear" w:color="auto" w:fill="FFFFFF"/>
        </w:rPr>
        <w:t>L</w:t>
      </w:r>
      <w:r w:rsidRPr="006368A5">
        <w:rPr>
          <w:shd w:val="clear" w:color="auto" w:fill="FFFFFF"/>
        </w:rPr>
        <w:t xml:space="preserve">iterature </w:t>
      </w:r>
      <w:r w:rsidRPr="006368A5">
        <w:rPr>
          <w:rFonts w:hint="eastAsia"/>
          <w:shd w:val="clear" w:color="auto" w:fill="FFFFFF"/>
        </w:rPr>
        <w:t>S</w:t>
      </w:r>
      <w:r w:rsidRPr="006368A5">
        <w:rPr>
          <w:shd w:val="clear" w:color="auto" w:fill="FFFFFF"/>
        </w:rPr>
        <w:t xml:space="preserve">election </w:t>
      </w:r>
      <w:r w:rsidRPr="006368A5">
        <w:rPr>
          <w:rFonts w:hint="eastAsia"/>
          <w:shd w:val="clear" w:color="auto" w:fill="FFFFFF"/>
        </w:rPr>
        <w:t>P</w:t>
      </w:r>
      <w:r w:rsidRPr="006368A5">
        <w:rPr>
          <w:shd w:val="clear" w:color="auto" w:fill="FFFFFF"/>
        </w:rPr>
        <w:t>rocess (</w:t>
      </w:r>
      <w:r w:rsidRPr="006368A5">
        <w:rPr>
          <w:rFonts w:hint="eastAsia"/>
          <w:shd w:val="clear" w:color="auto" w:fill="FFFFFF"/>
        </w:rPr>
        <w:t>M</w:t>
      </w:r>
      <w:r w:rsidRPr="006368A5">
        <w:rPr>
          <w:shd w:val="clear" w:color="auto" w:fill="FFFFFF"/>
        </w:rPr>
        <w:t xml:space="preserve">odified </w:t>
      </w:r>
      <w:r w:rsidRPr="006368A5">
        <w:rPr>
          <w:rFonts w:hint="eastAsia"/>
          <w:shd w:val="clear" w:color="auto" w:fill="FFFFFF"/>
        </w:rPr>
        <w:t xml:space="preserve">from </w:t>
      </w:r>
      <w:r w:rsidRPr="006368A5">
        <w:rPr>
          <w:shd w:val="clear" w:color="auto" w:fill="FFFFFF"/>
        </w:rPr>
        <w:fldChar w:fldCharType="begin"/>
      </w:r>
      <w:r w:rsidRPr="006368A5">
        <w:rPr>
          <w:shd w:val="clear" w:color="auto" w:fill="FFFFFF"/>
        </w:rPr>
        <w:instrText xml:space="preserve"> ADDIN ZOTERO_ITEM CSL_CITATION {"citationID":"WRABGLFE","properties":{"formattedCitation":"(Page et al., 2021)","plainCitation":"(Page et al., 2021)","dontUpdate":true,"noteIndex":0},"citationItems":[{"id":3235,"uris":["http://zotero.org/users/9207091/items/RHMQL262"],"itemData":{"id":3235,"type":"article-journal","container-title":"BMJ","DOI":"https://doi.org/10.1136/bmj.n71","issue":"n71","note":"publisher: British Medical Journal Publishing Group","source":"Google Scholar","title":"The PRISMA 2020 statement: an updated guideline for reporting systematic reviews","title-short":"The PRISMA 2020 statement","URL":"https://www.bmj.com/content/372/bmj.n71.short","volume":"372","author":[{"family":"Page","given":"Matthew J."},{"family":"McKenzie","given":"Joanne E."},{"family":"Bossuyt","given":"Patrick M."},{"family":"Boutron","given":"Isabelle"},{"family":"Hoffmann","given":"Tammy C."},{"family":"Mulrow","given":"Cynthia D."},{"family":"Shamseer","given":"Larissa"},{"family":"Tetzlaff","given":"Jennifer M."},{"family":"Akl","given":"Elie A."},{"family":"Brennan","given":"Sue E."}],"accessed":{"date-parts":[["2024",6,7]]},"issued":{"date-parts":[["2021"]]}}}],"schema":"https://github.com/citation-style-language/schema/raw/master/csl-citation.json"} </w:instrText>
      </w:r>
      <w:r w:rsidRPr="006368A5">
        <w:rPr>
          <w:shd w:val="clear" w:color="auto" w:fill="FFFFFF"/>
        </w:rPr>
        <w:fldChar w:fldCharType="separate"/>
      </w:r>
      <w:r w:rsidRPr="006368A5">
        <w:rPr>
          <w:shd w:val="clear" w:color="auto" w:fill="FFFFFF"/>
        </w:rPr>
        <w:t>Page et al., 2021)</w:t>
      </w:r>
      <w:r w:rsidRPr="006368A5">
        <w:rPr>
          <w:shd w:val="clear" w:color="auto" w:fill="FFFFFF"/>
        </w:rPr>
        <w:fldChar w:fldCharType="end"/>
      </w:r>
    </w:p>
    <w:p w14:paraId="48ECF8E3" w14:textId="77777777" w:rsidR="00E027AC" w:rsidRPr="006368A5" w:rsidRDefault="00E027AC" w:rsidP="00E027AC">
      <w:pPr>
        <w:pStyle w:val="L2JFigureTitle"/>
        <w:rPr>
          <w:shd w:val="clear" w:color="auto" w:fill="FFFFFF"/>
        </w:rPr>
      </w:pPr>
    </w:p>
    <w:p w14:paraId="24C92965" w14:textId="77777777" w:rsidR="00E027AC" w:rsidRPr="006368A5" w:rsidRDefault="00E027AC" w:rsidP="00E027AC">
      <w:pPr>
        <w:spacing w:line="480" w:lineRule="auto"/>
        <w:rPr>
          <w:rFonts w:ascii="Times New Roman" w:hAnsi="Times New Roman"/>
          <w:sz w:val="24"/>
          <w:szCs w:val="24"/>
          <w:shd w:val="clear" w:color="auto" w:fill="FFFFFF"/>
        </w:rPr>
      </w:pPr>
      <w:r w:rsidRPr="006368A5">
        <w:rPr>
          <w:rFonts w:ascii="Times New Roman" w:hAnsi="Times New Roman"/>
          <w:noProof/>
          <w:sz w:val="24"/>
          <w:szCs w:val="24"/>
          <w:shd w:val="clear" w:color="auto" w:fill="FFFFFF"/>
        </w:rPr>
        <w:drawing>
          <wp:inline distT="0" distB="0" distL="0" distR="0" wp14:anchorId="12413143" wp14:editId="6A0B8FC2">
            <wp:extent cx="5621764" cy="7108259"/>
            <wp:effectExtent l="19050" t="19050" r="17145" b="16510"/>
            <wp:docPr id="918069811" name="Picture 1" descr="A diagram of a flow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69811" name="Picture 1" descr="A diagram of a flowchar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8152" cy="7116336"/>
                    </a:xfrm>
                    <a:prstGeom prst="rect">
                      <a:avLst/>
                    </a:prstGeom>
                    <a:ln w="3175">
                      <a:solidFill>
                        <a:schemeClr val="tx1"/>
                      </a:solidFill>
                    </a:ln>
                  </pic:spPr>
                </pic:pic>
              </a:graphicData>
            </a:graphic>
          </wp:inline>
        </w:drawing>
      </w:r>
    </w:p>
    <w:p w14:paraId="3016DF08" w14:textId="77777777" w:rsidR="00E027AC" w:rsidRDefault="00E027AC" w:rsidP="00E027AC">
      <w:pPr>
        <w:spacing w:line="480" w:lineRule="auto"/>
        <w:rPr>
          <w:rFonts w:ascii="Times New Roman" w:hAnsi="Times New Roman"/>
          <w:b/>
          <w:bCs/>
          <w:sz w:val="24"/>
          <w:szCs w:val="24"/>
          <w:shd w:val="clear" w:color="auto" w:fill="FFFFFF"/>
        </w:rPr>
      </w:pPr>
    </w:p>
    <w:p w14:paraId="5DF60032" w14:textId="41725E13" w:rsidR="00E027AC" w:rsidRPr="00E027AC" w:rsidRDefault="00E027AC" w:rsidP="00E027AC">
      <w:pPr>
        <w:pStyle w:val="L2JH2"/>
        <w:rPr>
          <w:shd w:val="clear" w:color="auto" w:fill="FFFFFF"/>
        </w:rPr>
      </w:pPr>
      <w:r w:rsidRPr="006368A5">
        <w:rPr>
          <w:shd w:val="clear" w:color="auto" w:fill="FFFFFF"/>
        </w:rPr>
        <w:lastRenderedPageBreak/>
        <w:t>Coding and Analysis</w:t>
      </w:r>
    </w:p>
    <w:p w14:paraId="070A9921" w14:textId="77777777" w:rsidR="00E027AC" w:rsidRDefault="00E027AC" w:rsidP="00E027AC">
      <w:pPr>
        <w:pStyle w:val="L2JBody"/>
        <w:ind w:firstLine="0"/>
        <w:rPr>
          <w:shd w:val="clear" w:color="auto" w:fill="FFFFFF"/>
        </w:rPr>
      </w:pPr>
    </w:p>
    <w:p w14:paraId="6A3E53B4" w14:textId="1F833164" w:rsidR="00E027AC" w:rsidRPr="006368A5" w:rsidRDefault="00E027AC" w:rsidP="00E027AC">
      <w:pPr>
        <w:pStyle w:val="L2JBody"/>
        <w:ind w:firstLine="0"/>
        <w:rPr>
          <w:shd w:val="clear" w:color="auto" w:fill="FFFFFF"/>
        </w:rPr>
      </w:pPr>
      <w:r w:rsidRPr="006368A5">
        <w:rPr>
          <w:shd w:val="clear" w:color="auto" w:fill="FFFFFF"/>
        </w:rPr>
        <w:t>Overall, I adopted an iterative analytical approach to code and analyze the data</w:t>
      </w:r>
      <w:r w:rsidRPr="006368A5">
        <w:rPr>
          <w:rFonts w:hint="eastAsia"/>
          <w:shd w:val="clear" w:color="auto" w:fill="FFFFFF"/>
        </w:rPr>
        <w:t xml:space="preserve"> </w:t>
      </w:r>
      <w:r w:rsidRPr="006368A5">
        <w:rPr>
          <w:shd w:val="clear" w:color="auto" w:fill="FFFFFF"/>
        </w:rPr>
        <w:t>in</w:t>
      </w:r>
      <w:r w:rsidRPr="006368A5">
        <w:rPr>
          <w:rFonts w:hint="eastAsia"/>
          <w:shd w:val="clear" w:color="auto" w:fill="FFFFFF"/>
        </w:rPr>
        <w:t xml:space="preserve"> the studies</w:t>
      </w:r>
      <w:r w:rsidRPr="006368A5">
        <w:rPr>
          <w:shd w:val="clear" w:color="auto" w:fill="FFFFFF"/>
        </w:rPr>
        <w:t xml:space="preserve"> I retrieved.</w:t>
      </w:r>
      <w:r w:rsidRPr="006368A5">
        <w:rPr>
          <w:rFonts w:hint="eastAsia"/>
          <w:shd w:val="clear" w:color="auto" w:fill="FFFFFF"/>
        </w:rPr>
        <w:t xml:space="preserve"> The coding scheme </w:t>
      </w:r>
      <w:r w:rsidRPr="006368A5">
        <w:rPr>
          <w:shd w:val="clear" w:color="auto" w:fill="FFFFFF"/>
        </w:rPr>
        <w:t>(see Appendix) comprised</w:t>
      </w:r>
      <w:r w:rsidRPr="006368A5">
        <w:rPr>
          <w:rFonts w:hint="eastAsia"/>
          <w:shd w:val="clear" w:color="auto" w:fill="FFFFFF"/>
        </w:rPr>
        <w:t xml:space="preserve"> 10 codes</w:t>
      </w:r>
      <w:r w:rsidRPr="006368A5">
        <w:rPr>
          <w:shd w:val="clear" w:color="auto" w:fill="FFFFFF"/>
        </w:rPr>
        <w:t>: author(s) and publication year, topic and theme, main finding, sample size, language (L1/L2), research context, theoretical framework(s), research design, data sources, and research duration.</w:t>
      </w:r>
      <w:r w:rsidRPr="006368A5">
        <w:rPr>
          <w:rFonts w:hint="eastAsia"/>
          <w:shd w:val="clear" w:color="auto" w:fill="FFFFFF"/>
        </w:rPr>
        <w:t xml:space="preserve"> </w:t>
      </w:r>
      <w:r w:rsidRPr="006368A5">
        <w:rPr>
          <w:shd w:val="clear" w:color="auto" w:fill="FFFFFF"/>
        </w:rPr>
        <w:t>I d</w:t>
      </w:r>
      <w:r w:rsidRPr="006368A5">
        <w:rPr>
          <w:rFonts w:hint="eastAsia"/>
          <w:shd w:val="clear" w:color="auto" w:fill="FFFFFF"/>
        </w:rPr>
        <w:t>evelop</w:t>
      </w:r>
      <w:r w:rsidRPr="006368A5">
        <w:rPr>
          <w:shd w:val="clear" w:color="auto" w:fill="FFFFFF"/>
        </w:rPr>
        <w:t>ed</w:t>
      </w:r>
      <w:r w:rsidRPr="006368A5">
        <w:rPr>
          <w:rFonts w:hint="eastAsia"/>
          <w:shd w:val="clear" w:color="auto" w:fill="FFFFFF"/>
        </w:rPr>
        <w:t xml:space="preserve"> this coding scheme, guided by </w:t>
      </w:r>
      <w:r w:rsidRPr="006368A5">
        <w:rPr>
          <w:shd w:val="clear" w:color="auto" w:fill="FFFFFF"/>
        </w:rPr>
        <w:t>other</w:t>
      </w:r>
      <w:r w:rsidRPr="006368A5">
        <w:rPr>
          <w:rFonts w:hint="eastAsia"/>
          <w:shd w:val="clear" w:color="auto" w:fill="FFFFFF"/>
        </w:rPr>
        <w:t xml:space="preserve"> systematic reviews </w:t>
      </w:r>
      <w:r w:rsidRPr="006368A5">
        <w:rPr>
          <w:shd w:val="clear" w:color="auto" w:fill="FFFFFF"/>
        </w:rPr>
        <w:t>and</w:t>
      </w:r>
      <w:r w:rsidRPr="006368A5">
        <w:rPr>
          <w:rFonts w:hint="eastAsia"/>
          <w:shd w:val="clear" w:color="auto" w:fill="FFFFFF"/>
        </w:rPr>
        <w:t xml:space="preserve"> synthesis writing studies </w:t>
      </w:r>
      <w:r w:rsidRPr="006368A5">
        <w:rPr>
          <w:shd w:val="clear" w:color="auto" w:fill="FFFFFF"/>
        </w:rPr>
        <w:fldChar w:fldCharType="begin"/>
      </w:r>
      <w:r w:rsidRPr="006368A5">
        <w:rPr>
          <w:shd w:val="clear" w:color="auto" w:fill="FFFFFF"/>
        </w:rPr>
        <w:instrText xml:space="preserve"> ADDIN ZOTERO_ITEM CSL_CITATION {"citationID":"gU2heziN","properties":{"formattedCitation":"(Liu et al., 2016; Nelson &amp; King, 2023; Riazi et al., 2018; van Ockenburg et al., 2019)","plainCitation":"(Liu et al., 2016; Nelson &amp; King, 2023; Riazi et al., 2018; van Ockenburg et al., 2019)","dontUpdate":true,"noteIndex":0},"citationItems":[{"id":635,"uris":["http://zotero.org/users/9207091/items/NEYT9SZA"],"itemData":{"id":635,"type":"article-journal","abstract":"There is an urgency to improve source use among non-native speakers of English in the globalized era. This review examines problems and causes of second language (L2) English source misuse in the English as a Second Language (ESL) and English as a Foreign Language (EFL) environments, and proposes remedies for the problems. Thematic analysis resulted in issues related to L2 English misuse under the categories of (a) source use norms, (b) source use acquisition, and (c) ethical practice in L2 academic writing from 53 empirical studies. Furthermore, nine recommendations for L2 English source use pedagogy were derived to (a) ensure transparency in deﬁnitions, guidelines, and expectations, (b) build source use knowledge, and (c) engage L2 English writers in continuous practice and autonomous development of plagiarism avoidance. Finally, the authors provide an interrelational network among the nine themes as well as suggestions for enhancing L2 source use policies and education among institutions and practitioners aiming to improve source use for L2 English writers.","container-title":"Educational Research Review","DOI":"10.1016/j.edurev.2016.06.002","ISSN":"1747938X","journalAbbreviation":"Educational Research Review","language":"en","page":"36-57","source":"DOI.org (Crossref)","title":"Best practices in L2 English source use pedagogy: A thematic review and synthesis of empirical studies","title-short":"Best practices in L2 English source use pedagogy","volume":"19","author":[{"family":"Liu","given":"Gi-Zen"},{"family":"Lin","given":"Vivien"},{"family":"Kou","given":"Xiaojing"},{"family":"Wang","given":"Hong-You"}],"issued":{"date-parts":[["2016",11]]}}},{"id":2728,"uris":["http://zotero.org/users/9207091/items/XKWF42FP"],"itemData":{"id":2728,"type":"article-journal","abstract":"Research into discourse synthesis examines the ways in which writers make use of, and transform, multiple other texts in writing their own. It is intertextual research that has blurred boundaries of various kinds, not only the boundary between the processes of reading and writing but also boundaries across disciplines as well as regions of the world. Guided by a cognitive constructivist perspective, this research into discourse synthesis drew at its origin—and continues to draw now—from multidisciplinary theoretical and empirical work. This article, which establishes the foundations for this research and traces its development, attends to writers’ transformations of multiple source texts resulting from operations of organizing, selecting, and connecting. Studies into synthesis writing for varying academic tasks have shown that, by applying these operations to multiple textual sources, writers produce discourses that function as new texts in new contexts. Following a discussion of historical background, attention in this article goes to three major issues: the variation in synthesis associated with different academic genres; the kinds of insights into product and process that come from different research approaches; and the nature of new instructional approaches that emphasize elements of discourse synthesis. All facets of this research reveal continuity as well as change, the latter occurring, in large part, through contact and convergence of discourse synthesis research with related bodies of work. The conclusion, which centers on the notion of transformation, summarizes research conducted thus far and points to future directions.","container-title":"Reading and Writing","DOI":"10.1007/s11145-021-10243-5","ISSN":"0922-4777, 1573-0905","issue":"4","journalAbbreviation":"Read Writ","language":"en","page":"769-808","source":"DOI.org (Crossref)","title":"Discourse synthesis: Textual transformations in writing from sources","title-short":"Discourse synthesis","volume":"36","author":[{"family":"Nelson","given":"Nancy"},{"family":"King","given":"James R."}],"issued":{"date-parts":[["2023",4]]}}},{"id":3095,"uris":["http://zotero.org/users/9207091/items/6TUVH797"],"itemData":{"id":3095,"type":"article-journal","abstract":"In this historical survey, we review 272 empirical research articles published in the Journal of Second Language Writing (JSLW) over its ﬁrst quarter century of publication. We report overall and periodic analyses (1992–1999, 2000–2010, 2011–2016) in respect to the following themes: (1) contexts and participants, (2) research foci and theoretical orientations, and (3) research methodology and data sources. The typical research contexts and participants were undergraduates in U.S. universities or colleges. The most common research foci were feedback and writing instruction and the main theoretical orientations were cognitive, social, socio-cognitive, genre, contrastive rhetoric, and critical theories. The most frequently used research methodology was qualitative and the top three data sources used by L2 writing researchers were multiple sources, text samples, and elicitation. Based on the ﬁndings, we make suggestions for future research in studies of L2 writing. Along with Tony Silva’s reﬂections on our results, the present analysis gives readers a birds-eye view of the scholarship on L2 writing over the last 25 years as represented in the JSLW.","container-title":"Journal of Second Language Writing","DOI":"10.1016/j.jslw.2018.07.002","ISSN":"10603743","journalAbbreviation":"Journal of Second Language Writing","language":"en","page":"41-54","source":"DOI.org (Crossref)","title":"Analysis of the empirical research in the journal of second language writing at its 25th year (1992–2016)","volume":"41","author":[{"family":"Riazi","given":"Mehdi"},{"family":"Shi","given":"Ling"},{"family":"Haggerty","given":"John"}],"issued":{"date-parts":[["2018",9]]}}},{"id":3069,"uris":["http://zotero.org/users/9207091/items/GS2Q4IDE"],"itemData":{"id":3069,"type":"article-journal","abstract":"This study aims to explore effective ways in which students can learn to write synthesis texts. First, through a systematic literature search we found 16 (quasi-)experimental studies from 6th grade to undergraduate level in the field of learning to write source-based synthesis texts, that met our inclusion criteria. Second, we formulated a general instructional design principle, that included three main processes: (a) selecting relevant/important information from sources, (b) organizing, and (c) connecting that information. Bottom-up analyses of the six most effective studies yielded a set of learning activities that contribute to the improvement of students’ performance on writing synthesis texts. Subsequently, we supplemented our general design principle with relevant learning activities obtained from these effective interventions. One effective intervention differed considerably from the others due to its divergent nature, but its content was considered valuable enough to warrant the inclusion of an additional design principle. The design principles formulated in this study can be used as guidelines for future interventions in synthesis writing or as a means of support for teachers who want to develop educational materials for teaching synthesis writing.","container-title":"Journal of Writing Research","DOI":"10.17239/jowr-2019.10.03.01","ISSN":"2030-1006, 2294-3307","issue":"3","journalAbbreviation":"Journal of Writing Research","language":"en","page":"401-428","source":"DOI.org (Crossref)","title":"Learning to write synthesis texts: A review of intervention studies","title-short":"Learning to write synthesis texts in secondary education","volume":"10","author":[{"family":"Ockenburg","given":"L.","non-dropping-particle":"van"},{"family":"Weijen","given":"D.","non-dropping-particle":"van"},{"family":"Rijlaarsdam","given":"G."}],"issued":{"date-parts":[["2019",2]]}}}],"schema":"https://github.com/citation-style-language/schema/raw/master/csl-citation.json"} </w:instrText>
      </w:r>
      <w:r w:rsidRPr="006368A5">
        <w:rPr>
          <w:shd w:val="clear" w:color="auto" w:fill="FFFFFF"/>
        </w:rPr>
        <w:fldChar w:fldCharType="separate"/>
      </w:r>
      <w:r w:rsidRPr="006368A5">
        <w:rPr>
          <w:rFonts w:cs="Times New Roman"/>
        </w:rPr>
        <w:t xml:space="preserve">(see Liu et al., 2016; Nelson &amp; King, 2023; Riazi et al., 2018; van </w:t>
      </w:r>
      <w:proofErr w:type="spellStart"/>
      <w:r w:rsidRPr="006368A5">
        <w:rPr>
          <w:rFonts w:cs="Times New Roman"/>
        </w:rPr>
        <w:t>Ockenburg</w:t>
      </w:r>
      <w:proofErr w:type="spellEnd"/>
      <w:r w:rsidRPr="006368A5">
        <w:rPr>
          <w:rFonts w:cs="Times New Roman"/>
        </w:rPr>
        <w:t xml:space="preserve"> et al., 2019)</w:t>
      </w:r>
      <w:r w:rsidRPr="006368A5">
        <w:rPr>
          <w:shd w:val="clear" w:color="auto" w:fill="FFFFFF"/>
        </w:rPr>
        <w:fldChar w:fldCharType="end"/>
      </w:r>
      <w:r w:rsidRPr="006368A5">
        <w:rPr>
          <w:rFonts w:hint="eastAsia"/>
          <w:shd w:val="clear" w:color="auto" w:fill="FFFFFF"/>
        </w:rPr>
        <w:t xml:space="preserve">. </w:t>
      </w:r>
    </w:p>
    <w:p w14:paraId="741E0FF5" w14:textId="77777777" w:rsidR="00E027AC" w:rsidRPr="006368A5" w:rsidRDefault="00E027AC" w:rsidP="00E027AC">
      <w:pPr>
        <w:pStyle w:val="L2JBody"/>
        <w:rPr>
          <w:shd w:val="clear" w:color="auto" w:fill="FFFFFF"/>
        </w:rPr>
      </w:pPr>
      <w:r w:rsidRPr="006368A5">
        <w:rPr>
          <w:shd w:val="clear" w:color="auto" w:fill="FFFFFF"/>
        </w:rPr>
        <w:t>Using this scheme</w:t>
      </w:r>
      <w:r w:rsidRPr="006368A5">
        <w:rPr>
          <w:rFonts w:hint="eastAsia"/>
          <w:shd w:val="clear" w:color="auto" w:fill="FFFFFF"/>
        </w:rPr>
        <w:t>, I coded and analyzed the collected data. To analyze categorical (e.g., research context) or quantifiable variables (e.g., research duration), the process involved descriptive statistics</w:t>
      </w:r>
      <w:r w:rsidRPr="006368A5">
        <w:rPr>
          <w:shd w:val="clear" w:color="auto" w:fill="FFFFFF"/>
        </w:rPr>
        <w:t>,</w:t>
      </w:r>
      <w:r w:rsidRPr="006368A5">
        <w:rPr>
          <w:rFonts w:hint="eastAsia"/>
          <w:shd w:val="clear" w:color="auto" w:fill="FFFFFF"/>
        </w:rPr>
        <w:t xml:space="preserve"> such as calculating frequencies, percentages</w:t>
      </w:r>
      <w:r w:rsidRPr="006368A5">
        <w:rPr>
          <w:shd w:val="clear" w:color="auto" w:fill="FFFFFF"/>
        </w:rPr>
        <w:t>,</w:t>
      </w:r>
      <w:r w:rsidRPr="006368A5">
        <w:rPr>
          <w:rFonts w:hint="eastAsia"/>
          <w:shd w:val="clear" w:color="auto" w:fill="FFFFFF"/>
        </w:rPr>
        <w:t xml:space="preserve"> or means. In contrast, for qualitative variables (e.g., research focus), </w:t>
      </w:r>
      <w:r w:rsidRPr="006368A5">
        <w:rPr>
          <w:shd w:val="clear" w:color="auto" w:fill="FFFFFF"/>
        </w:rPr>
        <w:t xml:space="preserve">I adopted </w:t>
      </w:r>
      <w:r w:rsidRPr="006368A5">
        <w:rPr>
          <w:shd w:val="clear" w:color="auto" w:fill="FFFFFF"/>
        </w:rPr>
        <w:fldChar w:fldCharType="begin"/>
      </w:r>
      <w:r w:rsidRPr="006368A5">
        <w:rPr>
          <w:shd w:val="clear" w:color="auto" w:fill="FFFFFF"/>
        </w:rPr>
        <w:instrText xml:space="preserve"> ADDIN ZOTERO_ITEM CSL_CITATION {"citationID":"xDrkTZWH","properties":{"formattedCitation":"(Corbin &amp; Strauss, 2015)","plainCitation":"(Corbin &amp; Strauss, 2015)","dontUpdate":true,"noteIndex":0},"citationItems":[{"id":1512,"uris":["http://zotero.org/users/9207091/items/IT25VZYN"],"itemData":{"id":1512,"type":"book","edition":"4","publisher":"Sage","title":"Basics of qualitative research: Techniques and procedures for developing grounded theory","author":[{"family":"Corbin","given":"J."},{"family":"Strauss","given":"A."}],"issued":{"date-parts":[["2015"]]}}}],"schema":"https://github.com/citation-style-language/schema/raw/master/csl-citation.json"} </w:instrText>
      </w:r>
      <w:r w:rsidRPr="006368A5">
        <w:rPr>
          <w:shd w:val="clear" w:color="auto" w:fill="FFFFFF"/>
        </w:rPr>
        <w:fldChar w:fldCharType="separate"/>
      </w:r>
      <w:r w:rsidRPr="006368A5">
        <w:rPr>
          <w:rFonts w:cs="Times New Roman"/>
        </w:rPr>
        <w:t xml:space="preserve">Corbin </w:t>
      </w:r>
      <w:r w:rsidRPr="006368A5">
        <w:rPr>
          <w:rFonts w:cs="Times New Roman" w:hint="eastAsia"/>
        </w:rPr>
        <w:t>and</w:t>
      </w:r>
      <w:r w:rsidRPr="006368A5">
        <w:rPr>
          <w:rFonts w:cs="Times New Roman"/>
        </w:rPr>
        <w:t xml:space="preserve"> Strauss’ </w:t>
      </w:r>
      <w:r w:rsidRPr="006368A5">
        <w:rPr>
          <w:rFonts w:cs="Times New Roman" w:hint="eastAsia"/>
        </w:rPr>
        <w:t>(</w:t>
      </w:r>
      <w:r w:rsidRPr="006368A5">
        <w:rPr>
          <w:rFonts w:cs="Times New Roman"/>
        </w:rPr>
        <w:t>2015)</w:t>
      </w:r>
      <w:r w:rsidRPr="006368A5">
        <w:rPr>
          <w:shd w:val="clear" w:color="auto" w:fill="FFFFFF"/>
        </w:rPr>
        <w:fldChar w:fldCharType="end"/>
      </w:r>
      <w:r w:rsidRPr="006368A5">
        <w:rPr>
          <w:rFonts w:hint="eastAsia"/>
          <w:shd w:val="clear" w:color="auto" w:fill="FFFFFF"/>
        </w:rPr>
        <w:t xml:space="preserve"> framework to explore </w:t>
      </w:r>
      <w:r w:rsidRPr="006368A5">
        <w:rPr>
          <w:shd w:val="clear" w:color="auto" w:fill="FFFFFF"/>
        </w:rPr>
        <w:t>concepts</w:t>
      </w:r>
      <w:r w:rsidRPr="006368A5">
        <w:rPr>
          <w:rFonts w:hint="eastAsia"/>
          <w:shd w:val="clear" w:color="auto" w:fill="FFFFFF"/>
        </w:rPr>
        <w:t xml:space="preserve"> and approaches used</w:t>
      </w:r>
      <w:r w:rsidRPr="006368A5">
        <w:rPr>
          <w:shd w:val="clear" w:color="auto" w:fill="FFFFFF"/>
        </w:rPr>
        <w:t>; these</w:t>
      </w:r>
      <w:r w:rsidRPr="006368A5">
        <w:rPr>
          <w:rFonts w:hint="eastAsia"/>
          <w:shd w:val="clear" w:color="auto" w:fill="FFFFFF"/>
        </w:rPr>
        <w:t xml:space="preserve"> were later subsumed under larger categories to form a thematic unit.</w:t>
      </w:r>
    </w:p>
    <w:p w14:paraId="4057159A" w14:textId="77777777" w:rsidR="00E027AC" w:rsidRPr="006368A5" w:rsidRDefault="00E027AC" w:rsidP="00E027AC">
      <w:pPr>
        <w:pStyle w:val="L2JBody"/>
        <w:rPr>
          <w:strike/>
          <w:shd w:val="clear" w:color="auto" w:fill="FFFFFF"/>
        </w:rPr>
      </w:pPr>
      <w:r w:rsidRPr="006368A5">
        <w:rPr>
          <w:rFonts w:hint="eastAsia"/>
          <w:shd w:val="clear" w:color="auto" w:fill="FFFFFF"/>
        </w:rPr>
        <w:t xml:space="preserve">To ensure rigor for the analysis process, </w:t>
      </w:r>
      <w:r w:rsidRPr="006368A5">
        <w:rPr>
          <w:shd w:val="clear" w:color="auto" w:fill="FFFFFF"/>
        </w:rPr>
        <w:t>I</w:t>
      </w:r>
      <w:r w:rsidRPr="006368A5">
        <w:rPr>
          <w:rFonts w:hint="eastAsia"/>
          <w:shd w:val="clear" w:color="auto" w:fill="FFFFFF"/>
        </w:rPr>
        <w:t xml:space="preserve"> implemented two techniques</w:t>
      </w:r>
      <w:r w:rsidRPr="006368A5">
        <w:rPr>
          <w:shd w:val="clear" w:color="auto" w:fill="FFFFFF"/>
        </w:rPr>
        <w:t xml:space="preserve">: (a) </w:t>
      </w:r>
      <w:proofErr w:type="spellStart"/>
      <w:r w:rsidRPr="006368A5">
        <w:rPr>
          <w:rFonts w:hint="eastAsia"/>
          <w:shd w:val="clear" w:color="auto" w:fill="FFFFFF"/>
        </w:rPr>
        <w:t>intracoder</w:t>
      </w:r>
      <w:proofErr w:type="spellEnd"/>
      <w:r w:rsidRPr="006368A5">
        <w:rPr>
          <w:rFonts w:hint="eastAsia"/>
          <w:shd w:val="clear" w:color="auto" w:fill="FFFFFF"/>
        </w:rPr>
        <w:t xml:space="preserve"> reliability and </w:t>
      </w:r>
      <w:r w:rsidRPr="006368A5">
        <w:rPr>
          <w:shd w:val="clear" w:color="auto" w:fill="FFFFFF"/>
        </w:rPr>
        <w:t xml:space="preserve">(b) </w:t>
      </w:r>
      <w:r w:rsidRPr="006368A5">
        <w:rPr>
          <w:rFonts w:hint="eastAsia"/>
          <w:shd w:val="clear" w:color="auto" w:fill="FFFFFF"/>
        </w:rPr>
        <w:t xml:space="preserve">transparent coding procedures. </w:t>
      </w:r>
      <w:r w:rsidRPr="006368A5">
        <w:rPr>
          <w:shd w:val="clear" w:color="auto" w:fill="FFFFFF"/>
        </w:rPr>
        <w:t>I achieved the former</w:t>
      </w:r>
      <w:r w:rsidRPr="006368A5">
        <w:rPr>
          <w:rFonts w:hint="eastAsia"/>
          <w:shd w:val="clear" w:color="auto" w:fill="FFFFFF"/>
        </w:rPr>
        <w:t xml:space="preserve"> through consistency checks through multiple </w:t>
      </w:r>
      <w:r w:rsidRPr="006368A5">
        <w:rPr>
          <w:shd w:val="clear" w:color="auto" w:fill="FFFFFF"/>
        </w:rPr>
        <w:t>rounds</w:t>
      </w:r>
      <w:r w:rsidRPr="006368A5">
        <w:rPr>
          <w:rFonts w:hint="eastAsia"/>
          <w:shd w:val="clear" w:color="auto" w:fill="FFFFFF"/>
        </w:rPr>
        <w:t xml:space="preserve"> of time-gap coding </w:t>
      </w:r>
      <w:r w:rsidRPr="006368A5">
        <w:rPr>
          <w:shd w:val="clear" w:color="auto" w:fill="FFFFFF"/>
        </w:rPr>
        <w:t>(summer 2023, fall 2023, spring 2024</w:t>
      </w:r>
      <w:r w:rsidRPr="006368A5">
        <w:rPr>
          <w:rFonts w:hint="eastAsia"/>
          <w:shd w:val="clear" w:color="auto" w:fill="FFFFFF"/>
        </w:rPr>
        <w:t>, and summer 2024</w:t>
      </w:r>
      <w:r w:rsidRPr="006368A5">
        <w:rPr>
          <w:shd w:val="clear" w:color="auto" w:fill="FFFFFF"/>
        </w:rPr>
        <w:t xml:space="preserve">). </w:t>
      </w:r>
      <w:r w:rsidRPr="006368A5">
        <w:rPr>
          <w:rFonts w:hint="eastAsia"/>
          <w:shd w:val="clear" w:color="auto" w:fill="FFFFFF"/>
        </w:rPr>
        <w:t xml:space="preserve">This allowed for systematic comparison as I revisited my coded data after each semester to verify whether my coding decisions remained consistent. </w:t>
      </w:r>
      <w:r w:rsidRPr="006368A5">
        <w:rPr>
          <w:shd w:val="clear" w:color="auto" w:fill="FFFFFF"/>
        </w:rPr>
        <w:t>To establish transparent</w:t>
      </w:r>
      <w:r w:rsidRPr="006368A5">
        <w:rPr>
          <w:rFonts w:hint="eastAsia"/>
          <w:shd w:val="clear" w:color="auto" w:fill="FFFFFF"/>
        </w:rPr>
        <w:t xml:space="preserve"> coding </w:t>
      </w:r>
      <w:r w:rsidRPr="006368A5">
        <w:rPr>
          <w:shd w:val="clear" w:color="auto" w:fill="FFFFFF"/>
        </w:rPr>
        <w:t xml:space="preserve">procedures, </w:t>
      </w:r>
      <w:r w:rsidRPr="006368A5">
        <w:rPr>
          <w:rFonts w:hint="eastAsia"/>
          <w:shd w:val="clear" w:color="auto" w:fill="FFFFFF"/>
        </w:rPr>
        <w:t>I used a codebook</w:t>
      </w:r>
      <w:r w:rsidRPr="006368A5">
        <w:rPr>
          <w:shd w:val="clear" w:color="auto" w:fill="FFFFFF"/>
        </w:rPr>
        <w:t xml:space="preserve">, </w:t>
      </w:r>
      <w:r w:rsidRPr="006368A5">
        <w:rPr>
          <w:rFonts w:hint="eastAsia"/>
          <w:shd w:val="clear" w:color="auto" w:fill="FFFFFF"/>
        </w:rPr>
        <w:t>updat</w:t>
      </w:r>
      <w:r w:rsidRPr="006368A5">
        <w:rPr>
          <w:shd w:val="clear" w:color="auto" w:fill="FFFFFF"/>
        </w:rPr>
        <w:t>ed</w:t>
      </w:r>
      <w:r w:rsidRPr="006368A5">
        <w:rPr>
          <w:rFonts w:hint="eastAsia"/>
          <w:shd w:val="clear" w:color="auto" w:fill="FFFFFF"/>
        </w:rPr>
        <w:t xml:space="preserve"> after each cycle</w:t>
      </w:r>
      <w:r w:rsidRPr="006368A5">
        <w:rPr>
          <w:shd w:val="clear" w:color="auto" w:fill="FFFFFF"/>
        </w:rPr>
        <w:t>, and</w:t>
      </w:r>
      <w:r w:rsidRPr="006368A5">
        <w:rPr>
          <w:rFonts w:hint="eastAsia"/>
          <w:shd w:val="clear" w:color="auto" w:fill="FFFFFF"/>
        </w:rPr>
        <w:t xml:space="preserve"> </w:t>
      </w:r>
      <w:r w:rsidRPr="006368A5">
        <w:rPr>
          <w:shd w:val="clear" w:color="auto" w:fill="FFFFFF"/>
        </w:rPr>
        <w:t xml:space="preserve">engaged in </w:t>
      </w:r>
      <w:r w:rsidRPr="006368A5">
        <w:rPr>
          <w:rFonts w:hint="eastAsia"/>
          <w:shd w:val="clear" w:color="auto" w:fill="FFFFFF"/>
        </w:rPr>
        <w:t>a thorough iterative coding process</w:t>
      </w:r>
      <w:r w:rsidRPr="006368A5">
        <w:rPr>
          <w:shd w:val="clear" w:color="auto" w:fill="FFFFFF"/>
        </w:rPr>
        <w:t>.</w:t>
      </w:r>
      <w:r w:rsidRPr="006368A5">
        <w:rPr>
          <w:rFonts w:hint="eastAsia"/>
          <w:shd w:val="clear" w:color="auto" w:fill="FFFFFF"/>
        </w:rPr>
        <w:t xml:space="preserve"> </w:t>
      </w:r>
    </w:p>
    <w:p w14:paraId="67E4887D" w14:textId="77777777" w:rsidR="00E027AC" w:rsidRDefault="00E027AC" w:rsidP="00E027AC">
      <w:pPr>
        <w:pStyle w:val="L2JBody"/>
        <w:rPr>
          <w:shd w:val="clear" w:color="auto" w:fill="FFFFFF"/>
        </w:rPr>
      </w:pPr>
      <w:r w:rsidRPr="006368A5">
        <w:rPr>
          <w:shd w:val="clear" w:color="auto" w:fill="FFFFFF"/>
        </w:rPr>
        <w:t xml:space="preserve">I completed </w:t>
      </w:r>
      <w:r w:rsidRPr="006368A5">
        <w:rPr>
          <w:rFonts w:hint="eastAsia"/>
          <w:shd w:val="clear" w:color="auto" w:fill="FFFFFF"/>
        </w:rPr>
        <w:t xml:space="preserve">four analysis cycles in total. Specifically, Cycle 1 (summer 2023) involved </w:t>
      </w:r>
      <w:r w:rsidRPr="006368A5">
        <w:rPr>
          <w:shd w:val="clear" w:color="auto" w:fill="FFFFFF"/>
        </w:rPr>
        <w:t>familiarizing myself</w:t>
      </w:r>
      <w:r w:rsidRPr="006368A5">
        <w:rPr>
          <w:rFonts w:hint="eastAsia"/>
          <w:shd w:val="clear" w:color="auto" w:fill="FFFFFF"/>
        </w:rPr>
        <w:t xml:space="preserve"> with data </w:t>
      </w:r>
      <w:r w:rsidRPr="006368A5">
        <w:rPr>
          <w:shd w:val="clear" w:color="auto" w:fill="FFFFFF"/>
        </w:rPr>
        <w:t>and identifying</w:t>
      </w:r>
      <w:r w:rsidRPr="006368A5">
        <w:rPr>
          <w:rFonts w:hint="eastAsia"/>
          <w:shd w:val="clear" w:color="auto" w:fill="FFFFFF"/>
        </w:rPr>
        <w:t xml:space="preserve"> initial narrower codes. Based on</w:t>
      </w:r>
      <w:r w:rsidRPr="006368A5">
        <w:rPr>
          <w:shd w:val="clear" w:color="auto" w:fill="FFFFFF"/>
        </w:rPr>
        <w:t xml:space="preserve"> results</w:t>
      </w:r>
      <w:r w:rsidRPr="006368A5">
        <w:rPr>
          <w:rFonts w:hint="eastAsia"/>
          <w:shd w:val="clear" w:color="auto" w:fill="FFFFFF"/>
        </w:rPr>
        <w:t xml:space="preserve">, during Cycle 2 (fall 2023), I searched for larger and higher-level themes that could subsume lower-level codes. For example, a narrower code, </w:t>
      </w:r>
      <w:r w:rsidRPr="006368A5">
        <w:rPr>
          <w:shd w:val="clear" w:color="auto" w:fill="FFFFFF"/>
        </w:rPr>
        <w:t>“</w:t>
      </w:r>
      <w:r w:rsidRPr="006368A5">
        <w:rPr>
          <w:rFonts w:hint="eastAsia"/>
          <w:shd w:val="clear" w:color="auto" w:fill="FFFFFF"/>
        </w:rPr>
        <w:t>constructing information during writing</w:t>
      </w:r>
      <w:r w:rsidRPr="006368A5">
        <w:rPr>
          <w:shd w:val="clear" w:color="auto" w:fill="FFFFFF"/>
        </w:rPr>
        <w:t>,”</w:t>
      </w:r>
      <w:r w:rsidRPr="006368A5">
        <w:rPr>
          <w:rFonts w:hint="eastAsia"/>
          <w:shd w:val="clear" w:color="auto" w:fill="FFFFFF"/>
        </w:rPr>
        <w:t xml:space="preserve"> associated with </w:t>
      </w:r>
      <w:r w:rsidRPr="006368A5">
        <w:rPr>
          <w:u w:val="single"/>
          <w:shd w:val="clear" w:color="auto" w:fill="FFFFFF"/>
        </w:rPr>
        <w:fldChar w:fldCharType="begin"/>
      </w:r>
      <w:r w:rsidRPr="006368A5">
        <w:rPr>
          <w:u w:val="single"/>
          <w:shd w:val="clear" w:color="auto" w:fill="FFFFFF"/>
        </w:rPr>
        <w:instrText xml:space="preserve"> ADDIN ZOTERO_ITEM CSL_CITATION {"citationID":"5A1QDocn","properties":{"formattedCitation":"(Kocatepe, 2021)","plainCitation":"(Kocatepe, 2021)","dontUpdate":true,"noteIndex":0},"citationItems":[{"id":1613,"uris":["http://zotero.org/users/9207091/items/8IFVDI8V"],"itemData":{"id":1613,"type":"article-journal","abstract":"This paper seeks to problematise the concept of finding information in EAP (English for Academic Purposes) writing programs. Drawing on the experiences of a group of female Emirati under­ graduate students in an academic writing class in the United Arab Emirates, the paper argues that the act of finding information is not straightforward or universal, but is a social construction. Through the theoretical lens of activity theory (Engestro¨m, 1987; Leont’ev, 1981/2009), the paper presents the view that information is constructed as a goal oriented, socially situated ac­ tivity mediated by physical and symbolic artefacts. The present study examined the types of mediating artefacts students used as they constructed information and the tensions and contra­ dictions they experienced as they did so. Data collected via screen capture recordings, student reflections and interviews suggested that students constructed information by drawing on Dis­ courses of being proficient Internet users, local Discourses of truth and the norms and assump­ tions underpinning the academic writing class they were enrolled in. The findings of the study are significant in shaping the reading-to-write processes and practices of EAP writing pedagogy.","container-title":"Journal of English for Academic Purposes","DOI":"10.1016/j.jeap.2021.101042","ISSN":"14751585","journalAbbreviation":"Journal of English for Academic Purposes","language":"en","page":"101042","source":"DOI.org (Crossref)","title":"Reconceptualising the notion of finding information: How undergraduate students construct information as they read-to-write in an academic writing class","title-short":"Reconceptualising the notion of finding information","volume":"54","author":[{"family":"Kocatepe","given":"Mehtap"}],"issued":{"date-parts":[["2021",11]]}}}],"schema":"https://github.com/citation-style-language/schema/raw/master/csl-citation.json"} </w:instrText>
      </w:r>
      <w:r w:rsidRPr="006368A5">
        <w:rPr>
          <w:u w:val="single"/>
          <w:shd w:val="clear" w:color="auto" w:fill="FFFFFF"/>
        </w:rPr>
        <w:fldChar w:fldCharType="separate"/>
      </w:r>
      <w:proofErr w:type="spellStart"/>
      <w:r w:rsidRPr="006368A5">
        <w:rPr>
          <w:rFonts w:cs="Times New Roman"/>
        </w:rPr>
        <w:t>Kocatepe</w:t>
      </w:r>
      <w:proofErr w:type="spellEnd"/>
      <w:r w:rsidRPr="006368A5">
        <w:rPr>
          <w:rFonts w:cs="Times New Roman"/>
        </w:rPr>
        <w:t xml:space="preserve"> </w:t>
      </w:r>
      <w:r w:rsidRPr="006368A5">
        <w:rPr>
          <w:rFonts w:cs="Times New Roman" w:hint="eastAsia"/>
        </w:rPr>
        <w:t>(</w:t>
      </w:r>
      <w:r w:rsidRPr="006368A5">
        <w:rPr>
          <w:rFonts w:cs="Times New Roman"/>
        </w:rPr>
        <w:t>2021)</w:t>
      </w:r>
      <w:r w:rsidRPr="006368A5">
        <w:rPr>
          <w:u w:val="single"/>
          <w:shd w:val="clear" w:color="auto" w:fill="FFFFFF"/>
        </w:rPr>
        <w:fldChar w:fldCharType="end"/>
      </w:r>
      <w:r w:rsidRPr="006368A5">
        <w:rPr>
          <w:rFonts w:hint="eastAsia"/>
          <w:shd w:val="clear" w:color="auto" w:fill="FFFFFF"/>
        </w:rPr>
        <w:t>, was subsumed into a larger theme</w:t>
      </w:r>
      <w:r w:rsidRPr="006368A5">
        <w:rPr>
          <w:shd w:val="clear" w:color="auto" w:fill="FFFFFF"/>
        </w:rPr>
        <w:t>,</w:t>
      </w:r>
      <w:r w:rsidRPr="006368A5">
        <w:rPr>
          <w:rFonts w:hint="eastAsia"/>
          <w:shd w:val="clear" w:color="auto" w:fill="FFFFFF"/>
        </w:rPr>
        <w:t xml:space="preserve"> </w:t>
      </w:r>
      <w:r w:rsidRPr="006368A5">
        <w:rPr>
          <w:shd w:val="clear" w:color="auto" w:fill="FFFFFF"/>
        </w:rPr>
        <w:t>“</w:t>
      </w:r>
      <w:r w:rsidRPr="006368A5">
        <w:rPr>
          <w:rFonts w:hint="eastAsia"/>
          <w:shd w:val="clear" w:color="auto" w:fill="FFFFFF"/>
        </w:rPr>
        <w:t>composing process.</w:t>
      </w:r>
      <w:r w:rsidRPr="006368A5">
        <w:rPr>
          <w:shd w:val="clear" w:color="auto" w:fill="FFFFFF"/>
        </w:rPr>
        <w:t>”</w:t>
      </w:r>
      <w:r w:rsidRPr="006368A5">
        <w:rPr>
          <w:rFonts w:hint="eastAsia"/>
          <w:shd w:val="clear" w:color="auto" w:fill="FFFFFF"/>
        </w:rPr>
        <w:t xml:space="preserve"> </w:t>
      </w:r>
      <w:r w:rsidRPr="006368A5">
        <w:rPr>
          <w:shd w:val="clear" w:color="auto" w:fill="FFFFFF"/>
        </w:rPr>
        <w:t xml:space="preserve">In </w:t>
      </w:r>
      <w:r w:rsidRPr="006368A5">
        <w:rPr>
          <w:rFonts w:hint="eastAsia"/>
          <w:shd w:val="clear" w:color="auto" w:fill="FFFFFF"/>
        </w:rPr>
        <w:t xml:space="preserve">Cycle 3 (spring 2024) </w:t>
      </w:r>
      <w:r w:rsidRPr="006368A5">
        <w:rPr>
          <w:shd w:val="clear" w:color="auto" w:fill="FFFFFF"/>
        </w:rPr>
        <w:t>I</w:t>
      </w:r>
      <w:r w:rsidRPr="006368A5">
        <w:rPr>
          <w:rFonts w:hint="eastAsia"/>
          <w:shd w:val="clear" w:color="auto" w:fill="FFFFFF"/>
        </w:rPr>
        <w:t xml:space="preserve"> check</w:t>
      </w:r>
      <w:r w:rsidRPr="006368A5">
        <w:rPr>
          <w:shd w:val="clear" w:color="auto" w:fill="FFFFFF"/>
        </w:rPr>
        <w:t>ed</w:t>
      </w:r>
      <w:r w:rsidRPr="006368A5">
        <w:rPr>
          <w:rFonts w:hint="eastAsia"/>
          <w:shd w:val="clear" w:color="auto" w:fill="FFFFFF"/>
        </w:rPr>
        <w:t xml:space="preserve"> the accuracy of all previously inserted codes for consistency and refin</w:t>
      </w:r>
      <w:r w:rsidRPr="006368A5">
        <w:rPr>
          <w:shd w:val="clear" w:color="auto" w:fill="FFFFFF"/>
        </w:rPr>
        <w:t>ed</w:t>
      </w:r>
      <w:r w:rsidRPr="006368A5">
        <w:rPr>
          <w:rFonts w:hint="eastAsia"/>
          <w:shd w:val="clear" w:color="auto" w:fill="FFFFFF"/>
        </w:rPr>
        <w:t xml:space="preserve"> the names of themes, result</w:t>
      </w:r>
      <w:r w:rsidRPr="006368A5">
        <w:rPr>
          <w:shd w:val="clear" w:color="auto" w:fill="FFFFFF"/>
        </w:rPr>
        <w:t>ing</w:t>
      </w:r>
      <w:r w:rsidRPr="006368A5">
        <w:rPr>
          <w:rFonts w:hint="eastAsia"/>
          <w:shd w:val="clear" w:color="auto" w:fill="FFFFFF"/>
        </w:rPr>
        <w:t xml:space="preserve"> in 13 drafts. </w:t>
      </w:r>
      <w:r w:rsidRPr="006368A5">
        <w:rPr>
          <w:shd w:val="clear" w:color="auto" w:fill="FFFFFF"/>
        </w:rPr>
        <w:t>Once I detected</w:t>
      </w:r>
      <w:r w:rsidRPr="006368A5">
        <w:rPr>
          <w:rFonts w:hint="eastAsia"/>
          <w:shd w:val="clear" w:color="auto" w:fill="FFFFFF"/>
        </w:rPr>
        <w:t xml:space="preserve"> insufficient details provided by some studies regarding research methods, I reached out to some authors to </w:t>
      </w:r>
      <w:r w:rsidRPr="006368A5">
        <w:rPr>
          <w:shd w:val="clear" w:color="auto" w:fill="FFFFFF"/>
        </w:rPr>
        <w:t>cross</w:t>
      </w:r>
      <w:r w:rsidRPr="006368A5">
        <w:rPr>
          <w:rFonts w:hint="eastAsia"/>
          <w:shd w:val="clear" w:color="auto" w:fill="FFFFFF"/>
        </w:rPr>
        <w:t xml:space="preserve">-check and updated the </w:t>
      </w:r>
      <w:r w:rsidRPr="006368A5">
        <w:rPr>
          <w:shd w:val="clear" w:color="auto" w:fill="FFFFFF"/>
        </w:rPr>
        <w:t>information</w:t>
      </w:r>
      <w:r w:rsidRPr="006368A5">
        <w:rPr>
          <w:rFonts w:hint="eastAsia"/>
          <w:shd w:val="clear" w:color="auto" w:fill="FFFFFF"/>
        </w:rPr>
        <w:t xml:space="preserve"> in </w:t>
      </w:r>
      <w:r w:rsidRPr="006368A5">
        <w:rPr>
          <w:shd w:val="clear" w:color="auto" w:fill="FFFFFF"/>
        </w:rPr>
        <w:t>an</w:t>
      </w:r>
      <w:r w:rsidRPr="006368A5">
        <w:rPr>
          <w:rFonts w:hint="eastAsia"/>
          <w:shd w:val="clear" w:color="auto" w:fill="FFFFFF"/>
        </w:rPr>
        <w:t xml:space="preserve"> </w:t>
      </w:r>
      <w:r w:rsidRPr="006368A5">
        <w:rPr>
          <w:shd w:val="clear" w:color="auto" w:fill="FFFFFF"/>
        </w:rPr>
        <w:t>E</w:t>
      </w:r>
      <w:r w:rsidRPr="006368A5">
        <w:rPr>
          <w:rFonts w:hint="eastAsia"/>
          <w:shd w:val="clear" w:color="auto" w:fill="FFFFFF"/>
        </w:rPr>
        <w:t xml:space="preserve">xcel spreadsheet accordingly.  Between Cycles 3 and 4, </w:t>
      </w:r>
      <w:r w:rsidRPr="006368A5">
        <w:rPr>
          <w:shd w:val="clear" w:color="auto" w:fill="FFFFFF"/>
        </w:rPr>
        <w:t xml:space="preserve">I added </w:t>
      </w:r>
      <w:r w:rsidRPr="006368A5">
        <w:rPr>
          <w:rFonts w:hint="eastAsia"/>
          <w:shd w:val="clear" w:color="auto" w:fill="FFFFFF"/>
        </w:rPr>
        <w:t xml:space="preserve">new studies to ensure the current study </w:t>
      </w:r>
      <w:r w:rsidRPr="006368A5">
        <w:rPr>
          <w:shd w:val="clear" w:color="auto" w:fill="FFFFFF"/>
        </w:rPr>
        <w:t>wa</w:t>
      </w:r>
      <w:r w:rsidRPr="006368A5">
        <w:rPr>
          <w:rFonts w:hint="eastAsia"/>
          <w:shd w:val="clear" w:color="auto" w:fill="FFFFFF"/>
        </w:rPr>
        <w:t xml:space="preserve">s not outdated. Hence, Cycle 4 involved generating or selecting codes for the newly added studies and rechecking the entire codes thoroughly, which </w:t>
      </w:r>
      <w:r w:rsidRPr="006368A5">
        <w:rPr>
          <w:shd w:val="clear" w:color="auto" w:fill="FFFFFF"/>
        </w:rPr>
        <w:t>involved</w:t>
      </w:r>
      <w:r w:rsidRPr="006368A5">
        <w:rPr>
          <w:rFonts w:hint="eastAsia"/>
          <w:shd w:val="clear" w:color="auto" w:fill="FFFFFF"/>
        </w:rPr>
        <w:t xml:space="preserve"> 54 attempts. This led to the addition of new codes</w:t>
      </w:r>
      <w:r w:rsidRPr="006368A5">
        <w:rPr>
          <w:shd w:val="clear" w:color="auto" w:fill="FFFFFF"/>
        </w:rPr>
        <w:t>,</w:t>
      </w:r>
      <w:r w:rsidRPr="006368A5">
        <w:rPr>
          <w:rFonts w:hint="eastAsia"/>
          <w:shd w:val="clear" w:color="auto" w:fill="FFFFFF"/>
        </w:rPr>
        <w:t xml:space="preserve"> such as </w:t>
      </w:r>
      <w:r w:rsidRPr="006368A5">
        <w:rPr>
          <w:shd w:val="clear" w:color="auto" w:fill="FFFFFF"/>
        </w:rPr>
        <w:t>“</w:t>
      </w:r>
      <w:r w:rsidRPr="006368A5">
        <w:rPr>
          <w:rFonts w:hint="eastAsia"/>
          <w:shd w:val="clear" w:color="auto" w:fill="FFFFFF"/>
        </w:rPr>
        <w:t>translingual composing</w:t>
      </w:r>
      <w:r w:rsidRPr="006368A5">
        <w:rPr>
          <w:shd w:val="clear" w:color="auto" w:fill="FFFFFF"/>
        </w:rPr>
        <w:t>”</w:t>
      </w:r>
      <w:r w:rsidRPr="006368A5">
        <w:rPr>
          <w:rFonts w:hint="eastAsia"/>
          <w:shd w:val="clear" w:color="auto" w:fill="FFFFFF"/>
        </w:rPr>
        <w:t xml:space="preserve"> and </w:t>
      </w:r>
      <w:r w:rsidRPr="006368A5">
        <w:rPr>
          <w:shd w:val="clear" w:color="auto" w:fill="FFFFFF"/>
        </w:rPr>
        <w:t>“</w:t>
      </w:r>
      <w:r w:rsidRPr="006368A5">
        <w:rPr>
          <w:rFonts w:hint="eastAsia"/>
          <w:shd w:val="clear" w:color="auto" w:fill="FFFFFF"/>
        </w:rPr>
        <w:t>stance</w:t>
      </w:r>
      <w:r w:rsidRPr="006368A5">
        <w:rPr>
          <w:shd w:val="clear" w:color="auto" w:fill="FFFFFF"/>
        </w:rPr>
        <w:t>.”</w:t>
      </w:r>
      <w:r w:rsidRPr="006368A5">
        <w:rPr>
          <w:rFonts w:hint="eastAsia"/>
          <w:shd w:val="clear" w:color="auto" w:fill="FFFFFF"/>
        </w:rPr>
        <w:t xml:space="preserve">  Each cycle was always followed by an iterative checking process to confirm the inserted data multiple times. </w:t>
      </w:r>
      <w:r w:rsidRPr="006368A5">
        <w:rPr>
          <w:shd w:val="clear" w:color="auto" w:fill="FFFFFF"/>
        </w:rPr>
        <w:t>Finally, to ensure that the coded data were accurate, I performed a randomized final check on half the studies</w:t>
      </w:r>
      <w:r w:rsidRPr="006368A5">
        <w:rPr>
          <w:rFonts w:hint="eastAsia"/>
          <w:shd w:val="clear" w:color="auto" w:fill="FFFFFF"/>
        </w:rPr>
        <w:t xml:space="preserve"> (</w:t>
      </w:r>
      <w:r w:rsidRPr="006368A5">
        <w:rPr>
          <w:shd w:val="clear" w:color="auto" w:fill="FFFFFF"/>
        </w:rPr>
        <w:t>n=46</w:t>
      </w:r>
      <w:r w:rsidRPr="006368A5">
        <w:rPr>
          <w:rFonts w:hint="eastAsia"/>
          <w:shd w:val="clear" w:color="auto" w:fill="FFFFFF"/>
        </w:rPr>
        <w:t xml:space="preserve">). </w:t>
      </w:r>
      <w:r w:rsidRPr="006368A5">
        <w:rPr>
          <w:shd w:val="clear" w:color="auto" w:fill="FFFFFF"/>
        </w:rPr>
        <w:t>Based on thematic units from the data, I created analytical notes</w:t>
      </w:r>
      <w:r w:rsidRPr="006368A5">
        <w:rPr>
          <w:rFonts w:hint="eastAsia"/>
          <w:shd w:val="clear" w:color="auto" w:fill="FFFFFF"/>
        </w:rPr>
        <w:t>,</w:t>
      </w:r>
      <w:r w:rsidRPr="006368A5">
        <w:rPr>
          <w:shd w:val="clear" w:color="auto" w:fill="FFFFFF"/>
        </w:rPr>
        <w:t xml:space="preserve"> </w:t>
      </w:r>
      <w:r w:rsidRPr="006368A5">
        <w:rPr>
          <w:rFonts w:hint="eastAsia"/>
          <w:shd w:val="clear" w:color="auto" w:fill="FFFFFF"/>
        </w:rPr>
        <w:t>which</w:t>
      </w:r>
      <w:r w:rsidRPr="006368A5">
        <w:rPr>
          <w:shd w:val="clear" w:color="auto" w:fill="FFFFFF"/>
        </w:rPr>
        <w:t xml:space="preserve"> became the basis for the findings section of this paper. </w:t>
      </w:r>
    </w:p>
    <w:p w14:paraId="02C94236" w14:textId="77777777" w:rsidR="00E027AC" w:rsidRPr="006368A5" w:rsidRDefault="00E027AC" w:rsidP="00E027AC">
      <w:pPr>
        <w:pStyle w:val="L2JBody"/>
        <w:rPr>
          <w:shd w:val="clear" w:color="auto" w:fill="FFFFFF"/>
        </w:rPr>
      </w:pPr>
    </w:p>
    <w:p w14:paraId="4555118E" w14:textId="73BE2123" w:rsidR="00E027AC" w:rsidRDefault="00E027AC" w:rsidP="00E027AC">
      <w:pPr>
        <w:pStyle w:val="L2JH1"/>
        <w:rPr>
          <w:shd w:val="clear" w:color="auto" w:fill="FFFFFF"/>
        </w:rPr>
      </w:pPr>
      <w:r w:rsidRPr="006368A5">
        <w:rPr>
          <w:shd w:val="clear" w:color="auto" w:fill="FFFFFF"/>
        </w:rPr>
        <w:t>FINDINGS</w:t>
      </w:r>
    </w:p>
    <w:p w14:paraId="661C8BA7" w14:textId="77777777" w:rsidR="00E027AC" w:rsidRDefault="00E027AC" w:rsidP="00E027AC">
      <w:pPr>
        <w:pStyle w:val="L2JBody"/>
        <w:ind w:firstLine="0"/>
        <w:rPr>
          <w:shd w:val="clear" w:color="auto" w:fill="FFFFFF"/>
        </w:rPr>
      </w:pPr>
    </w:p>
    <w:p w14:paraId="73D1BC7E" w14:textId="70266EF1" w:rsidR="00E027AC" w:rsidRDefault="00E027AC" w:rsidP="00E027AC">
      <w:pPr>
        <w:pStyle w:val="L2JBody"/>
        <w:ind w:firstLine="0"/>
        <w:rPr>
          <w:shd w:val="clear" w:color="auto" w:fill="FFFFFF"/>
        </w:rPr>
      </w:pPr>
      <w:r w:rsidRPr="006368A5">
        <w:rPr>
          <w:rFonts w:hint="eastAsia"/>
          <w:shd w:val="clear" w:color="auto" w:fill="FFFFFF"/>
        </w:rPr>
        <w:t>This section</w:t>
      </w:r>
      <w:r w:rsidRPr="006368A5">
        <w:rPr>
          <w:shd w:val="clear" w:color="auto" w:fill="FFFFFF"/>
        </w:rPr>
        <w:t>, which</w:t>
      </w:r>
      <w:r w:rsidRPr="006368A5">
        <w:rPr>
          <w:rFonts w:hint="eastAsia"/>
          <w:shd w:val="clear" w:color="auto" w:fill="FFFFFF"/>
        </w:rPr>
        <w:t xml:space="preserve"> illustrates the findings of the review, is organized into the following subsections. The first s</w:t>
      </w:r>
      <w:r w:rsidRPr="006368A5">
        <w:rPr>
          <w:shd w:val="clear" w:color="auto" w:fill="FFFFFF"/>
        </w:rPr>
        <w:t xml:space="preserve">ection </w:t>
      </w:r>
      <w:r w:rsidRPr="006368A5">
        <w:rPr>
          <w:rFonts w:hint="eastAsia"/>
          <w:shd w:val="clear" w:color="auto" w:fill="FFFFFF"/>
        </w:rPr>
        <w:t xml:space="preserve">addresses </w:t>
      </w:r>
      <w:r w:rsidRPr="006368A5">
        <w:rPr>
          <w:shd w:val="clear" w:color="auto" w:fill="FFFFFF"/>
        </w:rPr>
        <w:t xml:space="preserve">RQ 1 on the </w:t>
      </w:r>
      <w:r w:rsidRPr="006368A5">
        <w:rPr>
          <w:rFonts w:hint="eastAsia"/>
          <w:shd w:val="clear" w:color="auto" w:fill="FFFFFF"/>
        </w:rPr>
        <w:t xml:space="preserve">geographical context (e.g., countries and continents) and educational level (e.g., university) in which </w:t>
      </w:r>
      <w:r w:rsidRPr="006368A5">
        <w:rPr>
          <w:shd w:val="clear" w:color="auto" w:fill="FFFFFF"/>
        </w:rPr>
        <w:t xml:space="preserve">the </w:t>
      </w:r>
      <w:r w:rsidRPr="006368A5">
        <w:rPr>
          <w:rFonts w:hint="eastAsia"/>
          <w:shd w:val="clear" w:color="auto" w:fill="FFFFFF"/>
        </w:rPr>
        <w:t xml:space="preserve">research </w:t>
      </w:r>
      <w:r w:rsidRPr="006368A5">
        <w:rPr>
          <w:shd w:val="clear" w:color="auto" w:fill="FFFFFF"/>
        </w:rPr>
        <w:t xml:space="preserve">on </w:t>
      </w:r>
      <w:r w:rsidRPr="006368A5">
        <w:rPr>
          <w:rFonts w:hint="eastAsia"/>
          <w:shd w:val="clear" w:color="auto" w:fill="FFFFFF"/>
        </w:rPr>
        <w:t>synthesis writing</w:t>
      </w:r>
      <w:r w:rsidRPr="006368A5">
        <w:rPr>
          <w:shd w:val="clear" w:color="auto" w:fill="FFFFFF"/>
        </w:rPr>
        <w:t xml:space="preserve"> was</w:t>
      </w:r>
      <w:r w:rsidRPr="006368A5">
        <w:rPr>
          <w:rFonts w:hint="eastAsia"/>
          <w:shd w:val="clear" w:color="auto" w:fill="FFFFFF"/>
        </w:rPr>
        <w:t xml:space="preserve"> conducted</w:t>
      </w:r>
      <w:r w:rsidRPr="006368A5">
        <w:rPr>
          <w:shd w:val="clear" w:color="auto" w:fill="FFFFFF"/>
        </w:rPr>
        <w:t xml:space="preserve">; participants’ characteristics are also included. </w:t>
      </w:r>
      <w:r w:rsidRPr="006368A5">
        <w:rPr>
          <w:rFonts w:hint="eastAsia"/>
          <w:shd w:val="clear" w:color="auto" w:fill="FFFFFF"/>
        </w:rPr>
        <w:t xml:space="preserve">The </w:t>
      </w:r>
      <w:r w:rsidRPr="006368A5">
        <w:rPr>
          <w:shd w:val="clear" w:color="auto" w:fill="FFFFFF"/>
        </w:rPr>
        <w:t>second</w:t>
      </w:r>
      <w:r w:rsidRPr="006368A5">
        <w:rPr>
          <w:rFonts w:hint="eastAsia"/>
          <w:shd w:val="clear" w:color="auto" w:fill="FFFFFF"/>
        </w:rPr>
        <w:t xml:space="preserve"> section </w:t>
      </w:r>
      <w:r w:rsidRPr="006368A5">
        <w:rPr>
          <w:shd w:val="clear" w:color="auto" w:fill="FFFFFF"/>
        </w:rPr>
        <w:t>presents the</w:t>
      </w:r>
      <w:r w:rsidRPr="006368A5">
        <w:rPr>
          <w:rFonts w:hint="eastAsia"/>
          <w:shd w:val="clear" w:color="auto" w:fill="FFFFFF"/>
        </w:rPr>
        <w:t xml:space="preserve"> theoretical backgrounds </w:t>
      </w:r>
      <w:r w:rsidRPr="006368A5">
        <w:rPr>
          <w:shd w:val="clear" w:color="auto" w:fill="FFFFFF"/>
        </w:rPr>
        <w:t>adopted</w:t>
      </w:r>
      <w:r w:rsidRPr="006368A5">
        <w:rPr>
          <w:rFonts w:hint="eastAsia"/>
          <w:shd w:val="clear" w:color="auto" w:fill="FFFFFF"/>
        </w:rPr>
        <w:t xml:space="preserve"> by the </w:t>
      </w:r>
      <w:r w:rsidRPr="006368A5">
        <w:rPr>
          <w:shd w:val="clear" w:color="auto" w:fill="FFFFFF"/>
        </w:rPr>
        <w:t xml:space="preserve">researchers whose work was </w:t>
      </w:r>
      <w:r w:rsidRPr="006368A5">
        <w:rPr>
          <w:rFonts w:hint="eastAsia"/>
          <w:shd w:val="clear" w:color="auto" w:fill="FFFFFF"/>
        </w:rPr>
        <w:t xml:space="preserve">included </w:t>
      </w:r>
      <w:r w:rsidRPr="006368A5">
        <w:rPr>
          <w:shd w:val="clear" w:color="auto" w:fill="FFFFFF"/>
        </w:rPr>
        <w:t>(RQ 2),</w:t>
      </w:r>
      <w:r w:rsidRPr="006368A5">
        <w:rPr>
          <w:rFonts w:hint="eastAsia"/>
          <w:shd w:val="clear" w:color="auto" w:fill="FFFFFF"/>
        </w:rPr>
        <w:t xml:space="preserve"> followed by </w:t>
      </w:r>
      <w:r w:rsidRPr="006368A5">
        <w:rPr>
          <w:shd w:val="clear" w:color="auto" w:fill="FFFFFF"/>
        </w:rPr>
        <w:t>a</w:t>
      </w:r>
      <w:r w:rsidRPr="006368A5">
        <w:rPr>
          <w:rFonts w:hint="eastAsia"/>
          <w:shd w:val="clear" w:color="auto" w:fill="FFFFFF"/>
        </w:rPr>
        <w:t xml:space="preserve"> discussion of research methodologies</w:t>
      </w:r>
      <w:r w:rsidRPr="006368A5">
        <w:rPr>
          <w:shd w:val="clear" w:color="auto" w:fill="FFFFFF"/>
        </w:rPr>
        <w:t>,</w:t>
      </w:r>
      <w:r w:rsidRPr="006368A5">
        <w:rPr>
          <w:rFonts w:hint="eastAsia"/>
          <w:shd w:val="clear" w:color="auto" w:fill="FFFFFF"/>
        </w:rPr>
        <w:t xml:space="preserve"> including </w:t>
      </w:r>
      <w:r w:rsidRPr="006368A5">
        <w:rPr>
          <w:shd w:val="clear" w:color="auto" w:fill="FFFFFF"/>
        </w:rPr>
        <w:t>research</w:t>
      </w:r>
      <w:r w:rsidRPr="006368A5">
        <w:rPr>
          <w:rFonts w:hint="eastAsia"/>
          <w:shd w:val="clear" w:color="auto" w:fill="FFFFFF"/>
        </w:rPr>
        <w:t xml:space="preserve"> duration and data </w:t>
      </w:r>
      <w:r w:rsidRPr="006368A5">
        <w:rPr>
          <w:rFonts w:hint="eastAsia"/>
          <w:shd w:val="clear" w:color="auto" w:fill="FFFFFF"/>
        </w:rPr>
        <w:lastRenderedPageBreak/>
        <w:t>sources</w:t>
      </w:r>
      <w:r w:rsidRPr="006368A5">
        <w:rPr>
          <w:shd w:val="clear" w:color="auto" w:fill="FFFFFF"/>
        </w:rPr>
        <w:t xml:space="preserve"> (RQ 3) in the third section</w:t>
      </w:r>
      <w:r w:rsidRPr="006368A5">
        <w:rPr>
          <w:rFonts w:hint="eastAsia"/>
          <w:shd w:val="clear" w:color="auto" w:fill="FFFFFF"/>
        </w:rPr>
        <w:t>. Last</w:t>
      </w:r>
      <w:r w:rsidRPr="006368A5">
        <w:rPr>
          <w:shd w:val="clear" w:color="auto" w:fill="FFFFFF"/>
        </w:rPr>
        <w:t>,</w:t>
      </w:r>
      <w:r w:rsidRPr="006368A5">
        <w:rPr>
          <w:rFonts w:hint="eastAsia"/>
          <w:shd w:val="clear" w:color="auto" w:fill="FFFFFF"/>
        </w:rPr>
        <w:t xml:space="preserve"> the findings of key areas in synthesis writing are discussed thematically</w:t>
      </w:r>
      <w:r w:rsidRPr="006368A5">
        <w:rPr>
          <w:shd w:val="clear" w:color="auto" w:fill="FFFFFF"/>
        </w:rPr>
        <w:t xml:space="preserve"> (RQ 4) in the fourth section</w:t>
      </w:r>
      <w:r w:rsidRPr="006368A5">
        <w:rPr>
          <w:rFonts w:hint="eastAsia"/>
          <w:shd w:val="clear" w:color="auto" w:fill="FFFFFF"/>
        </w:rPr>
        <w:t>.</w:t>
      </w:r>
    </w:p>
    <w:p w14:paraId="411FB96C" w14:textId="77777777" w:rsidR="00E027AC" w:rsidRPr="00E027AC" w:rsidRDefault="00E027AC" w:rsidP="00E027AC">
      <w:pPr>
        <w:pStyle w:val="L2JBody"/>
        <w:ind w:firstLine="0"/>
        <w:rPr>
          <w:shd w:val="clear" w:color="auto" w:fill="FFFFFF"/>
        </w:rPr>
      </w:pPr>
    </w:p>
    <w:p w14:paraId="179F395A" w14:textId="619B2DE4" w:rsidR="00E027AC" w:rsidRDefault="00E027AC" w:rsidP="00E027AC">
      <w:pPr>
        <w:pStyle w:val="L2JH2"/>
        <w:rPr>
          <w:shd w:val="clear" w:color="auto" w:fill="FFFFFF"/>
        </w:rPr>
      </w:pPr>
      <w:r w:rsidRPr="006368A5">
        <w:rPr>
          <w:shd w:val="clear" w:color="auto" w:fill="FFFFFF"/>
        </w:rPr>
        <w:t>R</w:t>
      </w:r>
      <w:r w:rsidRPr="006368A5">
        <w:rPr>
          <w:rFonts w:hint="eastAsia"/>
          <w:shd w:val="clear" w:color="auto" w:fill="FFFFFF"/>
        </w:rPr>
        <w:t>Q</w:t>
      </w:r>
      <w:r w:rsidRPr="006368A5">
        <w:rPr>
          <w:shd w:val="clear" w:color="auto" w:fill="FFFFFF"/>
        </w:rPr>
        <w:t xml:space="preserve"> 1: </w:t>
      </w:r>
      <w:r w:rsidRPr="006368A5">
        <w:rPr>
          <w:rFonts w:hint="eastAsia"/>
          <w:shd w:val="clear" w:color="auto" w:fill="FFFFFF"/>
        </w:rPr>
        <w:t xml:space="preserve">Research </w:t>
      </w:r>
      <w:r w:rsidRPr="006368A5">
        <w:rPr>
          <w:shd w:val="clear" w:color="auto" w:fill="FFFFFF"/>
        </w:rPr>
        <w:t>Contexts</w:t>
      </w:r>
    </w:p>
    <w:p w14:paraId="5E7D78E8" w14:textId="77777777" w:rsidR="00E027AC" w:rsidRDefault="00E027AC" w:rsidP="00E027AC">
      <w:pPr>
        <w:pStyle w:val="L2JH3"/>
        <w:rPr>
          <w:shd w:val="clear" w:color="auto" w:fill="FFFFFF"/>
        </w:rPr>
      </w:pPr>
    </w:p>
    <w:p w14:paraId="38DFCD05" w14:textId="598F0346" w:rsidR="00E027AC" w:rsidRPr="006368A5" w:rsidRDefault="00E027AC" w:rsidP="00E027AC">
      <w:pPr>
        <w:pStyle w:val="L2JH3"/>
        <w:rPr>
          <w:shd w:val="clear" w:color="auto" w:fill="FFFFFF"/>
        </w:rPr>
      </w:pPr>
      <w:r>
        <w:rPr>
          <w:shd w:val="clear" w:color="auto" w:fill="FFFFFF"/>
        </w:rPr>
        <w:t>G</w:t>
      </w:r>
      <w:r w:rsidRPr="006368A5">
        <w:rPr>
          <w:shd w:val="clear" w:color="auto" w:fill="FFFFFF"/>
        </w:rPr>
        <w:t>eographical Context</w:t>
      </w:r>
    </w:p>
    <w:p w14:paraId="63680889" w14:textId="77777777" w:rsidR="00E027AC" w:rsidRDefault="00E027AC" w:rsidP="00E027AC">
      <w:pPr>
        <w:pStyle w:val="L2JBody"/>
        <w:ind w:firstLine="0"/>
        <w:rPr>
          <w:shd w:val="clear" w:color="auto" w:fill="FFFFFF"/>
        </w:rPr>
      </w:pPr>
    </w:p>
    <w:p w14:paraId="3F34E0D7" w14:textId="268F38F6" w:rsidR="00E027AC" w:rsidRDefault="00E027AC" w:rsidP="00E027AC">
      <w:pPr>
        <w:pStyle w:val="L2JBody"/>
        <w:ind w:firstLine="0"/>
        <w:rPr>
          <w:shd w:val="clear" w:color="auto" w:fill="FFFFFF"/>
        </w:rPr>
      </w:pPr>
      <w:r w:rsidRPr="006368A5">
        <w:rPr>
          <w:shd w:val="clear" w:color="auto" w:fill="FFFFFF"/>
        </w:rPr>
        <w:t>M</w:t>
      </w:r>
      <w:r w:rsidRPr="006368A5">
        <w:rPr>
          <w:rFonts w:hint="eastAsia"/>
          <w:shd w:val="clear" w:color="auto" w:fill="FFFFFF"/>
        </w:rPr>
        <w:t xml:space="preserve">ost </w:t>
      </w:r>
      <w:r w:rsidRPr="006368A5">
        <w:rPr>
          <w:shd w:val="clear" w:color="auto" w:fill="FFFFFF"/>
        </w:rPr>
        <w:t>research</w:t>
      </w:r>
      <w:r w:rsidRPr="006368A5">
        <w:rPr>
          <w:rFonts w:hint="eastAsia"/>
          <w:shd w:val="clear" w:color="auto" w:fill="FFFFFF"/>
        </w:rPr>
        <w:t xml:space="preserve"> </w:t>
      </w:r>
      <w:r w:rsidRPr="006368A5">
        <w:rPr>
          <w:shd w:val="clear" w:color="auto" w:fill="FFFFFF"/>
        </w:rPr>
        <w:t xml:space="preserve">on </w:t>
      </w:r>
      <w:r w:rsidRPr="006368A5">
        <w:rPr>
          <w:rFonts w:hint="eastAsia"/>
          <w:shd w:val="clear" w:color="auto" w:fill="FFFFFF"/>
        </w:rPr>
        <w:t xml:space="preserve">synthesis writing </w:t>
      </w:r>
      <w:r w:rsidRPr="006368A5">
        <w:rPr>
          <w:shd w:val="clear" w:color="auto" w:fill="FFFFFF"/>
        </w:rPr>
        <w:t>covered in this review was</w:t>
      </w:r>
      <w:r w:rsidRPr="006368A5">
        <w:rPr>
          <w:rFonts w:hint="eastAsia"/>
          <w:shd w:val="clear" w:color="auto" w:fill="FFFFFF"/>
        </w:rPr>
        <w:t xml:space="preserve"> conducted in </w:t>
      </w:r>
      <w:r w:rsidRPr="006368A5">
        <w:rPr>
          <w:shd w:val="clear" w:color="auto" w:fill="FFFFFF"/>
        </w:rPr>
        <w:t>North America</w:t>
      </w:r>
      <w:r w:rsidRPr="006368A5">
        <w:rPr>
          <w:rFonts w:hint="eastAsia"/>
          <w:shd w:val="clear" w:color="auto" w:fill="FFFFFF"/>
        </w:rPr>
        <w:t xml:space="preserve">, followed by Asia, Europe, and Oceania (see Table 2). </w:t>
      </w:r>
      <w:r w:rsidRPr="006368A5">
        <w:rPr>
          <w:shd w:val="clear" w:color="auto" w:fill="FFFFFF"/>
        </w:rPr>
        <w:t xml:space="preserve"> Despite</w:t>
      </w:r>
      <w:r w:rsidRPr="006368A5">
        <w:rPr>
          <w:rFonts w:hint="eastAsia"/>
          <w:shd w:val="clear" w:color="auto" w:fill="FFFFFF"/>
        </w:rPr>
        <w:t xml:space="preserve"> </w:t>
      </w:r>
      <w:r w:rsidRPr="006368A5">
        <w:rPr>
          <w:shd w:val="clear" w:color="auto" w:fill="FFFFFF"/>
        </w:rPr>
        <w:t xml:space="preserve">the adoption of </w:t>
      </w:r>
      <w:r w:rsidRPr="006368A5">
        <w:rPr>
          <w:rFonts w:hint="eastAsia"/>
          <w:shd w:val="clear" w:color="auto" w:fill="FFFFFF"/>
        </w:rPr>
        <w:t xml:space="preserve">English as an official language </w:t>
      </w:r>
      <w:r w:rsidRPr="006368A5">
        <w:rPr>
          <w:shd w:val="clear" w:color="auto" w:fill="FFFFFF"/>
        </w:rPr>
        <w:t xml:space="preserve">in </w:t>
      </w:r>
      <w:r w:rsidRPr="006368A5">
        <w:rPr>
          <w:rFonts w:hint="eastAsia"/>
          <w:shd w:val="clear" w:color="auto" w:fill="FFFFFF"/>
        </w:rPr>
        <w:t xml:space="preserve">many </w:t>
      </w:r>
      <w:r w:rsidRPr="006368A5">
        <w:rPr>
          <w:shd w:val="clear" w:color="auto" w:fill="FFFFFF"/>
        </w:rPr>
        <w:t xml:space="preserve">countries in </w:t>
      </w:r>
      <w:r w:rsidRPr="006368A5">
        <w:rPr>
          <w:rFonts w:hint="eastAsia"/>
          <w:shd w:val="clear" w:color="auto" w:fill="FFFFFF"/>
        </w:rPr>
        <w:t>Africa</w:t>
      </w:r>
      <w:r w:rsidRPr="006368A5">
        <w:rPr>
          <w:shd w:val="clear" w:color="auto" w:fill="FFFFFF"/>
        </w:rPr>
        <w:t>, o</w:t>
      </w:r>
      <w:r w:rsidRPr="006368A5">
        <w:rPr>
          <w:rFonts w:hint="eastAsia"/>
          <w:shd w:val="clear" w:color="auto" w:fill="FFFFFF"/>
        </w:rPr>
        <w:t xml:space="preserve">nly one study </w:t>
      </w:r>
      <w:r w:rsidRPr="006368A5">
        <w:rPr>
          <w:shd w:val="clear" w:color="auto" w:fill="FFFFFF"/>
        </w:rPr>
        <w:t xml:space="preserve">was </w:t>
      </w:r>
      <w:r w:rsidRPr="006368A5">
        <w:rPr>
          <w:rFonts w:hint="eastAsia"/>
          <w:shd w:val="clear" w:color="auto" w:fill="FFFFFF"/>
        </w:rPr>
        <w:t xml:space="preserve">conducted </w:t>
      </w:r>
      <w:r w:rsidRPr="006368A5">
        <w:rPr>
          <w:shd w:val="clear" w:color="auto" w:fill="FFFFFF"/>
        </w:rPr>
        <w:t xml:space="preserve">there, perhaps </w:t>
      </w:r>
      <w:r w:rsidRPr="006368A5">
        <w:rPr>
          <w:rFonts w:hint="eastAsia"/>
          <w:shd w:val="clear" w:color="auto" w:fill="FFFFFF"/>
        </w:rPr>
        <w:t xml:space="preserve">because source-based writing is not a </w:t>
      </w:r>
      <w:r w:rsidRPr="006368A5">
        <w:rPr>
          <w:shd w:val="clear" w:color="auto" w:fill="FFFFFF"/>
        </w:rPr>
        <w:t>common</w:t>
      </w:r>
      <w:r w:rsidRPr="006368A5">
        <w:rPr>
          <w:rFonts w:hint="eastAsia"/>
          <w:shd w:val="clear" w:color="auto" w:fill="FFFFFF"/>
        </w:rPr>
        <w:t xml:space="preserve"> practice. </w:t>
      </w:r>
      <w:r w:rsidRPr="006368A5">
        <w:rPr>
          <w:shd w:val="clear" w:color="auto" w:fill="FFFFFF"/>
        </w:rPr>
        <w:t>I found n</w:t>
      </w:r>
      <w:r w:rsidRPr="006368A5">
        <w:rPr>
          <w:rFonts w:hint="eastAsia"/>
          <w:shd w:val="clear" w:color="auto" w:fill="FFFFFF"/>
        </w:rPr>
        <w:t>o stud</w:t>
      </w:r>
      <w:r w:rsidRPr="006368A5">
        <w:rPr>
          <w:shd w:val="clear" w:color="auto" w:fill="FFFFFF"/>
        </w:rPr>
        <w:t xml:space="preserve">ies conducted in </w:t>
      </w:r>
      <w:r w:rsidRPr="006368A5">
        <w:rPr>
          <w:rFonts w:hint="eastAsia"/>
          <w:shd w:val="clear" w:color="auto" w:fill="FFFFFF"/>
        </w:rPr>
        <w:t xml:space="preserve">South America, </w:t>
      </w:r>
      <w:r w:rsidRPr="006368A5">
        <w:rPr>
          <w:shd w:val="clear" w:color="auto" w:fill="FFFFFF"/>
        </w:rPr>
        <w:t>possibly because of</w:t>
      </w:r>
      <w:r w:rsidRPr="006368A5">
        <w:rPr>
          <w:rFonts w:hint="eastAsia"/>
          <w:shd w:val="clear" w:color="auto" w:fill="FFFFFF"/>
        </w:rPr>
        <w:t xml:space="preserve"> the dominance of Spanish or less emphasis on source-based</w:t>
      </w:r>
      <w:bookmarkStart w:id="3" w:name="_Hlk168837204"/>
      <w:bookmarkStart w:id="4" w:name="_Hlk173352198"/>
      <w:r>
        <w:rPr>
          <w:shd w:val="clear" w:color="auto" w:fill="FFFFFF"/>
        </w:rPr>
        <w:t xml:space="preserve"> writing.</w:t>
      </w:r>
    </w:p>
    <w:p w14:paraId="07874E88" w14:textId="77777777" w:rsidR="00E027AC" w:rsidRPr="00E027AC" w:rsidRDefault="00E027AC" w:rsidP="00E027AC">
      <w:pPr>
        <w:pStyle w:val="L2JBody"/>
        <w:ind w:firstLine="0"/>
        <w:rPr>
          <w:shd w:val="clear" w:color="auto" w:fill="FFFFFF"/>
        </w:rPr>
      </w:pPr>
    </w:p>
    <w:p w14:paraId="4A61973E" w14:textId="291C56A6" w:rsidR="00E027AC" w:rsidRDefault="00E027AC" w:rsidP="00E027AC">
      <w:pPr>
        <w:pStyle w:val="L2JFigureCallOut"/>
        <w:rPr>
          <w:shd w:val="clear" w:color="auto" w:fill="FFFFFF"/>
        </w:rPr>
      </w:pPr>
      <w:r w:rsidRPr="006368A5">
        <w:rPr>
          <w:shd w:val="clear" w:color="auto" w:fill="FFFFFF"/>
        </w:rPr>
        <w:t>Table 2</w:t>
      </w:r>
    </w:p>
    <w:p w14:paraId="6CD9D0EA" w14:textId="77777777" w:rsidR="00E027AC" w:rsidRPr="006368A5" w:rsidRDefault="00E027AC" w:rsidP="00E027AC">
      <w:pPr>
        <w:pStyle w:val="L2JFigureCallOut"/>
        <w:rPr>
          <w:shd w:val="clear" w:color="auto" w:fill="FFFFFF"/>
        </w:rPr>
      </w:pPr>
    </w:p>
    <w:p w14:paraId="1CF41219" w14:textId="77777777" w:rsidR="00E027AC" w:rsidRDefault="00E027AC" w:rsidP="00E027AC">
      <w:pPr>
        <w:pStyle w:val="L2JFigureTitle"/>
        <w:rPr>
          <w:shd w:val="clear" w:color="auto" w:fill="FFFFFF"/>
        </w:rPr>
      </w:pPr>
      <w:r w:rsidRPr="006368A5">
        <w:rPr>
          <w:shd w:val="clear" w:color="auto" w:fill="FFFFFF"/>
        </w:rPr>
        <w:t xml:space="preserve">Geographical </w:t>
      </w:r>
      <w:r w:rsidRPr="006368A5">
        <w:rPr>
          <w:rFonts w:hint="eastAsia"/>
          <w:shd w:val="clear" w:color="auto" w:fill="FFFFFF"/>
        </w:rPr>
        <w:t>L</w:t>
      </w:r>
      <w:r w:rsidRPr="006368A5">
        <w:rPr>
          <w:shd w:val="clear" w:color="auto" w:fill="FFFFFF"/>
        </w:rPr>
        <w:t xml:space="preserve">ocations of the </w:t>
      </w:r>
      <w:r w:rsidRPr="006368A5">
        <w:rPr>
          <w:rFonts w:hint="eastAsia"/>
          <w:shd w:val="clear" w:color="auto" w:fill="FFFFFF"/>
        </w:rPr>
        <w:t>I</w:t>
      </w:r>
      <w:r w:rsidRPr="006368A5">
        <w:rPr>
          <w:shd w:val="clear" w:color="auto" w:fill="FFFFFF"/>
        </w:rPr>
        <w:t xml:space="preserve">ncluded </w:t>
      </w:r>
      <w:r w:rsidRPr="006368A5">
        <w:rPr>
          <w:rFonts w:hint="eastAsia"/>
          <w:shd w:val="clear" w:color="auto" w:fill="FFFFFF"/>
        </w:rPr>
        <w:t>S</w:t>
      </w:r>
      <w:r w:rsidRPr="006368A5">
        <w:rPr>
          <w:shd w:val="clear" w:color="auto" w:fill="FFFFFF"/>
        </w:rPr>
        <w:t>tudies</w:t>
      </w:r>
    </w:p>
    <w:p w14:paraId="0D833002" w14:textId="77777777" w:rsidR="00E027AC" w:rsidRPr="006368A5" w:rsidRDefault="00E027AC" w:rsidP="00E027AC">
      <w:pPr>
        <w:pStyle w:val="L2JFigureTitle"/>
        <w:rPr>
          <w:shd w:val="clear" w:color="auto" w:fill="FFFFFF"/>
        </w:rPr>
      </w:pPr>
    </w:p>
    <w:tbl>
      <w:tblPr>
        <w:tblStyle w:val="TableGrid"/>
        <w:tblW w:w="0" w:type="auto"/>
        <w:tblLook w:val="04A0" w:firstRow="1" w:lastRow="0" w:firstColumn="1" w:lastColumn="0" w:noHBand="0" w:noVBand="1"/>
      </w:tblPr>
      <w:tblGrid>
        <w:gridCol w:w="3551"/>
        <w:gridCol w:w="3327"/>
        <w:gridCol w:w="1762"/>
      </w:tblGrid>
      <w:tr w:rsidR="00E027AC" w:rsidRPr="006368A5" w14:paraId="3CDB00B7" w14:textId="77777777" w:rsidTr="00924822">
        <w:tc>
          <w:tcPr>
            <w:tcW w:w="3865" w:type="dxa"/>
            <w:tcBorders>
              <w:left w:val="nil"/>
              <w:right w:val="nil"/>
            </w:tcBorders>
          </w:tcPr>
          <w:bookmarkEnd w:id="3"/>
          <w:p w14:paraId="5A670420" w14:textId="77777777" w:rsidR="00E027AC" w:rsidRPr="00AA61F3" w:rsidRDefault="00E027AC" w:rsidP="00924822">
            <w:pPr>
              <w:rPr>
                <w:rFonts w:ascii="Garamond" w:eastAsia="Malgun Gothic" w:hAnsi="Garamond" w:cs="Arial"/>
                <w:sz w:val="24"/>
                <w:szCs w:val="24"/>
                <w:shd w:val="clear" w:color="auto" w:fill="FFFFFF"/>
              </w:rPr>
            </w:pPr>
            <w:r w:rsidRPr="00AA61F3">
              <w:rPr>
                <w:rFonts w:ascii="Garamond" w:eastAsia="Malgun Gothic" w:hAnsi="Garamond" w:cs="Arial"/>
                <w:sz w:val="24"/>
                <w:szCs w:val="24"/>
                <w:shd w:val="clear" w:color="auto" w:fill="FFFFFF"/>
              </w:rPr>
              <w:t>Continent</w:t>
            </w:r>
          </w:p>
          <w:p w14:paraId="3D161E8F" w14:textId="77777777" w:rsidR="00E027AC" w:rsidRPr="00AA61F3" w:rsidRDefault="00E027AC" w:rsidP="00924822">
            <w:pPr>
              <w:rPr>
                <w:rFonts w:ascii="Garamond" w:eastAsia="Malgun Gothic" w:hAnsi="Garamond" w:cs="Arial"/>
                <w:sz w:val="24"/>
                <w:szCs w:val="24"/>
                <w:shd w:val="clear" w:color="auto" w:fill="FFFFFF"/>
              </w:rPr>
            </w:pPr>
          </w:p>
        </w:tc>
        <w:tc>
          <w:tcPr>
            <w:tcW w:w="3600" w:type="dxa"/>
            <w:tcBorders>
              <w:left w:val="nil"/>
              <w:right w:val="nil"/>
            </w:tcBorders>
          </w:tcPr>
          <w:p w14:paraId="149F331C" w14:textId="77777777" w:rsidR="00E027AC" w:rsidRPr="00AA61F3" w:rsidRDefault="00E027AC" w:rsidP="00924822">
            <w:pPr>
              <w:rPr>
                <w:rFonts w:ascii="Garamond" w:eastAsia="Malgun Gothic" w:hAnsi="Garamond" w:cs="Arial"/>
                <w:sz w:val="24"/>
                <w:szCs w:val="24"/>
                <w:shd w:val="clear" w:color="auto" w:fill="FFFFFF"/>
              </w:rPr>
            </w:pPr>
            <w:r w:rsidRPr="00AA61F3">
              <w:rPr>
                <w:rFonts w:ascii="Garamond" w:eastAsia="Malgun Gothic" w:hAnsi="Garamond" w:cs="Arial"/>
                <w:sz w:val="24"/>
                <w:szCs w:val="24"/>
                <w:shd w:val="clear" w:color="auto" w:fill="FFFFFF"/>
              </w:rPr>
              <w:t>Country or area</w:t>
            </w:r>
          </w:p>
        </w:tc>
        <w:tc>
          <w:tcPr>
            <w:tcW w:w="1885" w:type="dxa"/>
            <w:tcBorders>
              <w:left w:val="nil"/>
              <w:right w:val="nil"/>
            </w:tcBorders>
          </w:tcPr>
          <w:p w14:paraId="3A7886E0" w14:textId="77777777" w:rsidR="00E027AC" w:rsidRPr="00AA61F3" w:rsidRDefault="00E027AC" w:rsidP="00924822">
            <w:pPr>
              <w:rPr>
                <w:rFonts w:ascii="Garamond" w:eastAsia="Malgun Gothic" w:hAnsi="Garamond" w:cs="Arial"/>
                <w:sz w:val="24"/>
                <w:szCs w:val="24"/>
                <w:shd w:val="clear" w:color="auto" w:fill="FFFFFF"/>
              </w:rPr>
            </w:pPr>
            <w:r w:rsidRPr="00AA61F3">
              <w:rPr>
                <w:rFonts w:ascii="Garamond" w:eastAsia="Malgun Gothic" w:hAnsi="Garamond" w:cs="Arial"/>
                <w:sz w:val="24"/>
                <w:szCs w:val="24"/>
                <w:shd w:val="clear" w:color="auto" w:fill="FFFFFF"/>
              </w:rPr>
              <w:t>n (%)</w:t>
            </w:r>
          </w:p>
        </w:tc>
      </w:tr>
      <w:tr w:rsidR="00E027AC" w:rsidRPr="006368A5" w14:paraId="6945EBF0" w14:textId="77777777" w:rsidTr="00924822">
        <w:tc>
          <w:tcPr>
            <w:tcW w:w="3865" w:type="dxa"/>
            <w:vMerge w:val="restart"/>
            <w:tcBorders>
              <w:left w:val="nil"/>
              <w:right w:val="nil"/>
            </w:tcBorders>
          </w:tcPr>
          <w:p w14:paraId="38B72EF1"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North America (47%)</w:t>
            </w:r>
          </w:p>
        </w:tc>
        <w:tc>
          <w:tcPr>
            <w:tcW w:w="3600" w:type="dxa"/>
            <w:tcBorders>
              <w:left w:val="nil"/>
              <w:right w:val="nil"/>
            </w:tcBorders>
          </w:tcPr>
          <w:p w14:paraId="6690B1CF"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United States</w:t>
            </w:r>
          </w:p>
        </w:tc>
        <w:tc>
          <w:tcPr>
            <w:tcW w:w="1885" w:type="dxa"/>
            <w:tcBorders>
              <w:left w:val="nil"/>
              <w:right w:val="nil"/>
            </w:tcBorders>
          </w:tcPr>
          <w:p w14:paraId="58023F5E"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30 (33%)</w:t>
            </w:r>
          </w:p>
        </w:tc>
      </w:tr>
      <w:tr w:rsidR="00E027AC" w:rsidRPr="006368A5" w14:paraId="5F91801F" w14:textId="77777777" w:rsidTr="00924822">
        <w:tc>
          <w:tcPr>
            <w:tcW w:w="3865" w:type="dxa"/>
            <w:vMerge/>
            <w:tcBorders>
              <w:left w:val="nil"/>
              <w:right w:val="nil"/>
            </w:tcBorders>
          </w:tcPr>
          <w:p w14:paraId="3A793A84" w14:textId="77777777" w:rsidR="00E027AC" w:rsidRPr="00E027AC" w:rsidRDefault="00E027AC" w:rsidP="00924822">
            <w:pPr>
              <w:rPr>
                <w:rFonts w:ascii="Garamond" w:eastAsia="Malgun Gothic" w:hAnsi="Garamond" w:cs="Arial"/>
                <w:sz w:val="24"/>
                <w:szCs w:val="24"/>
                <w:shd w:val="clear" w:color="auto" w:fill="FFFFFF"/>
              </w:rPr>
            </w:pPr>
          </w:p>
        </w:tc>
        <w:tc>
          <w:tcPr>
            <w:tcW w:w="3600" w:type="dxa"/>
            <w:tcBorders>
              <w:left w:val="nil"/>
              <w:right w:val="nil"/>
            </w:tcBorders>
          </w:tcPr>
          <w:p w14:paraId="57C6BC1C"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Canada</w:t>
            </w:r>
          </w:p>
        </w:tc>
        <w:tc>
          <w:tcPr>
            <w:tcW w:w="1885" w:type="dxa"/>
            <w:tcBorders>
              <w:left w:val="nil"/>
              <w:right w:val="nil"/>
            </w:tcBorders>
          </w:tcPr>
          <w:p w14:paraId="7E2B560F"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12 (14%)</w:t>
            </w:r>
          </w:p>
        </w:tc>
      </w:tr>
      <w:tr w:rsidR="00E027AC" w:rsidRPr="006368A5" w14:paraId="3AC5D838" w14:textId="77777777" w:rsidTr="00924822">
        <w:tc>
          <w:tcPr>
            <w:tcW w:w="3865" w:type="dxa"/>
            <w:vMerge w:val="restart"/>
            <w:tcBorders>
              <w:left w:val="nil"/>
              <w:right w:val="nil"/>
            </w:tcBorders>
          </w:tcPr>
          <w:p w14:paraId="6BED1D12"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Asia (26%)</w:t>
            </w:r>
          </w:p>
        </w:tc>
        <w:tc>
          <w:tcPr>
            <w:tcW w:w="3600" w:type="dxa"/>
            <w:tcBorders>
              <w:left w:val="nil"/>
              <w:right w:val="nil"/>
            </w:tcBorders>
          </w:tcPr>
          <w:p w14:paraId="02812664"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Hong Kong</w:t>
            </w:r>
          </w:p>
        </w:tc>
        <w:tc>
          <w:tcPr>
            <w:tcW w:w="1885" w:type="dxa"/>
            <w:tcBorders>
              <w:left w:val="nil"/>
              <w:right w:val="nil"/>
            </w:tcBorders>
          </w:tcPr>
          <w:p w14:paraId="2FAA7E8E"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8 (9%)</w:t>
            </w:r>
          </w:p>
        </w:tc>
      </w:tr>
      <w:tr w:rsidR="00E027AC" w:rsidRPr="006368A5" w14:paraId="4B1C8007" w14:textId="77777777" w:rsidTr="00924822">
        <w:tc>
          <w:tcPr>
            <w:tcW w:w="3865" w:type="dxa"/>
            <w:vMerge/>
            <w:tcBorders>
              <w:left w:val="nil"/>
              <w:right w:val="nil"/>
            </w:tcBorders>
          </w:tcPr>
          <w:p w14:paraId="5304A386" w14:textId="77777777" w:rsidR="00E027AC" w:rsidRPr="00E027AC" w:rsidRDefault="00E027AC" w:rsidP="00924822">
            <w:pPr>
              <w:rPr>
                <w:rFonts w:ascii="Garamond" w:eastAsia="Malgun Gothic" w:hAnsi="Garamond" w:cs="Arial"/>
                <w:sz w:val="24"/>
                <w:szCs w:val="24"/>
                <w:shd w:val="clear" w:color="auto" w:fill="FFFFFF"/>
              </w:rPr>
            </w:pPr>
          </w:p>
        </w:tc>
        <w:tc>
          <w:tcPr>
            <w:tcW w:w="3600" w:type="dxa"/>
            <w:tcBorders>
              <w:left w:val="nil"/>
              <w:right w:val="nil"/>
            </w:tcBorders>
          </w:tcPr>
          <w:p w14:paraId="74023AF2"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China (Mainland)</w:t>
            </w:r>
          </w:p>
        </w:tc>
        <w:tc>
          <w:tcPr>
            <w:tcW w:w="1885" w:type="dxa"/>
            <w:tcBorders>
              <w:left w:val="nil"/>
              <w:right w:val="nil"/>
            </w:tcBorders>
          </w:tcPr>
          <w:p w14:paraId="149C4C01"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5 (6%)</w:t>
            </w:r>
          </w:p>
        </w:tc>
      </w:tr>
      <w:tr w:rsidR="00E027AC" w:rsidRPr="006368A5" w14:paraId="39CC6E69" w14:textId="77777777" w:rsidTr="00924822">
        <w:tc>
          <w:tcPr>
            <w:tcW w:w="3865" w:type="dxa"/>
            <w:vMerge/>
            <w:tcBorders>
              <w:left w:val="nil"/>
              <w:right w:val="nil"/>
            </w:tcBorders>
          </w:tcPr>
          <w:p w14:paraId="1F687931" w14:textId="77777777" w:rsidR="00E027AC" w:rsidRPr="00E027AC" w:rsidRDefault="00E027AC" w:rsidP="00924822">
            <w:pPr>
              <w:rPr>
                <w:rFonts w:ascii="Garamond" w:eastAsia="Malgun Gothic" w:hAnsi="Garamond" w:cs="Arial"/>
                <w:sz w:val="24"/>
                <w:szCs w:val="24"/>
                <w:shd w:val="clear" w:color="auto" w:fill="FFFFFF"/>
              </w:rPr>
            </w:pPr>
          </w:p>
        </w:tc>
        <w:tc>
          <w:tcPr>
            <w:tcW w:w="3600" w:type="dxa"/>
            <w:tcBorders>
              <w:left w:val="nil"/>
              <w:right w:val="nil"/>
            </w:tcBorders>
          </w:tcPr>
          <w:p w14:paraId="05FE0ED1"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Japan</w:t>
            </w:r>
          </w:p>
        </w:tc>
        <w:tc>
          <w:tcPr>
            <w:tcW w:w="1885" w:type="dxa"/>
            <w:tcBorders>
              <w:left w:val="nil"/>
              <w:right w:val="nil"/>
            </w:tcBorders>
          </w:tcPr>
          <w:p w14:paraId="7E8B1C5F"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2 (2%)</w:t>
            </w:r>
          </w:p>
        </w:tc>
      </w:tr>
      <w:tr w:rsidR="00E027AC" w:rsidRPr="006368A5" w14:paraId="23C3AD59" w14:textId="77777777" w:rsidTr="00924822">
        <w:tc>
          <w:tcPr>
            <w:tcW w:w="3865" w:type="dxa"/>
            <w:vMerge/>
            <w:tcBorders>
              <w:left w:val="nil"/>
              <w:right w:val="nil"/>
            </w:tcBorders>
          </w:tcPr>
          <w:p w14:paraId="72B47C65" w14:textId="77777777" w:rsidR="00E027AC" w:rsidRPr="00E027AC" w:rsidRDefault="00E027AC" w:rsidP="00924822">
            <w:pPr>
              <w:rPr>
                <w:rFonts w:ascii="Garamond" w:eastAsia="Malgun Gothic" w:hAnsi="Garamond" w:cs="Arial"/>
                <w:sz w:val="24"/>
                <w:szCs w:val="24"/>
                <w:shd w:val="clear" w:color="auto" w:fill="FFFFFF"/>
              </w:rPr>
            </w:pPr>
          </w:p>
        </w:tc>
        <w:tc>
          <w:tcPr>
            <w:tcW w:w="3600" w:type="dxa"/>
            <w:tcBorders>
              <w:left w:val="nil"/>
              <w:right w:val="nil"/>
            </w:tcBorders>
          </w:tcPr>
          <w:p w14:paraId="11152F1F"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United Arab Emirates</w:t>
            </w:r>
          </w:p>
        </w:tc>
        <w:tc>
          <w:tcPr>
            <w:tcW w:w="1885" w:type="dxa"/>
            <w:tcBorders>
              <w:left w:val="nil"/>
              <w:right w:val="nil"/>
            </w:tcBorders>
          </w:tcPr>
          <w:p w14:paraId="74BD7879"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2 (2%)</w:t>
            </w:r>
          </w:p>
        </w:tc>
      </w:tr>
      <w:tr w:rsidR="00E027AC" w:rsidRPr="006368A5" w14:paraId="5735ED25" w14:textId="77777777" w:rsidTr="00924822">
        <w:tc>
          <w:tcPr>
            <w:tcW w:w="3865" w:type="dxa"/>
            <w:vMerge/>
            <w:tcBorders>
              <w:left w:val="nil"/>
              <w:right w:val="nil"/>
            </w:tcBorders>
          </w:tcPr>
          <w:p w14:paraId="24DDFEAF" w14:textId="77777777" w:rsidR="00E027AC" w:rsidRPr="00E027AC" w:rsidRDefault="00E027AC" w:rsidP="00924822">
            <w:pPr>
              <w:rPr>
                <w:rFonts w:ascii="Garamond" w:eastAsia="Malgun Gothic" w:hAnsi="Garamond" w:cs="Arial"/>
                <w:sz w:val="24"/>
                <w:szCs w:val="24"/>
                <w:shd w:val="clear" w:color="auto" w:fill="FFFFFF"/>
              </w:rPr>
            </w:pPr>
          </w:p>
        </w:tc>
        <w:tc>
          <w:tcPr>
            <w:tcW w:w="3600" w:type="dxa"/>
            <w:tcBorders>
              <w:left w:val="nil"/>
              <w:right w:val="nil"/>
            </w:tcBorders>
          </w:tcPr>
          <w:p w14:paraId="738040C2"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Iran</w:t>
            </w:r>
          </w:p>
        </w:tc>
        <w:tc>
          <w:tcPr>
            <w:tcW w:w="1885" w:type="dxa"/>
            <w:tcBorders>
              <w:left w:val="nil"/>
              <w:right w:val="nil"/>
            </w:tcBorders>
          </w:tcPr>
          <w:p w14:paraId="1A4153BB"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2 (2%)</w:t>
            </w:r>
          </w:p>
        </w:tc>
      </w:tr>
      <w:tr w:rsidR="00E027AC" w:rsidRPr="006368A5" w14:paraId="74BFDCC1" w14:textId="77777777" w:rsidTr="00924822">
        <w:tc>
          <w:tcPr>
            <w:tcW w:w="3865" w:type="dxa"/>
            <w:vMerge/>
            <w:tcBorders>
              <w:left w:val="nil"/>
              <w:right w:val="nil"/>
            </w:tcBorders>
          </w:tcPr>
          <w:p w14:paraId="4AD797D5" w14:textId="77777777" w:rsidR="00E027AC" w:rsidRPr="00E027AC" w:rsidRDefault="00E027AC" w:rsidP="00924822">
            <w:pPr>
              <w:rPr>
                <w:rFonts w:ascii="Garamond" w:eastAsia="Malgun Gothic" w:hAnsi="Garamond" w:cs="Arial"/>
                <w:sz w:val="24"/>
                <w:szCs w:val="24"/>
                <w:shd w:val="clear" w:color="auto" w:fill="FFFFFF"/>
              </w:rPr>
            </w:pPr>
          </w:p>
        </w:tc>
        <w:tc>
          <w:tcPr>
            <w:tcW w:w="3600" w:type="dxa"/>
            <w:tcBorders>
              <w:left w:val="nil"/>
              <w:right w:val="nil"/>
            </w:tcBorders>
          </w:tcPr>
          <w:p w14:paraId="4BE895BA"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 xml:space="preserve">One study from each of </w:t>
            </w:r>
          </w:p>
          <w:p w14:paraId="34C4E81F"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the following countries:</w:t>
            </w:r>
          </w:p>
          <w:p w14:paraId="0109C827"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South Korea, Taiwan, Indonesia, Afghanistan, Lebanon</w:t>
            </w:r>
          </w:p>
        </w:tc>
        <w:tc>
          <w:tcPr>
            <w:tcW w:w="1885" w:type="dxa"/>
            <w:tcBorders>
              <w:left w:val="nil"/>
              <w:right w:val="nil"/>
            </w:tcBorders>
          </w:tcPr>
          <w:p w14:paraId="6F50404E"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5 (6%)</w:t>
            </w:r>
          </w:p>
        </w:tc>
      </w:tr>
      <w:tr w:rsidR="00E027AC" w:rsidRPr="006368A5" w14:paraId="021654BC" w14:textId="77777777" w:rsidTr="00924822">
        <w:tc>
          <w:tcPr>
            <w:tcW w:w="3865" w:type="dxa"/>
            <w:vMerge w:val="restart"/>
            <w:tcBorders>
              <w:left w:val="nil"/>
              <w:right w:val="nil"/>
            </w:tcBorders>
          </w:tcPr>
          <w:p w14:paraId="7F84DD68"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Europe (9%)</w:t>
            </w:r>
          </w:p>
        </w:tc>
        <w:tc>
          <w:tcPr>
            <w:tcW w:w="3600" w:type="dxa"/>
            <w:tcBorders>
              <w:left w:val="nil"/>
              <w:right w:val="nil"/>
            </w:tcBorders>
          </w:tcPr>
          <w:p w14:paraId="272EE461"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United Kingdom</w:t>
            </w:r>
          </w:p>
        </w:tc>
        <w:tc>
          <w:tcPr>
            <w:tcW w:w="1885" w:type="dxa"/>
            <w:tcBorders>
              <w:left w:val="nil"/>
              <w:right w:val="nil"/>
            </w:tcBorders>
          </w:tcPr>
          <w:p w14:paraId="4CFC31FB"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7 (7%)</w:t>
            </w:r>
          </w:p>
        </w:tc>
      </w:tr>
      <w:tr w:rsidR="00E027AC" w:rsidRPr="006368A5" w14:paraId="272E552E" w14:textId="77777777" w:rsidTr="00924822">
        <w:tc>
          <w:tcPr>
            <w:tcW w:w="3865" w:type="dxa"/>
            <w:vMerge/>
            <w:tcBorders>
              <w:left w:val="nil"/>
              <w:right w:val="nil"/>
            </w:tcBorders>
          </w:tcPr>
          <w:p w14:paraId="2DBD6F03" w14:textId="77777777" w:rsidR="00E027AC" w:rsidRPr="00E027AC" w:rsidRDefault="00E027AC" w:rsidP="00924822">
            <w:pPr>
              <w:rPr>
                <w:rFonts w:ascii="Garamond" w:eastAsia="Malgun Gothic" w:hAnsi="Garamond" w:cs="Arial"/>
                <w:sz w:val="24"/>
                <w:szCs w:val="24"/>
                <w:shd w:val="clear" w:color="auto" w:fill="FFFFFF"/>
              </w:rPr>
            </w:pPr>
          </w:p>
        </w:tc>
        <w:tc>
          <w:tcPr>
            <w:tcW w:w="3600" w:type="dxa"/>
            <w:tcBorders>
              <w:left w:val="nil"/>
              <w:right w:val="nil"/>
            </w:tcBorders>
          </w:tcPr>
          <w:p w14:paraId="5758A134"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Greece</w:t>
            </w:r>
          </w:p>
        </w:tc>
        <w:tc>
          <w:tcPr>
            <w:tcW w:w="1885" w:type="dxa"/>
            <w:tcBorders>
              <w:left w:val="nil"/>
              <w:right w:val="nil"/>
            </w:tcBorders>
          </w:tcPr>
          <w:p w14:paraId="7E2D33EF"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1 (1%)</w:t>
            </w:r>
          </w:p>
        </w:tc>
      </w:tr>
      <w:tr w:rsidR="00E027AC" w:rsidRPr="006368A5" w14:paraId="76615597" w14:textId="77777777" w:rsidTr="00924822">
        <w:tc>
          <w:tcPr>
            <w:tcW w:w="3865" w:type="dxa"/>
            <w:vMerge w:val="restart"/>
            <w:tcBorders>
              <w:left w:val="nil"/>
              <w:right w:val="nil"/>
            </w:tcBorders>
          </w:tcPr>
          <w:p w14:paraId="37869B34"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Oceania (3%)</w:t>
            </w:r>
          </w:p>
        </w:tc>
        <w:tc>
          <w:tcPr>
            <w:tcW w:w="3600" w:type="dxa"/>
            <w:tcBorders>
              <w:left w:val="nil"/>
              <w:right w:val="nil"/>
            </w:tcBorders>
          </w:tcPr>
          <w:p w14:paraId="41FCFD65"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Australia</w:t>
            </w:r>
          </w:p>
        </w:tc>
        <w:tc>
          <w:tcPr>
            <w:tcW w:w="1885" w:type="dxa"/>
            <w:tcBorders>
              <w:left w:val="nil"/>
              <w:right w:val="nil"/>
            </w:tcBorders>
          </w:tcPr>
          <w:p w14:paraId="2191EDED"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1 (1%)</w:t>
            </w:r>
          </w:p>
        </w:tc>
      </w:tr>
      <w:tr w:rsidR="00E027AC" w:rsidRPr="006368A5" w14:paraId="3B710353" w14:textId="77777777" w:rsidTr="00924822">
        <w:tc>
          <w:tcPr>
            <w:tcW w:w="3865" w:type="dxa"/>
            <w:vMerge/>
            <w:tcBorders>
              <w:left w:val="nil"/>
              <w:right w:val="nil"/>
            </w:tcBorders>
          </w:tcPr>
          <w:p w14:paraId="0F1D806A" w14:textId="77777777" w:rsidR="00E027AC" w:rsidRPr="00E027AC" w:rsidRDefault="00E027AC" w:rsidP="00924822">
            <w:pPr>
              <w:rPr>
                <w:rFonts w:ascii="Garamond" w:eastAsia="Malgun Gothic" w:hAnsi="Garamond" w:cs="Arial"/>
                <w:sz w:val="24"/>
                <w:szCs w:val="24"/>
                <w:shd w:val="clear" w:color="auto" w:fill="FFFFFF"/>
              </w:rPr>
            </w:pPr>
          </w:p>
        </w:tc>
        <w:tc>
          <w:tcPr>
            <w:tcW w:w="3600" w:type="dxa"/>
            <w:tcBorders>
              <w:left w:val="nil"/>
              <w:right w:val="nil"/>
            </w:tcBorders>
          </w:tcPr>
          <w:p w14:paraId="79D40E0A"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New Zealand</w:t>
            </w:r>
          </w:p>
        </w:tc>
        <w:tc>
          <w:tcPr>
            <w:tcW w:w="1885" w:type="dxa"/>
            <w:tcBorders>
              <w:left w:val="nil"/>
              <w:right w:val="nil"/>
            </w:tcBorders>
          </w:tcPr>
          <w:p w14:paraId="572B83ED"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2 (2%)</w:t>
            </w:r>
          </w:p>
        </w:tc>
      </w:tr>
      <w:tr w:rsidR="00E027AC" w:rsidRPr="006368A5" w14:paraId="28BD3D5B" w14:textId="77777777" w:rsidTr="00924822">
        <w:tc>
          <w:tcPr>
            <w:tcW w:w="3865" w:type="dxa"/>
            <w:tcBorders>
              <w:left w:val="nil"/>
              <w:right w:val="nil"/>
            </w:tcBorders>
          </w:tcPr>
          <w:p w14:paraId="79995407"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Africa (1%)</w:t>
            </w:r>
          </w:p>
        </w:tc>
        <w:tc>
          <w:tcPr>
            <w:tcW w:w="3600" w:type="dxa"/>
            <w:tcBorders>
              <w:left w:val="nil"/>
              <w:right w:val="nil"/>
            </w:tcBorders>
          </w:tcPr>
          <w:p w14:paraId="0A397853"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Egypt</w:t>
            </w:r>
          </w:p>
        </w:tc>
        <w:tc>
          <w:tcPr>
            <w:tcW w:w="1885" w:type="dxa"/>
            <w:tcBorders>
              <w:left w:val="nil"/>
              <w:right w:val="nil"/>
            </w:tcBorders>
          </w:tcPr>
          <w:p w14:paraId="59C9AB4B"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1 (1%)</w:t>
            </w:r>
          </w:p>
        </w:tc>
      </w:tr>
      <w:tr w:rsidR="00E027AC" w:rsidRPr="006368A5" w14:paraId="65856AA6" w14:textId="77777777" w:rsidTr="00924822">
        <w:tc>
          <w:tcPr>
            <w:tcW w:w="3865" w:type="dxa"/>
            <w:tcBorders>
              <w:left w:val="nil"/>
              <w:right w:val="nil"/>
            </w:tcBorders>
          </w:tcPr>
          <w:p w14:paraId="7EE78F1E"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Multisite or greater context (7%)</w:t>
            </w:r>
          </w:p>
        </w:tc>
        <w:tc>
          <w:tcPr>
            <w:tcW w:w="3600" w:type="dxa"/>
            <w:tcBorders>
              <w:left w:val="nil"/>
              <w:right w:val="nil"/>
            </w:tcBorders>
          </w:tcPr>
          <w:p w14:paraId="146A618B"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United Kingdom and Turkey,</w:t>
            </w:r>
          </w:p>
          <w:p w14:paraId="502CDDB3"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United Kingdom and Iran,</w:t>
            </w:r>
          </w:p>
          <w:p w14:paraId="6441EB73"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Eastern Europe and Asia,</w:t>
            </w:r>
          </w:p>
          <w:p w14:paraId="4FF2894C"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 xml:space="preserve">Middle East, </w:t>
            </w:r>
          </w:p>
          <w:p w14:paraId="2689FF61"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Central Europe</w:t>
            </w:r>
          </w:p>
        </w:tc>
        <w:tc>
          <w:tcPr>
            <w:tcW w:w="1885" w:type="dxa"/>
            <w:tcBorders>
              <w:left w:val="nil"/>
              <w:right w:val="nil"/>
            </w:tcBorders>
          </w:tcPr>
          <w:p w14:paraId="1716ECC1"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7 (7%)</w:t>
            </w:r>
          </w:p>
        </w:tc>
      </w:tr>
      <w:tr w:rsidR="00E027AC" w:rsidRPr="006368A5" w14:paraId="44B6EF25" w14:textId="77777777" w:rsidTr="00924822">
        <w:tc>
          <w:tcPr>
            <w:tcW w:w="3865" w:type="dxa"/>
            <w:tcBorders>
              <w:left w:val="nil"/>
              <w:right w:val="nil"/>
            </w:tcBorders>
          </w:tcPr>
          <w:p w14:paraId="4A594788"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Unspecified (7%)</w:t>
            </w:r>
          </w:p>
        </w:tc>
        <w:tc>
          <w:tcPr>
            <w:tcW w:w="3600" w:type="dxa"/>
            <w:tcBorders>
              <w:left w:val="nil"/>
              <w:right w:val="nil"/>
            </w:tcBorders>
          </w:tcPr>
          <w:p w14:paraId="5E1A1574"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N.A.</w:t>
            </w:r>
          </w:p>
        </w:tc>
        <w:tc>
          <w:tcPr>
            <w:tcW w:w="1885" w:type="dxa"/>
            <w:tcBorders>
              <w:left w:val="nil"/>
              <w:right w:val="nil"/>
            </w:tcBorders>
          </w:tcPr>
          <w:p w14:paraId="29B5F64F"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7 (7%)</w:t>
            </w:r>
          </w:p>
        </w:tc>
      </w:tr>
      <w:tr w:rsidR="00E027AC" w:rsidRPr="006368A5" w14:paraId="0DA033D5" w14:textId="77777777" w:rsidTr="00924822">
        <w:tc>
          <w:tcPr>
            <w:tcW w:w="3865" w:type="dxa"/>
            <w:tcBorders>
              <w:left w:val="nil"/>
              <w:right w:val="nil"/>
            </w:tcBorders>
          </w:tcPr>
          <w:p w14:paraId="39012BFE"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Total</w:t>
            </w:r>
          </w:p>
        </w:tc>
        <w:tc>
          <w:tcPr>
            <w:tcW w:w="3600" w:type="dxa"/>
            <w:tcBorders>
              <w:left w:val="nil"/>
              <w:right w:val="nil"/>
            </w:tcBorders>
          </w:tcPr>
          <w:p w14:paraId="7D018909" w14:textId="77777777" w:rsidR="00E027AC" w:rsidRPr="00E027AC" w:rsidRDefault="00E027AC" w:rsidP="00924822">
            <w:pPr>
              <w:rPr>
                <w:rFonts w:ascii="Garamond" w:eastAsia="Malgun Gothic" w:hAnsi="Garamond" w:cs="Arial"/>
                <w:sz w:val="24"/>
                <w:szCs w:val="24"/>
                <w:shd w:val="clear" w:color="auto" w:fill="FFFFFF"/>
              </w:rPr>
            </w:pPr>
          </w:p>
        </w:tc>
        <w:tc>
          <w:tcPr>
            <w:tcW w:w="1885" w:type="dxa"/>
            <w:tcBorders>
              <w:left w:val="nil"/>
              <w:right w:val="nil"/>
            </w:tcBorders>
          </w:tcPr>
          <w:p w14:paraId="3EF30F56"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92 (100%)</w:t>
            </w:r>
          </w:p>
        </w:tc>
      </w:tr>
      <w:bookmarkEnd w:id="4"/>
    </w:tbl>
    <w:p w14:paraId="55F120D5" w14:textId="77777777" w:rsidR="00E027AC" w:rsidRPr="006368A5" w:rsidRDefault="00E027AC" w:rsidP="00E027AC">
      <w:pPr>
        <w:spacing w:line="480" w:lineRule="auto"/>
        <w:ind w:firstLine="720"/>
        <w:rPr>
          <w:rFonts w:ascii="Times New Roman" w:eastAsia="Malgun Gothic" w:hAnsi="Times New Roman" w:cs="Arial"/>
          <w:sz w:val="24"/>
          <w:szCs w:val="24"/>
          <w:shd w:val="clear" w:color="auto" w:fill="FFFFFF"/>
        </w:rPr>
      </w:pPr>
    </w:p>
    <w:p w14:paraId="02153E27" w14:textId="2E3579A5" w:rsidR="00E027AC" w:rsidRPr="006368A5" w:rsidRDefault="00E027AC" w:rsidP="00E027AC">
      <w:pPr>
        <w:pStyle w:val="L2JBody"/>
        <w:rPr>
          <w:shd w:val="clear" w:color="auto" w:fill="FFFFFF"/>
        </w:rPr>
      </w:pPr>
      <w:r w:rsidRPr="006368A5">
        <w:rPr>
          <w:shd w:val="clear" w:color="auto" w:fill="FFFFFF"/>
        </w:rPr>
        <w:t>C</w:t>
      </w:r>
      <w:r w:rsidRPr="006368A5">
        <w:rPr>
          <w:rFonts w:hint="eastAsia"/>
          <w:shd w:val="clear" w:color="auto" w:fill="FFFFFF"/>
        </w:rPr>
        <w:t xml:space="preserve">lear </w:t>
      </w:r>
      <w:r w:rsidRPr="006368A5">
        <w:rPr>
          <w:shd w:val="clear" w:color="auto" w:fill="FFFFFF"/>
        </w:rPr>
        <w:t>disproportion</w:t>
      </w:r>
      <w:r w:rsidRPr="006368A5">
        <w:rPr>
          <w:rFonts w:hint="eastAsia"/>
          <w:shd w:val="clear" w:color="auto" w:fill="FFFFFF"/>
        </w:rPr>
        <w:t xml:space="preserve">s </w:t>
      </w:r>
      <w:r w:rsidRPr="006368A5">
        <w:rPr>
          <w:shd w:val="clear" w:color="auto" w:fill="FFFFFF"/>
        </w:rPr>
        <w:t xml:space="preserve">existed </w:t>
      </w:r>
      <w:r w:rsidRPr="006368A5">
        <w:rPr>
          <w:rFonts w:hint="eastAsia"/>
          <w:shd w:val="clear" w:color="auto" w:fill="FFFFFF"/>
        </w:rPr>
        <w:t>even among Anglophone contexts</w:t>
      </w:r>
      <w:r w:rsidRPr="006368A5">
        <w:rPr>
          <w:shd w:val="clear" w:color="auto" w:fill="FFFFFF"/>
        </w:rPr>
        <w:t>: S</w:t>
      </w:r>
      <w:r w:rsidRPr="006368A5">
        <w:rPr>
          <w:rFonts w:hint="eastAsia"/>
          <w:shd w:val="clear" w:color="auto" w:fill="FFFFFF"/>
        </w:rPr>
        <w:t xml:space="preserve">ignificantly fewer </w:t>
      </w:r>
      <w:r w:rsidRPr="006368A5">
        <w:rPr>
          <w:shd w:val="clear" w:color="auto" w:fill="FFFFFF"/>
        </w:rPr>
        <w:t xml:space="preserve">studies of </w:t>
      </w:r>
      <w:r w:rsidRPr="006368A5">
        <w:rPr>
          <w:rFonts w:hint="eastAsia"/>
          <w:shd w:val="clear" w:color="auto" w:fill="FFFFFF"/>
        </w:rPr>
        <w:t>synthesis writing were conducted in the U</w:t>
      </w:r>
      <w:r w:rsidRPr="006368A5">
        <w:rPr>
          <w:shd w:val="clear" w:color="auto" w:fill="FFFFFF"/>
        </w:rPr>
        <w:t xml:space="preserve">nited </w:t>
      </w:r>
      <w:r w:rsidRPr="006368A5">
        <w:rPr>
          <w:rFonts w:hint="eastAsia"/>
          <w:shd w:val="clear" w:color="auto" w:fill="FFFFFF"/>
        </w:rPr>
        <w:t>K</w:t>
      </w:r>
      <w:r w:rsidRPr="006368A5">
        <w:rPr>
          <w:shd w:val="clear" w:color="auto" w:fill="FFFFFF"/>
        </w:rPr>
        <w:t>ingdom</w:t>
      </w:r>
      <w:r w:rsidRPr="006368A5">
        <w:rPr>
          <w:rFonts w:hint="eastAsia"/>
          <w:shd w:val="clear" w:color="auto" w:fill="FFFFFF"/>
        </w:rPr>
        <w:t xml:space="preserve"> (7%), </w:t>
      </w:r>
      <w:r w:rsidRPr="006368A5">
        <w:rPr>
          <w:shd w:val="clear" w:color="auto" w:fill="FFFFFF"/>
        </w:rPr>
        <w:t>Australia (1%),</w:t>
      </w:r>
      <w:r>
        <w:rPr>
          <w:shd w:val="clear" w:color="auto" w:fill="FFFFFF"/>
        </w:rPr>
        <w:t xml:space="preserve"> </w:t>
      </w:r>
      <w:r w:rsidRPr="006368A5">
        <w:rPr>
          <w:rFonts w:hint="eastAsia"/>
          <w:shd w:val="clear" w:color="auto" w:fill="FFFFFF"/>
        </w:rPr>
        <w:t xml:space="preserve">and </w:t>
      </w:r>
      <w:r w:rsidRPr="006368A5">
        <w:rPr>
          <w:rFonts w:hint="eastAsia"/>
          <w:shd w:val="clear" w:color="auto" w:fill="FFFFFF"/>
        </w:rPr>
        <w:lastRenderedPageBreak/>
        <w:t xml:space="preserve">New </w:t>
      </w:r>
      <w:r w:rsidRPr="006368A5">
        <w:rPr>
          <w:shd w:val="clear" w:color="auto" w:fill="FFFFFF"/>
        </w:rPr>
        <w:t>Zealand</w:t>
      </w:r>
      <w:r w:rsidRPr="006368A5">
        <w:rPr>
          <w:rFonts w:hint="eastAsia"/>
          <w:shd w:val="clear" w:color="auto" w:fill="FFFFFF"/>
        </w:rPr>
        <w:t xml:space="preserve"> (2%)</w:t>
      </w:r>
      <w:r w:rsidRPr="006368A5">
        <w:rPr>
          <w:shd w:val="clear" w:color="auto" w:fill="FFFFFF"/>
        </w:rPr>
        <w:t>,</w:t>
      </w:r>
      <w:r w:rsidRPr="006368A5">
        <w:rPr>
          <w:rFonts w:hint="eastAsia"/>
          <w:shd w:val="clear" w:color="auto" w:fill="FFFFFF"/>
        </w:rPr>
        <w:t xml:space="preserve"> compared to the U</w:t>
      </w:r>
      <w:r w:rsidRPr="006368A5">
        <w:rPr>
          <w:shd w:val="clear" w:color="auto" w:fill="FFFFFF"/>
        </w:rPr>
        <w:t xml:space="preserve">nited </w:t>
      </w:r>
      <w:r w:rsidRPr="006368A5">
        <w:rPr>
          <w:rFonts w:hint="eastAsia"/>
          <w:shd w:val="clear" w:color="auto" w:fill="FFFFFF"/>
        </w:rPr>
        <w:t>S</w:t>
      </w:r>
      <w:r w:rsidRPr="006368A5">
        <w:rPr>
          <w:shd w:val="clear" w:color="auto" w:fill="FFFFFF"/>
        </w:rPr>
        <w:t>tates</w:t>
      </w:r>
      <w:r w:rsidRPr="006368A5">
        <w:rPr>
          <w:rFonts w:hint="eastAsia"/>
          <w:shd w:val="clear" w:color="auto" w:fill="FFFFFF"/>
        </w:rPr>
        <w:t xml:space="preserve"> (33%) and Canada (14%). </w:t>
      </w:r>
      <w:r w:rsidRPr="006368A5">
        <w:rPr>
          <w:shd w:val="clear" w:color="auto" w:fill="FFFFFF"/>
        </w:rPr>
        <w:t>The</w:t>
      </w:r>
      <w:r w:rsidRPr="006368A5">
        <w:rPr>
          <w:rFonts w:hint="eastAsia"/>
          <w:shd w:val="clear" w:color="auto" w:fill="FFFFFF"/>
        </w:rPr>
        <w:t xml:space="preserve"> higher number of ESL writing programs with greater emphasis on synthesis writing in North American contexts </w:t>
      </w:r>
      <w:r w:rsidRPr="006368A5">
        <w:rPr>
          <w:shd w:val="clear" w:color="auto" w:fill="FFFFFF"/>
        </w:rPr>
        <w:fldChar w:fldCharType="begin"/>
      </w:r>
      <w:r w:rsidRPr="006368A5">
        <w:rPr>
          <w:shd w:val="clear" w:color="auto" w:fill="FFFFFF"/>
        </w:rPr>
        <w:instrText xml:space="preserve"> ADDIN ZOTERO_ITEM CSL_CITATION {"citationID":"VKdV1AV1","properties":{"formattedCitation":"(Riazi et al., 2018)","plainCitation":"(Riazi et al., 2018)","dontUpdate":true,"noteIndex":0},"citationItems":[{"id":3095,"uris":["http://zotero.org/users/9207091/items/6TUVH797"],"itemData":{"id":3095,"type":"article-journal","abstract":"In this historical survey, we review 272 empirical research articles published in the Journal of Second Language Writing (JSLW) over its ﬁrst quarter century of publication. We report overall and periodic analyses (1992–1999, 2000–2010, 2011–2016) in respect to the following themes: (1) contexts and participants, (2) research foci and theoretical orientations, and (3) research methodology and data sources. The typical research contexts and participants were undergraduates in U.S. universities or colleges. The most common research foci were feedback and writing instruction and the main theoretical orientations were cognitive, social, socio-cognitive, genre, contrastive rhetoric, and critical theories. The most frequently used research methodology was qualitative and the top three data sources used by L2 writing researchers were multiple sources, text samples, and elicitation. Based on the ﬁndings, we make suggestions for future research in studies of L2 writing. Along with Tony Silva’s reﬂections on our results, the present analysis gives readers a birds-eye view of the scholarship on L2 writing over the last 25 years as represented in the JSLW.","container-title":"Journal of Second Language Writing","DOI":"10.1016/j.jslw.2018.07.002","ISSN":"10603743","journalAbbreviation":"Journal of Second Language Writing","language":"en","page":"41-54","source":"DOI.org (Crossref)","title":"Analysis of the empirical research in the journal of second language writing at its 25th year (1992–2016)","volume":"41","author":[{"family":"Riazi","given":"Mehdi"},{"family":"Shi","given":"Ling"},{"family":"Haggerty","given":"John"}],"issued":{"date-parts":[["2018",9]]}}}],"schema":"https://github.com/citation-style-language/schema/raw/master/csl-citation.json"} </w:instrText>
      </w:r>
      <w:r w:rsidRPr="006368A5">
        <w:rPr>
          <w:shd w:val="clear" w:color="auto" w:fill="FFFFFF"/>
        </w:rPr>
        <w:fldChar w:fldCharType="separate"/>
      </w:r>
      <w:r w:rsidRPr="006368A5">
        <w:rPr>
          <w:rFonts w:cs="Times New Roman"/>
        </w:rPr>
        <w:t>(</w:t>
      </w:r>
      <w:r w:rsidRPr="006368A5">
        <w:rPr>
          <w:rFonts w:cs="Times New Roman" w:hint="eastAsia"/>
        </w:rPr>
        <w:t xml:space="preserve">M. </w:t>
      </w:r>
      <w:r w:rsidRPr="006368A5">
        <w:rPr>
          <w:rFonts w:cs="Times New Roman"/>
        </w:rPr>
        <w:t>Riazi et al., 2018)</w:t>
      </w:r>
      <w:r w:rsidRPr="006368A5">
        <w:rPr>
          <w:shd w:val="clear" w:color="auto" w:fill="FFFFFF"/>
        </w:rPr>
        <w:fldChar w:fldCharType="end"/>
      </w:r>
      <w:r w:rsidRPr="006368A5">
        <w:rPr>
          <w:shd w:val="clear" w:color="auto" w:fill="FFFFFF"/>
        </w:rPr>
        <w:t xml:space="preserve"> may explain this phenomenon</w:t>
      </w:r>
      <w:r w:rsidRPr="006368A5">
        <w:rPr>
          <w:rFonts w:hint="eastAsia"/>
          <w:shd w:val="clear" w:color="auto" w:fill="FFFFFF"/>
        </w:rPr>
        <w:t xml:space="preserve">. Some </w:t>
      </w:r>
      <w:r w:rsidRPr="006368A5">
        <w:rPr>
          <w:shd w:val="clear" w:color="auto" w:fill="FFFFFF"/>
        </w:rPr>
        <w:t>researchers</w:t>
      </w:r>
      <w:r w:rsidRPr="006368A5">
        <w:rPr>
          <w:rFonts w:hint="eastAsia"/>
          <w:shd w:val="clear" w:color="auto" w:fill="FFFFFF"/>
        </w:rPr>
        <w:t xml:space="preserve"> adopted a comparative approach</w:t>
      </w:r>
      <w:r w:rsidRPr="006368A5">
        <w:rPr>
          <w:shd w:val="clear" w:color="auto" w:fill="FFFFFF"/>
        </w:rPr>
        <w:t>,</w:t>
      </w:r>
      <w:r w:rsidRPr="006368A5">
        <w:rPr>
          <w:rFonts w:hint="eastAsia"/>
          <w:shd w:val="clear" w:color="auto" w:fill="FFFFFF"/>
        </w:rPr>
        <w:t xml:space="preserve"> using a </w:t>
      </w:r>
      <w:r w:rsidRPr="006368A5">
        <w:rPr>
          <w:shd w:val="clear" w:color="auto" w:fill="FFFFFF"/>
        </w:rPr>
        <w:t>“</w:t>
      </w:r>
      <w:r w:rsidRPr="006368A5">
        <w:rPr>
          <w:rFonts w:hint="eastAsia"/>
          <w:shd w:val="clear" w:color="auto" w:fill="FFFFFF"/>
        </w:rPr>
        <w:t>multisite</w:t>
      </w:r>
      <w:r w:rsidRPr="006368A5">
        <w:rPr>
          <w:shd w:val="clear" w:color="auto" w:fill="FFFFFF"/>
        </w:rPr>
        <w:t>”</w:t>
      </w:r>
      <w:r w:rsidRPr="006368A5">
        <w:rPr>
          <w:rFonts w:hint="eastAsia"/>
          <w:shd w:val="clear" w:color="auto" w:fill="FFFFFF"/>
        </w:rPr>
        <w:t xml:space="preserve"> method, involving more than one country (e.g., </w:t>
      </w:r>
      <w:r w:rsidRPr="006368A5">
        <w:rPr>
          <w:shd w:val="clear" w:color="auto" w:fill="FFFFFF"/>
        </w:rPr>
        <w:t xml:space="preserve">United Kingdom </w:t>
      </w:r>
      <w:r w:rsidRPr="006368A5">
        <w:rPr>
          <w:rFonts w:hint="eastAsia"/>
          <w:shd w:val="clear" w:color="auto" w:fill="FFFFFF"/>
        </w:rPr>
        <w:t>and Turkey). Some studies (</w:t>
      </w:r>
      <w:r w:rsidRPr="006368A5">
        <w:rPr>
          <w:shd w:val="clear" w:color="auto" w:fill="FFFFFF"/>
        </w:rPr>
        <w:t>7%</w:t>
      </w:r>
      <w:r w:rsidRPr="006368A5">
        <w:rPr>
          <w:rFonts w:hint="eastAsia"/>
          <w:shd w:val="clear" w:color="auto" w:fill="FFFFFF"/>
        </w:rPr>
        <w:t xml:space="preserve">) </w:t>
      </w:r>
      <w:r w:rsidRPr="006368A5">
        <w:rPr>
          <w:shd w:val="clear" w:color="auto" w:fill="FFFFFF"/>
        </w:rPr>
        <w:t xml:space="preserve">could not be classified </w:t>
      </w:r>
      <w:r w:rsidRPr="006368A5">
        <w:rPr>
          <w:rFonts w:hint="eastAsia"/>
          <w:shd w:val="clear" w:color="auto" w:fill="FFFFFF"/>
        </w:rPr>
        <w:t xml:space="preserve">geographically because they used </w:t>
      </w:r>
      <w:r w:rsidRPr="006368A5">
        <w:rPr>
          <w:shd w:val="clear" w:color="auto" w:fill="FFFFFF"/>
        </w:rPr>
        <w:t>writing samples</w:t>
      </w:r>
      <w:r w:rsidRPr="006368A5">
        <w:rPr>
          <w:rFonts w:hint="eastAsia"/>
          <w:shd w:val="clear" w:color="auto" w:fill="FFFFFF"/>
        </w:rPr>
        <w:t xml:space="preserve"> directly</w:t>
      </w:r>
      <w:r w:rsidRPr="006368A5">
        <w:rPr>
          <w:shd w:val="clear" w:color="auto" w:fill="FFFFFF"/>
        </w:rPr>
        <w:t xml:space="preserve"> from standardized tests</w:t>
      </w:r>
      <w:r w:rsidRPr="006368A5">
        <w:rPr>
          <w:rFonts w:hint="eastAsia"/>
          <w:shd w:val="clear" w:color="auto" w:fill="FFFFFF"/>
        </w:rPr>
        <w:t xml:space="preserve"> (e.g., TOEFL iBT). </w:t>
      </w:r>
    </w:p>
    <w:p w14:paraId="29003BD9" w14:textId="77777777" w:rsidR="00E027AC" w:rsidRDefault="00E027AC" w:rsidP="00E027AC">
      <w:pPr>
        <w:pStyle w:val="L2JBody"/>
        <w:rPr>
          <w:shd w:val="clear" w:color="auto" w:fill="FFFFFF"/>
        </w:rPr>
      </w:pPr>
      <w:r w:rsidRPr="006368A5">
        <w:rPr>
          <w:rFonts w:hint="eastAsia"/>
          <w:shd w:val="clear" w:color="auto" w:fill="FFFFFF"/>
        </w:rPr>
        <w:t>In terms of</w:t>
      </w:r>
      <w:r w:rsidRPr="006368A5">
        <w:rPr>
          <w:shd w:val="clear" w:color="auto" w:fill="FFFFFF"/>
        </w:rPr>
        <w:t xml:space="preserve"> distinctions between English as a Second and English as a Foreign Language (ESL</w:t>
      </w:r>
      <w:r w:rsidRPr="006368A5">
        <w:rPr>
          <w:rFonts w:ascii="Times New Roman" w:hAnsi="Times New Roman" w:cs="Times New Roman"/>
          <w:shd w:val="clear" w:color="auto" w:fill="FFFFFF"/>
        </w:rPr>
        <w:t>‒</w:t>
      </w:r>
      <w:r w:rsidRPr="006368A5">
        <w:rPr>
          <w:shd w:val="clear" w:color="auto" w:fill="FFFFFF"/>
        </w:rPr>
        <w:t>EFL), my</w:t>
      </w:r>
      <w:r w:rsidRPr="006368A5">
        <w:rPr>
          <w:rFonts w:hint="eastAsia"/>
          <w:shd w:val="clear" w:color="auto" w:fill="FFFFFF"/>
        </w:rPr>
        <w:t xml:space="preserve"> analysis (see Figure 2) showed</w:t>
      </w:r>
      <w:r w:rsidRPr="006368A5">
        <w:rPr>
          <w:shd w:val="clear" w:color="auto" w:fill="FFFFFF"/>
        </w:rPr>
        <w:t xml:space="preserve"> that that more studies were conducted in ESL</w:t>
      </w:r>
      <w:r>
        <w:rPr>
          <w:shd w:val="clear" w:color="auto" w:fill="FFFFFF"/>
        </w:rPr>
        <w:t xml:space="preserve"> </w:t>
      </w:r>
      <w:r w:rsidRPr="00E027AC">
        <w:rPr>
          <w:shd w:val="clear" w:color="auto" w:fill="FFFFFF"/>
        </w:rPr>
        <w:t>contexts (United States, Canada, United Kingdom, Australia, and New Zealand), marking 57% (n=52) of the studies. The ESL proportion was not, however, notably overwhelming, signaling that EFL studies (n=31, 34%) were also increasingly used to examine students’ synthesis writing practices in English. This may also signify that EFL institutions have introduced more globalized curricula, assigning more synthesis writing tasks in English, possibly because of an increase in admissions of international students speaking English. Others (9%) referred to studies in which researchers used TOEFL samples either directly without further data collection or conducted their work in a multisite research context (ESL + EFL); I could not classify these under the ESL</w:t>
      </w:r>
      <w:r w:rsidRPr="00E027AC">
        <w:rPr>
          <w:rFonts w:ascii="Times New Roman" w:hAnsi="Times New Roman" w:cs="Times New Roman"/>
          <w:shd w:val="clear" w:color="auto" w:fill="FFFFFF"/>
        </w:rPr>
        <w:t>‒</w:t>
      </w:r>
      <w:r w:rsidRPr="00E027AC">
        <w:rPr>
          <w:shd w:val="clear" w:color="auto" w:fill="FFFFFF"/>
        </w:rPr>
        <w:t>EFL binary distinction.</w:t>
      </w:r>
    </w:p>
    <w:p w14:paraId="26122FD8" w14:textId="696A2AFE" w:rsidR="00E027AC" w:rsidRDefault="00E027AC" w:rsidP="00E027AC">
      <w:pPr>
        <w:pStyle w:val="L2JFigureCallOut"/>
        <w:rPr>
          <w:shd w:val="clear" w:color="auto" w:fill="FFFFFF"/>
        </w:rPr>
      </w:pPr>
      <w:r>
        <w:rPr>
          <w:shd w:val="clear" w:color="auto" w:fill="FFFFFF"/>
        </w:rPr>
        <w:br/>
      </w:r>
      <w:r w:rsidRPr="006368A5">
        <w:rPr>
          <w:shd w:val="clear" w:color="auto" w:fill="FFFFFF"/>
        </w:rPr>
        <w:t>Figure 2</w:t>
      </w:r>
    </w:p>
    <w:p w14:paraId="1C6897BD" w14:textId="77777777" w:rsidR="00E027AC" w:rsidRPr="00E027AC" w:rsidRDefault="00E027AC" w:rsidP="00E027AC">
      <w:pPr>
        <w:pStyle w:val="L2JFigureCallOut"/>
        <w:rPr>
          <w:shd w:val="clear" w:color="auto" w:fill="FFFFFF"/>
        </w:rPr>
      </w:pPr>
    </w:p>
    <w:p w14:paraId="22C24949" w14:textId="77777777" w:rsidR="00E027AC" w:rsidRDefault="00E027AC" w:rsidP="00E027AC">
      <w:pPr>
        <w:pStyle w:val="L2JFigureTitle"/>
        <w:rPr>
          <w:shd w:val="clear" w:color="auto" w:fill="FFFFFF"/>
        </w:rPr>
      </w:pPr>
      <w:r w:rsidRPr="006368A5">
        <w:rPr>
          <w:shd w:val="clear" w:color="auto" w:fill="FFFFFF"/>
        </w:rPr>
        <w:t xml:space="preserve">The </w:t>
      </w:r>
      <w:r w:rsidRPr="006368A5">
        <w:rPr>
          <w:rFonts w:hint="eastAsia"/>
          <w:shd w:val="clear" w:color="auto" w:fill="FFFFFF"/>
        </w:rPr>
        <w:t>P</w:t>
      </w:r>
      <w:r w:rsidRPr="006368A5">
        <w:rPr>
          <w:shd w:val="clear" w:color="auto" w:fill="FFFFFF"/>
        </w:rPr>
        <w:t xml:space="preserve">roportion of </w:t>
      </w:r>
      <w:r w:rsidRPr="006368A5">
        <w:rPr>
          <w:rFonts w:hint="eastAsia"/>
          <w:shd w:val="clear" w:color="auto" w:fill="FFFFFF"/>
        </w:rPr>
        <w:t>ESL and EFL Contexts in S</w:t>
      </w:r>
      <w:r w:rsidRPr="006368A5">
        <w:rPr>
          <w:shd w:val="clear" w:color="auto" w:fill="FFFFFF"/>
        </w:rPr>
        <w:t>ynthesis</w:t>
      </w:r>
      <w:r w:rsidRPr="006368A5">
        <w:rPr>
          <w:rFonts w:hint="eastAsia"/>
          <w:shd w:val="clear" w:color="auto" w:fill="FFFFFF"/>
        </w:rPr>
        <w:t xml:space="preserve"> W</w:t>
      </w:r>
      <w:r w:rsidRPr="006368A5">
        <w:rPr>
          <w:shd w:val="clear" w:color="auto" w:fill="FFFFFF"/>
        </w:rPr>
        <w:t>riting</w:t>
      </w:r>
      <w:r w:rsidRPr="006368A5">
        <w:rPr>
          <w:rFonts w:hint="eastAsia"/>
          <w:shd w:val="clear" w:color="auto" w:fill="FFFFFF"/>
        </w:rPr>
        <w:t xml:space="preserve"> Studies</w:t>
      </w:r>
    </w:p>
    <w:p w14:paraId="3CBFEDAA" w14:textId="77777777" w:rsidR="00E027AC" w:rsidRPr="006368A5" w:rsidRDefault="00E027AC" w:rsidP="00E027AC">
      <w:pPr>
        <w:pStyle w:val="L2JFigureTitle"/>
        <w:rPr>
          <w:shd w:val="clear" w:color="auto" w:fill="FFFFFF"/>
        </w:rPr>
      </w:pPr>
    </w:p>
    <w:p w14:paraId="12824ADE" w14:textId="77777777" w:rsidR="00E027AC" w:rsidRPr="006368A5" w:rsidRDefault="00E027AC" w:rsidP="00E027AC">
      <w:pPr>
        <w:spacing w:line="480" w:lineRule="auto"/>
        <w:rPr>
          <w:rFonts w:ascii="Times New Roman" w:eastAsia="Malgun Gothic" w:hAnsi="Times New Roman" w:cs="Arial"/>
          <w:sz w:val="24"/>
          <w:szCs w:val="24"/>
          <w:shd w:val="clear" w:color="auto" w:fill="FFFFFF"/>
        </w:rPr>
      </w:pPr>
      <w:r w:rsidRPr="006368A5">
        <w:rPr>
          <w:rFonts w:ascii="Times New Roman" w:eastAsia="Malgun Gothic" w:hAnsi="Times New Roman" w:cs="Times New Roman"/>
          <w:noProof/>
          <w:sz w:val="24"/>
          <w:szCs w:val="24"/>
          <w:lang w:val="en-ZA" w:eastAsia="zh-TW"/>
        </w:rPr>
        <w:drawing>
          <wp:inline distT="0" distB="0" distL="0" distR="0" wp14:anchorId="2B7ED5DB" wp14:editId="3BDEF6AB">
            <wp:extent cx="5486400" cy="3200400"/>
            <wp:effectExtent l="0" t="0" r="0" b="0"/>
            <wp:docPr id="58559056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51E9DF" w14:textId="77777777" w:rsidR="00E027AC" w:rsidRDefault="00E027AC" w:rsidP="00E027AC">
      <w:pPr>
        <w:pStyle w:val="L2JH3"/>
      </w:pPr>
      <w:r w:rsidRPr="00E027AC">
        <w:t>Educational Level</w:t>
      </w:r>
    </w:p>
    <w:p w14:paraId="41ED2454" w14:textId="77777777" w:rsidR="00E027AC" w:rsidRPr="00E027AC" w:rsidRDefault="00E027AC" w:rsidP="00E027AC">
      <w:pPr>
        <w:pStyle w:val="L2JH3"/>
      </w:pPr>
    </w:p>
    <w:p w14:paraId="1F423439" w14:textId="1D1E9982" w:rsidR="00E027AC" w:rsidRDefault="00E027AC" w:rsidP="00E027AC">
      <w:pPr>
        <w:pStyle w:val="L2JBody"/>
        <w:ind w:firstLine="0"/>
        <w:rPr>
          <w:shd w:val="clear" w:color="auto" w:fill="FFFFFF"/>
        </w:rPr>
      </w:pPr>
      <w:r w:rsidRPr="006368A5">
        <w:rPr>
          <w:shd w:val="clear" w:color="auto" w:fill="FFFFFF"/>
        </w:rPr>
        <w:t xml:space="preserve">The widespread practice of using source texts in higher education contexts matched the educational level of participants. </w:t>
      </w:r>
      <w:r w:rsidRPr="006368A5">
        <w:rPr>
          <w:rFonts w:hint="eastAsia"/>
          <w:shd w:val="clear" w:color="auto" w:fill="FFFFFF"/>
        </w:rPr>
        <w:t>U</w:t>
      </w:r>
      <w:r w:rsidRPr="006368A5">
        <w:rPr>
          <w:shd w:val="clear" w:color="auto" w:fill="FFFFFF"/>
        </w:rPr>
        <w:t xml:space="preserve">ndergraduate students were the most typical participants (n=39, 42%), followed by graduate students (n=20, 22%) and mixed-level participants (n=12, </w:t>
      </w:r>
      <w:r w:rsidRPr="006368A5">
        <w:rPr>
          <w:shd w:val="clear" w:color="auto" w:fill="FFFFFF"/>
        </w:rPr>
        <w:lastRenderedPageBreak/>
        <w:t>13%), the latter a combination of participant groups, for example, undergraduate and graduate students. Notably, in K</w:t>
      </w:r>
      <w:r w:rsidRPr="006368A5">
        <w:rPr>
          <w:rFonts w:ascii="Times New Roman" w:hAnsi="Times New Roman" w:cs="Times New Roman"/>
          <w:shd w:val="clear" w:color="auto" w:fill="FFFFFF"/>
        </w:rPr>
        <w:t>‒</w:t>
      </w:r>
      <w:r w:rsidRPr="006368A5">
        <w:rPr>
          <w:shd w:val="clear" w:color="auto" w:fill="FFFFFF"/>
        </w:rPr>
        <w:t xml:space="preserve">12 settings, no studies had been conducted in elementary schools, </w:t>
      </w:r>
      <w:r w:rsidRPr="006368A5">
        <w:rPr>
          <w:rFonts w:hint="eastAsia"/>
          <w:shd w:val="clear" w:color="auto" w:fill="FFFFFF"/>
        </w:rPr>
        <w:t>with</w:t>
      </w:r>
      <w:r w:rsidRPr="006368A5">
        <w:rPr>
          <w:shd w:val="clear" w:color="auto" w:fill="FFFFFF"/>
        </w:rPr>
        <w:t xml:space="preserve"> only a few studies (n=4, 4%) conducted in secondary schools. </w:t>
      </w:r>
      <w:r w:rsidRPr="006368A5">
        <w:rPr>
          <w:rFonts w:hint="eastAsia"/>
          <w:shd w:val="clear" w:color="auto" w:fill="FFFFFF"/>
        </w:rPr>
        <w:t xml:space="preserve">This signals </w:t>
      </w:r>
      <w:r w:rsidRPr="006368A5">
        <w:rPr>
          <w:shd w:val="clear" w:color="auto" w:fill="FFFFFF"/>
        </w:rPr>
        <w:t>scant</w:t>
      </w:r>
      <w:r w:rsidRPr="006368A5">
        <w:rPr>
          <w:rFonts w:hint="eastAsia"/>
          <w:shd w:val="clear" w:color="auto" w:fill="FFFFFF"/>
        </w:rPr>
        <w:t xml:space="preserve"> research</w:t>
      </w:r>
      <w:r>
        <w:rPr>
          <w:rFonts w:eastAsia="Malgun Gothic" w:cs="Arial"/>
          <w:b/>
          <w:bCs/>
          <w:shd w:val="clear" w:color="auto" w:fill="FFFFFF"/>
        </w:rPr>
        <w:t xml:space="preserve"> </w:t>
      </w:r>
      <w:r w:rsidRPr="006368A5">
        <w:rPr>
          <w:rFonts w:hint="eastAsia"/>
          <w:shd w:val="clear" w:color="auto" w:fill="FFFFFF"/>
        </w:rPr>
        <w:t>on K</w:t>
      </w:r>
      <w:r w:rsidRPr="006368A5">
        <w:rPr>
          <w:rFonts w:ascii="Times New Roman" w:hAnsi="Times New Roman" w:cs="Times New Roman"/>
          <w:shd w:val="clear" w:color="auto" w:fill="FFFFFF"/>
        </w:rPr>
        <w:t>‒</w:t>
      </w:r>
      <w:r w:rsidRPr="006368A5">
        <w:rPr>
          <w:rFonts w:hint="eastAsia"/>
          <w:shd w:val="clear" w:color="auto" w:fill="FFFFFF"/>
        </w:rPr>
        <w:t xml:space="preserve">12 school-aged learners </w:t>
      </w:r>
      <w:r w:rsidRPr="006368A5">
        <w:rPr>
          <w:shd w:val="clear" w:color="auto" w:fill="FFFFFF"/>
        </w:rPr>
        <w:t>despite</w:t>
      </w:r>
      <w:r w:rsidRPr="006368A5">
        <w:rPr>
          <w:rFonts w:hint="eastAsia"/>
          <w:shd w:val="clear" w:color="auto" w:fill="FFFFFF"/>
        </w:rPr>
        <w:t xml:space="preserve"> the importance of synthesizing skills across all </w:t>
      </w:r>
      <w:r w:rsidRPr="006368A5">
        <w:rPr>
          <w:shd w:val="clear" w:color="auto" w:fill="FFFFFF"/>
        </w:rPr>
        <w:t>educational</w:t>
      </w:r>
      <w:r w:rsidRPr="006368A5">
        <w:rPr>
          <w:rFonts w:hint="eastAsia"/>
          <w:shd w:val="clear" w:color="auto" w:fill="FFFFFF"/>
        </w:rPr>
        <w:t xml:space="preserve"> </w:t>
      </w:r>
      <w:r w:rsidRPr="006368A5">
        <w:rPr>
          <w:shd w:val="clear" w:color="auto" w:fill="FFFFFF"/>
        </w:rPr>
        <w:t>levels,</w:t>
      </w:r>
      <w:r w:rsidRPr="006368A5">
        <w:rPr>
          <w:rFonts w:hint="eastAsia"/>
          <w:shd w:val="clear" w:color="auto" w:fill="FFFFFF"/>
        </w:rPr>
        <w:t xml:space="preserve"> including elementary school </w:t>
      </w:r>
      <w:r w:rsidRPr="006368A5">
        <w:rPr>
          <w:shd w:val="clear" w:color="auto" w:fill="FFFFFF"/>
        </w:rPr>
        <w:fldChar w:fldCharType="begin"/>
      </w:r>
      <w:r w:rsidRPr="006368A5">
        <w:rPr>
          <w:shd w:val="clear" w:color="auto" w:fill="FFFFFF"/>
        </w:rPr>
        <w:instrText xml:space="preserve"> ADDIN ZOTERO_ITEM CSL_CITATION {"citationID":"YEYNdk5U","properties":{"formattedCitation":"(Baxter &amp; Neumann, 2023)","plainCitation":"(Baxter &amp; Neumann, 2023)","noteIndex":0},"citationItems":[{"id":3242,"uris":["http://zotero.org/users/9207091/items/Y4QXT2RG"],"itemData":{"id":3242,"type":"article-journal","container-title":"Journal of Second Language Writing","note":"publisher: Elsevier","page":"101064","source":"Google Scholar","title":"Source-based writing of the high-and low-proficiency adolescent writer in the high-school L2 classroom","volume":"62","author":[{"family":"Baxter","given":"Gillian"},{"family":"Neumann","given":"Heike"}],"issued":{"date-parts":[["2023"]]}}}],"schema":"https://github.com/citation-style-language/schema/raw/master/csl-citation.json"} </w:instrText>
      </w:r>
      <w:r w:rsidRPr="006368A5">
        <w:rPr>
          <w:shd w:val="clear" w:color="auto" w:fill="FFFFFF"/>
        </w:rPr>
        <w:fldChar w:fldCharType="separate"/>
      </w:r>
      <w:r w:rsidRPr="006368A5">
        <w:t>(Baxter &amp; Neumann, 2023)</w:t>
      </w:r>
      <w:r w:rsidRPr="006368A5">
        <w:rPr>
          <w:shd w:val="clear" w:color="auto" w:fill="FFFFFF"/>
        </w:rPr>
        <w:fldChar w:fldCharType="end"/>
      </w:r>
      <w:r w:rsidRPr="006368A5">
        <w:rPr>
          <w:rFonts w:hint="eastAsia"/>
          <w:shd w:val="clear" w:color="auto" w:fill="FFFFFF"/>
        </w:rPr>
        <w:t xml:space="preserve">. </w:t>
      </w:r>
      <w:r w:rsidRPr="006368A5">
        <w:rPr>
          <w:shd w:val="clear" w:color="auto" w:fill="FFFFFF"/>
        </w:rPr>
        <w:t>Only one study (1%) examined teachers as the sole participant group in contrast to the many student-oriented studies.</w:t>
      </w:r>
      <w:r w:rsidRPr="006368A5">
        <w:rPr>
          <w:rFonts w:hint="eastAsia"/>
          <w:shd w:val="clear" w:color="auto" w:fill="FFFFFF"/>
        </w:rPr>
        <w:t xml:space="preserve"> This also </w:t>
      </w:r>
      <w:r w:rsidRPr="006368A5">
        <w:rPr>
          <w:shd w:val="clear" w:color="auto" w:fill="FFFFFF"/>
        </w:rPr>
        <w:t>highlights</w:t>
      </w:r>
      <w:r w:rsidRPr="006368A5">
        <w:rPr>
          <w:rFonts w:hint="eastAsia"/>
          <w:shd w:val="clear" w:color="auto" w:fill="FFFFFF"/>
        </w:rPr>
        <w:t xml:space="preserve"> the </w:t>
      </w:r>
      <w:r w:rsidRPr="006368A5">
        <w:rPr>
          <w:shd w:val="clear" w:color="auto" w:fill="FFFFFF"/>
        </w:rPr>
        <w:t xml:space="preserve">preference in the </w:t>
      </w:r>
      <w:r w:rsidRPr="006368A5">
        <w:rPr>
          <w:rFonts w:hint="eastAsia"/>
          <w:shd w:val="clear" w:color="auto" w:fill="FFFFFF"/>
        </w:rPr>
        <w:t xml:space="preserve">field </w:t>
      </w:r>
      <w:r w:rsidRPr="006368A5">
        <w:rPr>
          <w:shd w:val="clear" w:color="auto" w:fill="FFFFFF"/>
        </w:rPr>
        <w:t>for</w:t>
      </w:r>
      <w:r w:rsidRPr="006368A5">
        <w:rPr>
          <w:rFonts w:hint="eastAsia"/>
          <w:shd w:val="clear" w:color="auto" w:fill="FFFFFF"/>
        </w:rPr>
        <w:t xml:space="preserve"> researching learners over teachers even though teacher </w:t>
      </w:r>
      <w:r w:rsidRPr="006368A5">
        <w:rPr>
          <w:shd w:val="clear" w:color="auto" w:fill="FFFFFF"/>
        </w:rPr>
        <w:t>perspectives</w:t>
      </w:r>
      <w:r w:rsidRPr="006368A5">
        <w:rPr>
          <w:rFonts w:hint="eastAsia"/>
          <w:shd w:val="clear" w:color="auto" w:fill="FFFFFF"/>
        </w:rPr>
        <w:t xml:space="preserve"> and practices are crucial to enhancing writing pedagogies. </w:t>
      </w:r>
    </w:p>
    <w:p w14:paraId="2716D28C" w14:textId="77777777" w:rsidR="00E027AC" w:rsidRPr="00E027AC" w:rsidRDefault="00E027AC" w:rsidP="00E027AC">
      <w:pPr>
        <w:pStyle w:val="L2JBody"/>
        <w:ind w:firstLine="0"/>
        <w:rPr>
          <w:rFonts w:eastAsia="Malgun Gothic" w:cs="Arial"/>
          <w:b/>
          <w:bCs/>
          <w:shd w:val="clear" w:color="auto" w:fill="FFFFFF"/>
        </w:rPr>
      </w:pPr>
    </w:p>
    <w:p w14:paraId="659CFE17" w14:textId="6587A141" w:rsidR="00E027AC" w:rsidRDefault="00E027AC" w:rsidP="00E027AC">
      <w:pPr>
        <w:pStyle w:val="L2JH3"/>
        <w:rPr>
          <w:shd w:val="clear" w:color="auto" w:fill="FFFFFF"/>
        </w:rPr>
      </w:pPr>
      <w:r w:rsidRPr="006368A5">
        <w:rPr>
          <w:shd w:val="clear" w:color="auto" w:fill="FFFFFF"/>
        </w:rPr>
        <w:t xml:space="preserve">Participant Characteristics: First Language, and Discipline </w:t>
      </w:r>
    </w:p>
    <w:p w14:paraId="14D179B2" w14:textId="77777777" w:rsidR="00E027AC" w:rsidRPr="006368A5" w:rsidRDefault="00E027AC" w:rsidP="00E027AC">
      <w:pPr>
        <w:pStyle w:val="L2JH3"/>
        <w:rPr>
          <w:shd w:val="clear" w:color="auto" w:fill="FFFFFF"/>
        </w:rPr>
      </w:pPr>
    </w:p>
    <w:p w14:paraId="52CCB436" w14:textId="77777777" w:rsidR="00E027AC" w:rsidRDefault="00E027AC" w:rsidP="00E027AC">
      <w:pPr>
        <w:pStyle w:val="L2JBody"/>
        <w:ind w:firstLine="0"/>
        <w:rPr>
          <w:shd w:val="clear" w:color="auto" w:fill="FFFFFF"/>
        </w:rPr>
      </w:pPr>
      <w:r w:rsidRPr="006368A5">
        <w:rPr>
          <w:shd w:val="clear" w:color="auto" w:fill="FFFFFF"/>
        </w:rPr>
        <w:t xml:space="preserve">Participants in the study came from diverse backgrounds, particularly </w:t>
      </w:r>
      <w:proofErr w:type="gramStart"/>
      <w:r w:rsidRPr="006368A5">
        <w:rPr>
          <w:shd w:val="clear" w:color="auto" w:fill="FFFFFF"/>
        </w:rPr>
        <w:t>with regard to</w:t>
      </w:r>
      <w:proofErr w:type="gramEnd"/>
      <w:r w:rsidRPr="006368A5">
        <w:rPr>
          <w:shd w:val="clear" w:color="auto" w:fill="FFFFFF"/>
        </w:rPr>
        <w:t xml:space="preserve"> their L1:</w:t>
      </w:r>
      <w:r w:rsidRPr="006368A5">
        <w:rPr>
          <w:rFonts w:hint="eastAsia"/>
          <w:shd w:val="clear" w:color="auto" w:fill="FFFFFF"/>
        </w:rPr>
        <w:t xml:space="preserve"> </w:t>
      </w:r>
      <w:r w:rsidRPr="006368A5">
        <w:rPr>
          <w:shd w:val="clear" w:color="auto" w:fill="FFFFFF"/>
        </w:rPr>
        <w:t>Chinese, Arabic, Korean, and Spanish were the most common first languages of the participants, followed by French, Farsi, and Vietnamese.</w:t>
      </w:r>
      <w:r w:rsidRPr="006368A5">
        <w:rPr>
          <w:rFonts w:hint="eastAsia"/>
          <w:shd w:val="clear" w:color="auto" w:fill="FFFFFF"/>
        </w:rPr>
        <w:t xml:space="preserve"> </w:t>
      </w:r>
      <w:r w:rsidRPr="006368A5">
        <w:rPr>
          <w:shd w:val="clear" w:color="auto" w:fill="FFFFFF"/>
        </w:rPr>
        <w:t>Regarding</w:t>
      </w:r>
      <w:r w:rsidRPr="006368A5">
        <w:rPr>
          <w:rFonts w:hint="eastAsia"/>
          <w:shd w:val="clear" w:color="auto" w:fill="FFFFFF"/>
        </w:rPr>
        <w:t xml:space="preserve"> academic </w:t>
      </w:r>
      <w:r w:rsidRPr="006368A5">
        <w:rPr>
          <w:shd w:val="clear" w:color="auto" w:fill="FFFFFF"/>
        </w:rPr>
        <w:t>fields</w:t>
      </w:r>
      <w:r w:rsidRPr="006368A5">
        <w:rPr>
          <w:rFonts w:hint="eastAsia"/>
          <w:shd w:val="clear" w:color="auto" w:fill="FFFFFF"/>
        </w:rPr>
        <w:t>, students came from various departments</w:t>
      </w:r>
      <w:r w:rsidRPr="006368A5">
        <w:rPr>
          <w:shd w:val="clear" w:color="auto" w:fill="FFFFFF"/>
        </w:rPr>
        <w:t>,</w:t>
      </w:r>
      <w:r w:rsidRPr="006368A5">
        <w:rPr>
          <w:rFonts w:hint="eastAsia"/>
          <w:shd w:val="clear" w:color="auto" w:fill="FFFFFF"/>
        </w:rPr>
        <w:t xml:space="preserve"> including business, English, linguistics, </w:t>
      </w:r>
      <w:r w:rsidRPr="006368A5">
        <w:rPr>
          <w:shd w:val="clear" w:color="auto" w:fill="FFFFFF"/>
        </w:rPr>
        <w:t>engineering,</w:t>
      </w:r>
      <w:r w:rsidRPr="006368A5">
        <w:rPr>
          <w:rFonts w:hint="eastAsia"/>
          <w:shd w:val="clear" w:color="auto" w:fill="FFFFFF"/>
        </w:rPr>
        <w:t xml:space="preserve"> and </w:t>
      </w:r>
      <w:r w:rsidRPr="006368A5">
        <w:rPr>
          <w:shd w:val="clear" w:color="auto" w:fill="FFFFFF"/>
        </w:rPr>
        <w:t>computer</w:t>
      </w:r>
      <w:r w:rsidRPr="006368A5">
        <w:rPr>
          <w:rFonts w:hint="eastAsia"/>
          <w:shd w:val="clear" w:color="auto" w:fill="FFFFFF"/>
        </w:rPr>
        <w:t xml:space="preserve"> science. </w:t>
      </w:r>
      <w:r w:rsidRPr="006368A5">
        <w:rPr>
          <w:shd w:val="clear" w:color="auto" w:fill="FFFFFF"/>
        </w:rPr>
        <w:t xml:space="preserve">The </w:t>
      </w:r>
      <w:r w:rsidRPr="006368A5">
        <w:rPr>
          <w:rFonts w:hint="eastAsia"/>
          <w:shd w:val="clear" w:color="auto" w:fill="FFFFFF"/>
        </w:rPr>
        <w:t>English proficiency level</w:t>
      </w:r>
      <w:r w:rsidRPr="006368A5">
        <w:rPr>
          <w:shd w:val="clear" w:color="auto" w:fill="FFFFFF"/>
        </w:rPr>
        <w:t xml:space="preserve"> of</w:t>
      </w:r>
      <w:r w:rsidRPr="006368A5">
        <w:rPr>
          <w:rFonts w:hint="eastAsia"/>
          <w:shd w:val="clear" w:color="auto" w:fill="FFFFFF"/>
        </w:rPr>
        <w:t xml:space="preserve"> participants w</w:t>
      </w:r>
      <w:r w:rsidRPr="006368A5">
        <w:rPr>
          <w:shd w:val="clear" w:color="auto" w:fill="FFFFFF"/>
        </w:rPr>
        <w:t>as</w:t>
      </w:r>
      <w:r w:rsidRPr="006368A5">
        <w:rPr>
          <w:rFonts w:hint="eastAsia"/>
          <w:shd w:val="clear" w:color="auto" w:fill="FFFFFF"/>
        </w:rPr>
        <w:t xml:space="preserve"> typically at the B1-B2 level in the CEFR levels (with C2 as the highest grade), 6.5</w:t>
      </w:r>
      <w:r w:rsidRPr="006368A5">
        <w:rPr>
          <w:rFonts w:ascii="Times New Roman" w:hAnsi="Times New Roman" w:cs="Times New Roman"/>
          <w:shd w:val="clear" w:color="auto" w:fill="FFFFFF"/>
        </w:rPr>
        <w:t>‒</w:t>
      </w:r>
      <w:r w:rsidRPr="006368A5">
        <w:rPr>
          <w:rFonts w:hint="eastAsia"/>
          <w:shd w:val="clear" w:color="auto" w:fill="FFFFFF"/>
        </w:rPr>
        <w:t xml:space="preserve">7.0 </w:t>
      </w:r>
      <w:r w:rsidRPr="006368A5">
        <w:rPr>
          <w:shd w:val="clear" w:color="auto" w:fill="FFFFFF"/>
        </w:rPr>
        <w:t>o</w:t>
      </w:r>
      <w:r w:rsidRPr="006368A5">
        <w:rPr>
          <w:rFonts w:hint="eastAsia"/>
          <w:shd w:val="clear" w:color="auto" w:fill="FFFFFF"/>
        </w:rPr>
        <w:t>n the IELTS exam (out of 9.0)</w:t>
      </w:r>
      <w:r w:rsidRPr="006368A5">
        <w:rPr>
          <w:shd w:val="clear" w:color="auto" w:fill="FFFFFF"/>
        </w:rPr>
        <w:t>,</w:t>
      </w:r>
      <w:r w:rsidRPr="006368A5">
        <w:rPr>
          <w:rFonts w:hint="eastAsia"/>
          <w:shd w:val="clear" w:color="auto" w:fill="FFFFFF"/>
        </w:rPr>
        <w:t xml:space="preserve"> and 60</w:t>
      </w:r>
      <w:r w:rsidRPr="006368A5">
        <w:rPr>
          <w:rFonts w:ascii="Times New Roman" w:hAnsi="Times New Roman" w:cs="Times New Roman"/>
          <w:shd w:val="clear" w:color="auto" w:fill="FFFFFF"/>
        </w:rPr>
        <w:t>‒</w:t>
      </w:r>
      <w:r w:rsidRPr="006368A5">
        <w:rPr>
          <w:rFonts w:hint="eastAsia"/>
          <w:shd w:val="clear" w:color="auto" w:fill="FFFFFF"/>
        </w:rPr>
        <w:t xml:space="preserve">94 </w:t>
      </w:r>
      <w:r w:rsidRPr="006368A5">
        <w:rPr>
          <w:shd w:val="clear" w:color="auto" w:fill="FFFFFF"/>
        </w:rPr>
        <w:t>o</w:t>
      </w:r>
      <w:r w:rsidRPr="006368A5">
        <w:rPr>
          <w:rFonts w:hint="eastAsia"/>
          <w:shd w:val="clear" w:color="auto" w:fill="FFFFFF"/>
        </w:rPr>
        <w:t>n the TOEFL iBT exam (out of 120)</w:t>
      </w:r>
      <w:r w:rsidRPr="006368A5">
        <w:rPr>
          <w:shd w:val="clear" w:color="auto" w:fill="FFFFFF"/>
        </w:rPr>
        <w:t xml:space="preserve">, demonstrating </w:t>
      </w:r>
      <w:r w:rsidRPr="006368A5">
        <w:rPr>
          <w:rFonts w:hint="eastAsia"/>
          <w:shd w:val="clear" w:color="auto" w:fill="FFFFFF"/>
        </w:rPr>
        <w:t xml:space="preserve">that the participants were generally at the intermediate to high-intermediate level. </w:t>
      </w:r>
      <w:r w:rsidRPr="006368A5">
        <w:rPr>
          <w:shd w:val="clear" w:color="auto" w:fill="FFFFFF"/>
        </w:rPr>
        <w:t>Because</w:t>
      </w:r>
      <w:r w:rsidRPr="006368A5">
        <w:rPr>
          <w:rFonts w:hint="eastAsia"/>
          <w:shd w:val="clear" w:color="auto" w:fill="FFFFFF"/>
        </w:rPr>
        <w:t xml:space="preserve"> the participants</w:t>
      </w:r>
      <w:r w:rsidRPr="006368A5">
        <w:rPr>
          <w:shd w:val="clear" w:color="auto" w:fill="FFFFFF"/>
        </w:rPr>
        <w:t>,</w:t>
      </w:r>
      <w:r w:rsidRPr="006368A5">
        <w:rPr>
          <w:rFonts w:hint="eastAsia"/>
          <w:shd w:val="clear" w:color="auto" w:fill="FFFFFF"/>
        </w:rPr>
        <w:t xml:space="preserve"> typically recruited </w:t>
      </w:r>
      <w:r w:rsidRPr="006368A5">
        <w:rPr>
          <w:shd w:val="clear" w:color="auto" w:fill="FFFFFF"/>
        </w:rPr>
        <w:t>from</w:t>
      </w:r>
      <w:r w:rsidRPr="006368A5">
        <w:rPr>
          <w:rFonts w:hint="eastAsia"/>
          <w:shd w:val="clear" w:color="auto" w:fill="FFFFFF"/>
        </w:rPr>
        <w:t xml:space="preserve"> </w:t>
      </w:r>
      <w:r w:rsidRPr="006368A5">
        <w:rPr>
          <w:shd w:val="clear" w:color="auto" w:fill="FFFFFF"/>
        </w:rPr>
        <w:t>English for Academic Purposes (</w:t>
      </w:r>
      <w:r w:rsidRPr="006368A5">
        <w:rPr>
          <w:rFonts w:hint="eastAsia"/>
          <w:shd w:val="clear" w:color="auto" w:fill="FFFFFF"/>
        </w:rPr>
        <w:t>EAP</w:t>
      </w:r>
      <w:r w:rsidRPr="006368A5">
        <w:rPr>
          <w:shd w:val="clear" w:color="auto" w:fill="FFFFFF"/>
        </w:rPr>
        <w:t>)</w:t>
      </w:r>
      <w:r w:rsidRPr="006368A5">
        <w:rPr>
          <w:rFonts w:hint="eastAsia"/>
          <w:shd w:val="clear" w:color="auto" w:fill="FFFFFF"/>
        </w:rPr>
        <w:t xml:space="preserve"> courses</w:t>
      </w:r>
      <w:r w:rsidRPr="006368A5">
        <w:rPr>
          <w:shd w:val="clear" w:color="auto" w:fill="FFFFFF"/>
        </w:rPr>
        <w:t>,</w:t>
      </w:r>
      <w:r w:rsidRPr="006368A5">
        <w:rPr>
          <w:rFonts w:hint="eastAsia"/>
          <w:shd w:val="clear" w:color="auto" w:fill="FFFFFF"/>
        </w:rPr>
        <w:t xml:space="preserve"> had not met language criteria based on the university</w:t>
      </w:r>
      <w:r w:rsidRPr="006368A5">
        <w:rPr>
          <w:shd w:val="clear" w:color="auto" w:fill="FFFFFF"/>
        </w:rPr>
        <w:t>’</w:t>
      </w:r>
      <w:r w:rsidRPr="006368A5">
        <w:rPr>
          <w:rFonts w:hint="eastAsia"/>
          <w:shd w:val="clear" w:color="auto" w:fill="FFFFFF"/>
        </w:rPr>
        <w:t>s placement exams or standardized tests, they were normally not at the advanced</w:t>
      </w:r>
      <w:r w:rsidRPr="006368A5">
        <w:rPr>
          <w:shd w:val="clear" w:color="auto" w:fill="FFFFFF"/>
        </w:rPr>
        <w:t xml:space="preserve"> </w:t>
      </w:r>
      <w:r w:rsidRPr="006368A5">
        <w:rPr>
          <w:rFonts w:hint="eastAsia"/>
          <w:shd w:val="clear" w:color="auto" w:fill="FFFFFF"/>
        </w:rPr>
        <w:t>level.</w:t>
      </w:r>
    </w:p>
    <w:p w14:paraId="24DB2E89" w14:textId="77777777" w:rsidR="00E027AC" w:rsidRPr="006368A5" w:rsidRDefault="00E027AC" w:rsidP="00E027AC">
      <w:pPr>
        <w:pStyle w:val="L2JBody"/>
        <w:ind w:firstLine="0"/>
        <w:rPr>
          <w:shd w:val="clear" w:color="auto" w:fill="FFFFFF"/>
        </w:rPr>
      </w:pPr>
    </w:p>
    <w:p w14:paraId="122A5F20" w14:textId="77777777" w:rsidR="00E027AC" w:rsidRDefault="00E027AC" w:rsidP="00E027AC">
      <w:pPr>
        <w:pStyle w:val="L2JH2"/>
        <w:rPr>
          <w:shd w:val="clear" w:color="auto" w:fill="FFFFFF"/>
        </w:rPr>
      </w:pPr>
      <w:r w:rsidRPr="006368A5">
        <w:rPr>
          <w:shd w:val="clear" w:color="auto" w:fill="FFFFFF"/>
        </w:rPr>
        <w:t>RQ 2: Theoretical Frameworks Used in Synthesis Writing Research</w:t>
      </w:r>
    </w:p>
    <w:p w14:paraId="420731E2" w14:textId="77777777" w:rsidR="00E027AC" w:rsidRDefault="00E027AC" w:rsidP="00E027AC">
      <w:pPr>
        <w:pStyle w:val="L2JBody"/>
        <w:ind w:firstLine="0"/>
        <w:rPr>
          <w:shd w:val="clear" w:color="auto" w:fill="FFFFFF"/>
        </w:rPr>
      </w:pPr>
    </w:p>
    <w:p w14:paraId="7E900A7D" w14:textId="098EB01E" w:rsidR="00E027AC" w:rsidRPr="006368A5" w:rsidRDefault="00E027AC" w:rsidP="00E027AC">
      <w:pPr>
        <w:pStyle w:val="L2JBody"/>
        <w:ind w:firstLine="0"/>
        <w:rPr>
          <w:shd w:val="clear" w:color="auto" w:fill="FFFFFF"/>
        </w:rPr>
      </w:pPr>
      <w:r w:rsidRPr="006368A5">
        <w:rPr>
          <w:rFonts w:hint="eastAsia"/>
          <w:shd w:val="clear" w:color="auto" w:fill="FFFFFF"/>
        </w:rPr>
        <w:t xml:space="preserve">During </w:t>
      </w:r>
      <w:r w:rsidRPr="006368A5">
        <w:rPr>
          <w:shd w:val="clear" w:color="auto" w:fill="FFFFFF"/>
        </w:rPr>
        <w:t xml:space="preserve">my </w:t>
      </w:r>
      <w:r w:rsidRPr="006368A5">
        <w:rPr>
          <w:rFonts w:hint="eastAsia"/>
          <w:shd w:val="clear" w:color="auto" w:fill="FFFFFF"/>
        </w:rPr>
        <w:t xml:space="preserve">analysis of theoretical orientation, </w:t>
      </w:r>
      <w:r w:rsidRPr="006368A5">
        <w:rPr>
          <w:shd w:val="clear" w:color="auto" w:fill="FFFFFF"/>
        </w:rPr>
        <w:t xml:space="preserve">I found </w:t>
      </w:r>
      <w:r w:rsidRPr="006368A5">
        <w:rPr>
          <w:rFonts w:hint="eastAsia"/>
          <w:shd w:val="clear" w:color="auto" w:fill="FFFFFF"/>
        </w:rPr>
        <w:t>seven categories</w:t>
      </w:r>
      <w:r w:rsidRPr="006368A5">
        <w:rPr>
          <w:shd w:val="clear" w:color="auto" w:fill="FFFFFF"/>
        </w:rPr>
        <w:t xml:space="preserve">: </w:t>
      </w:r>
      <w:r w:rsidRPr="006368A5">
        <w:rPr>
          <w:rFonts w:hint="eastAsia"/>
          <w:shd w:val="clear" w:color="auto" w:fill="FFFFFF"/>
        </w:rPr>
        <w:t>cognitive</w:t>
      </w:r>
      <w:r w:rsidRPr="006368A5">
        <w:rPr>
          <w:shd w:val="clear" w:color="auto" w:fill="FFFFFF"/>
        </w:rPr>
        <w:t>,</w:t>
      </w:r>
      <w:r w:rsidRPr="006368A5">
        <w:rPr>
          <w:rFonts w:hint="eastAsia"/>
          <w:shd w:val="clear" w:color="auto" w:fill="FFFFFF"/>
        </w:rPr>
        <w:t xml:space="preserve"> social or sociocultural</w:t>
      </w:r>
      <w:r w:rsidRPr="006368A5">
        <w:rPr>
          <w:shd w:val="clear" w:color="auto" w:fill="FFFFFF"/>
        </w:rPr>
        <w:t>,</w:t>
      </w:r>
      <w:r w:rsidRPr="006368A5">
        <w:rPr>
          <w:rFonts w:hint="eastAsia"/>
          <w:shd w:val="clear" w:color="auto" w:fill="FFFFFF"/>
        </w:rPr>
        <w:t xml:space="preserve"> </w:t>
      </w:r>
      <w:proofErr w:type="spellStart"/>
      <w:r w:rsidRPr="006368A5">
        <w:rPr>
          <w:rFonts w:hint="eastAsia"/>
          <w:shd w:val="clear" w:color="auto" w:fill="FFFFFF"/>
        </w:rPr>
        <w:t>sociocognitive</w:t>
      </w:r>
      <w:proofErr w:type="spellEnd"/>
      <w:r w:rsidRPr="006368A5">
        <w:rPr>
          <w:shd w:val="clear" w:color="auto" w:fill="FFFFFF"/>
        </w:rPr>
        <w:t>,</w:t>
      </w:r>
      <w:r w:rsidRPr="006368A5">
        <w:rPr>
          <w:rFonts w:hint="eastAsia"/>
          <w:shd w:val="clear" w:color="auto" w:fill="FFFFFF"/>
        </w:rPr>
        <w:t xml:space="preserve"> genre or rhetoric</w:t>
      </w:r>
      <w:r w:rsidRPr="006368A5">
        <w:rPr>
          <w:shd w:val="clear" w:color="auto" w:fill="FFFFFF"/>
        </w:rPr>
        <w:t>,</w:t>
      </w:r>
      <w:r w:rsidRPr="006368A5">
        <w:rPr>
          <w:rFonts w:hint="eastAsia"/>
          <w:shd w:val="clear" w:color="auto" w:fill="FFFFFF"/>
        </w:rPr>
        <w:t xml:space="preserve"> critical</w:t>
      </w:r>
      <w:r w:rsidRPr="006368A5">
        <w:rPr>
          <w:shd w:val="clear" w:color="auto" w:fill="FFFFFF"/>
        </w:rPr>
        <w:t>,</w:t>
      </w:r>
      <w:r w:rsidRPr="006368A5">
        <w:rPr>
          <w:rFonts w:hint="eastAsia"/>
          <w:shd w:val="clear" w:color="auto" w:fill="FFFFFF"/>
        </w:rPr>
        <w:t xml:space="preserve"> two or more orientations</w:t>
      </w:r>
      <w:r w:rsidRPr="006368A5">
        <w:rPr>
          <w:shd w:val="clear" w:color="auto" w:fill="FFFFFF"/>
        </w:rPr>
        <w:t>,</w:t>
      </w:r>
      <w:r w:rsidRPr="006368A5">
        <w:rPr>
          <w:rFonts w:hint="eastAsia"/>
          <w:shd w:val="clear" w:color="auto" w:fill="FFFFFF"/>
        </w:rPr>
        <w:t xml:space="preserve"> and unspecified. </w:t>
      </w:r>
      <w:r w:rsidRPr="006368A5">
        <w:rPr>
          <w:shd w:val="clear" w:color="auto" w:fill="FFFFFF"/>
        </w:rPr>
        <w:t xml:space="preserve">I applied </w:t>
      </w:r>
      <w:r w:rsidRPr="006368A5">
        <w:rPr>
          <w:rFonts w:hint="eastAsia"/>
          <w:shd w:val="clear" w:color="auto" w:fill="FFFFFF"/>
        </w:rPr>
        <w:t xml:space="preserve">explanations </w:t>
      </w:r>
      <w:r w:rsidRPr="006368A5">
        <w:rPr>
          <w:shd w:val="clear" w:color="auto" w:fill="FFFFFF"/>
        </w:rPr>
        <w:t>by</w:t>
      </w:r>
      <w:r>
        <w:rPr>
          <w:shd w:val="clear" w:color="auto" w:fill="FFFFFF"/>
        </w:rPr>
        <w:t xml:space="preserve"> </w:t>
      </w:r>
      <w:r w:rsidRPr="006368A5">
        <w:rPr>
          <w:shd w:val="clear" w:color="auto" w:fill="FFFFFF"/>
        </w:rPr>
        <w:fldChar w:fldCharType="begin"/>
      </w:r>
      <w:r w:rsidRPr="006368A5">
        <w:rPr>
          <w:shd w:val="clear" w:color="auto" w:fill="FFFFFF"/>
        </w:rPr>
        <w:instrText xml:space="preserve"> ADDIN ZOTERO_ITEM CSL_CITATION {"citationID":"TWumeqpu","properties":{"formattedCitation":"(Riazi et al., 2018)","plainCitation":"(Riazi et al., 2018)","dontUpdate":true,"noteIndex":0},"citationItems":[{"id":3095,"uris":["http://zotero.org/users/9207091/items/6TUVH797"],"itemData":{"id":3095,"type":"article-journal","abstract":"In this historical survey, we review 272 empirical research articles published in the Journal of Second Language Writing (JSLW) over its ﬁrst quarter century of publication. We report overall and periodic analyses (1992–1999, 2000–2010, 2011–2016) in respect to the following themes: (1) contexts and participants, (2) research foci and theoretical orientations, and (3) research methodology and data sources. The typical research contexts and participants were undergraduates in U.S. universities or colleges. The most common research foci were feedback and writing instruction and the main theoretical orientations were cognitive, social, socio-cognitive, genre, contrastive rhetoric, and critical theories. The most frequently used research methodology was qualitative and the top three data sources used by L2 writing researchers were multiple sources, text samples, and elicitation. Based on the ﬁndings, we make suggestions for future research in studies of L2 writing. Along with Tony Silva’s reﬂections on our results, the present analysis gives readers a birds-eye view of the scholarship on L2 writing over the last 25 years as represented in the JSLW.","container-title":"Journal of Second Language Writing","DOI":"10.1016/j.jslw.2018.07.002","ISSN":"10603743","journalAbbreviation":"Journal of Second Language Writing","language":"en","page":"41-54","source":"DOI.org (Crossref)","title":"Analysis of the empirical research in the journal of second language writing at its 25th year (1992–2016)","volume":"41","author":[{"family":"Riazi","given":"Mehdi"},{"family":"Shi","given":"Ling"},{"family":"Haggerty","given":"John"}],"issued":{"date-parts":[["2018",9]]}}}],"schema":"https://github.com/citation-style-language/schema/raw/master/csl-citation.json"} </w:instrText>
      </w:r>
      <w:r w:rsidRPr="006368A5">
        <w:rPr>
          <w:shd w:val="clear" w:color="auto" w:fill="FFFFFF"/>
        </w:rPr>
        <w:fldChar w:fldCharType="separate"/>
      </w:r>
      <w:r w:rsidRPr="006368A5">
        <w:rPr>
          <w:rFonts w:cs="Times New Roman"/>
        </w:rPr>
        <w:t xml:space="preserve">Riazi et al. </w:t>
      </w:r>
      <w:r w:rsidRPr="006368A5">
        <w:rPr>
          <w:rFonts w:cs="Times New Roman" w:hint="eastAsia"/>
        </w:rPr>
        <w:t>(</w:t>
      </w:r>
      <w:r w:rsidRPr="006368A5">
        <w:rPr>
          <w:rFonts w:cs="Times New Roman"/>
        </w:rPr>
        <w:t>2018)</w:t>
      </w:r>
      <w:r w:rsidRPr="006368A5">
        <w:rPr>
          <w:shd w:val="clear" w:color="auto" w:fill="FFFFFF"/>
        </w:rPr>
        <w:fldChar w:fldCharType="end"/>
      </w:r>
      <w:r w:rsidRPr="006368A5">
        <w:rPr>
          <w:shd w:val="clear" w:color="auto" w:fill="FFFFFF"/>
        </w:rPr>
        <w:t xml:space="preserve"> as follows: studies based on </w:t>
      </w:r>
      <w:r w:rsidRPr="006368A5">
        <w:rPr>
          <w:rFonts w:hint="eastAsia"/>
          <w:i/>
          <w:iCs/>
          <w:shd w:val="clear" w:color="auto" w:fill="FFFFFF"/>
        </w:rPr>
        <w:t>cognitive</w:t>
      </w:r>
      <w:r w:rsidRPr="006368A5">
        <w:rPr>
          <w:rFonts w:hint="eastAsia"/>
          <w:shd w:val="clear" w:color="auto" w:fill="FFFFFF"/>
        </w:rPr>
        <w:t xml:space="preserve"> approaches highlight mental processes in one</w:t>
      </w:r>
      <w:r w:rsidRPr="006368A5">
        <w:rPr>
          <w:shd w:val="clear" w:color="auto" w:fill="FFFFFF"/>
        </w:rPr>
        <w:t>’</w:t>
      </w:r>
      <w:r w:rsidRPr="006368A5">
        <w:rPr>
          <w:rFonts w:hint="eastAsia"/>
          <w:shd w:val="clear" w:color="auto" w:fill="FFFFFF"/>
        </w:rPr>
        <w:t>s head</w:t>
      </w:r>
      <w:r w:rsidRPr="006368A5">
        <w:rPr>
          <w:shd w:val="clear" w:color="auto" w:fill="FFFFFF"/>
        </w:rPr>
        <w:t>,</w:t>
      </w:r>
      <w:r w:rsidRPr="006368A5">
        <w:rPr>
          <w:rFonts w:hint="eastAsia"/>
          <w:shd w:val="clear" w:color="auto" w:fill="FFFFFF"/>
        </w:rPr>
        <w:t xml:space="preserve"> whereas </w:t>
      </w:r>
      <w:r w:rsidRPr="006368A5">
        <w:rPr>
          <w:i/>
          <w:iCs/>
          <w:shd w:val="clear" w:color="auto" w:fill="FFFFFF"/>
        </w:rPr>
        <w:t>social</w:t>
      </w:r>
      <w:r w:rsidRPr="006368A5">
        <w:rPr>
          <w:shd w:val="clear" w:color="auto" w:fill="FFFFFF"/>
        </w:rPr>
        <w:t xml:space="preserve"> or </w:t>
      </w:r>
      <w:r w:rsidRPr="006368A5">
        <w:rPr>
          <w:i/>
          <w:iCs/>
          <w:shd w:val="clear" w:color="auto" w:fill="FFFFFF"/>
        </w:rPr>
        <w:t>sociocultural</w:t>
      </w:r>
      <w:r w:rsidRPr="006368A5">
        <w:rPr>
          <w:shd w:val="clear" w:color="auto" w:fill="FFFFFF"/>
        </w:rPr>
        <w:t xml:space="preserve"> studies</w:t>
      </w:r>
      <w:r w:rsidRPr="006368A5">
        <w:rPr>
          <w:rFonts w:hint="eastAsia"/>
          <w:shd w:val="clear" w:color="auto" w:fill="FFFFFF"/>
        </w:rPr>
        <w:t xml:space="preserve"> focus on the interaction between writing and </w:t>
      </w:r>
      <w:r w:rsidRPr="006368A5">
        <w:rPr>
          <w:shd w:val="clear" w:color="auto" w:fill="FFFFFF"/>
        </w:rPr>
        <w:t>external</w:t>
      </w:r>
      <w:r w:rsidRPr="006368A5">
        <w:rPr>
          <w:rFonts w:hint="eastAsia"/>
          <w:shd w:val="clear" w:color="auto" w:fill="FFFFFF"/>
        </w:rPr>
        <w:t xml:space="preserve"> factors (e.g., communities or tools) or</w:t>
      </w:r>
      <w:r w:rsidRPr="006368A5">
        <w:rPr>
          <w:shd w:val="clear" w:color="auto" w:fill="FFFFFF"/>
        </w:rPr>
        <w:t xml:space="preserve"> the</w:t>
      </w:r>
      <w:r w:rsidRPr="006368A5">
        <w:rPr>
          <w:rFonts w:hint="eastAsia"/>
          <w:shd w:val="clear" w:color="auto" w:fill="FFFFFF"/>
        </w:rPr>
        <w:t xml:space="preserve"> writer</w:t>
      </w:r>
      <w:r w:rsidRPr="006368A5">
        <w:rPr>
          <w:shd w:val="clear" w:color="auto" w:fill="FFFFFF"/>
        </w:rPr>
        <w:t>’</w:t>
      </w:r>
      <w:r w:rsidRPr="006368A5">
        <w:rPr>
          <w:rFonts w:hint="eastAsia"/>
          <w:shd w:val="clear" w:color="auto" w:fill="FFFFFF"/>
        </w:rPr>
        <w:t>s</w:t>
      </w:r>
      <w:r w:rsidRPr="006368A5">
        <w:rPr>
          <w:shd w:val="clear" w:color="auto" w:fill="FFFFFF"/>
        </w:rPr>
        <w:t xml:space="preserve"> </w:t>
      </w:r>
      <w:r w:rsidRPr="006368A5">
        <w:rPr>
          <w:rFonts w:hint="eastAsia"/>
          <w:shd w:val="clear" w:color="auto" w:fill="FFFFFF"/>
        </w:rPr>
        <w:t xml:space="preserve">beliefs or values. </w:t>
      </w:r>
      <w:proofErr w:type="spellStart"/>
      <w:r w:rsidRPr="006368A5">
        <w:rPr>
          <w:i/>
          <w:iCs/>
          <w:shd w:val="clear" w:color="auto" w:fill="FFFFFF"/>
        </w:rPr>
        <w:t>Sociocognitive</w:t>
      </w:r>
      <w:proofErr w:type="spellEnd"/>
      <w:r w:rsidRPr="006368A5">
        <w:rPr>
          <w:rFonts w:hint="eastAsia"/>
          <w:shd w:val="clear" w:color="auto" w:fill="FFFFFF"/>
        </w:rPr>
        <w:t xml:space="preserve"> studies address both</w:t>
      </w:r>
      <w:r w:rsidRPr="006368A5">
        <w:rPr>
          <w:shd w:val="clear" w:color="auto" w:fill="FFFFFF"/>
        </w:rPr>
        <w:t xml:space="preserve"> mental processes and external</w:t>
      </w:r>
      <w:r w:rsidRPr="006368A5">
        <w:rPr>
          <w:rFonts w:hint="eastAsia"/>
          <w:shd w:val="clear" w:color="auto" w:fill="FFFFFF"/>
        </w:rPr>
        <w:t xml:space="preserve"> factors</w:t>
      </w:r>
      <w:r w:rsidRPr="006368A5">
        <w:rPr>
          <w:shd w:val="clear" w:color="auto" w:fill="FFFFFF"/>
        </w:rPr>
        <w:t xml:space="preserve"> and how they</w:t>
      </w:r>
      <w:r w:rsidRPr="006368A5">
        <w:rPr>
          <w:rFonts w:hint="eastAsia"/>
          <w:shd w:val="clear" w:color="auto" w:fill="FFFFFF"/>
        </w:rPr>
        <w:t xml:space="preserve"> influence</w:t>
      </w:r>
      <w:r w:rsidRPr="006368A5">
        <w:rPr>
          <w:shd w:val="clear" w:color="auto" w:fill="FFFFFF"/>
        </w:rPr>
        <w:t xml:space="preserve"> </w:t>
      </w:r>
      <w:r w:rsidRPr="006368A5">
        <w:rPr>
          <w:rFonts w:hint="eastAsia"/>
          <w:shd w:val="clear" w:color="auto" w:fill="FFFFFF"/>
        </w:rPr>
        <w:t>the process and products of</w:t>
      </w:r>
      <w:r w:rsidRPr="006368A5">
        <w:rPr>
          <w:shd w:val="clear" w:color="auto" w:fill="FFFFFF"/>
        </w:rPr>
        <w:t xml:space="preserve"> writing</w:t>
      </w:r>
      <w:r w:rsidRPr="006368A5">
        <w:rPr>
          <w:rFonts w:hint="eastAsia"/>
          <w:shd w:val="clear" w:color="auto" w:fill="FFFFFF"/>
        </w:rPr>
        <w:t xml:space="preserve">. </w:t>
      </w:r>
      <w:r w:rsidRPr="006368A5">
        <w:rPr>
          <w:i/>
          <w:iCs/>
          <w:shd w:val="clear" w:color="auto" w:fill="FFFFFF"/>
        </w:rPr>
        <w:t>Genre-based</w:t>
      </w:r>
      <w:r w:rsidRPr="006368A5">
        <w:rPr>
          <w:rFonts w:hint="eastAsia"/>
          <w:shd w:val="clear" w:color="auto" w:fill="FFFFFF"/>
        </w:rPr>
        <w:t xml:space="preserve"> approaches </w:t>
      </w:r>
      <w:r w:rsidRPr="006368A5">
        <w:rPr>
          <w:shd w:val="clear" w:color="auto" w:fill="FFFFFF"/>
        </w:rPr>
        <w:t xml:space="preserve">are used to </w:t>
      </w:r>
      <w:r w:rsidRPr="006368A5">
        <w:rPr>
          <w:rFonts w:hint="eastAsia"/>
          <w:shd w:val="clear" w:color="auto" w:fill="FFFFFF"/>
        </w:rPr>
        <w:t xml:space="preserve">investigate how the target rhetoric and structures shape </w:t>
      </w:r>
      <w:r w:rsidRPr="006368A5">
        <w:rPr>
          <w:shd w:val="clear" w:color="auto" w:fill="FFFFFF"/>
        </w:rPr>
        <w:t xml:space="preserve">a </w:t>
      </w:r>
      <w:r w:rsidRPr="006368A5">
        <w:rPr>
          <w:rFonts w:hint="eastAsia"/>
          <w:shd w:val="clear" w:color="auto" w:fill="FFFFFF"/>
        </w:rPr>
        <w:t>writer</w:t>
      </w:r>
      <w:r w:rsidRPr="006368A5">
        <w:rPr>
          <w:shd w:val="clear" w:color="auto" w:fill="FFFFFF"/>
        </w:rPr>
        <w:t>’</w:t>
      </w:r>
      <w:r w:rsidRPr="006368A5">
        <w:rPr>
          <w:rFonts w:hint="eastAsia"/>
          <w:shd w:val="clear" w:color="auto" w:fill="FFFFFF"/>
        </w:rPr>
        <w:t xml:space="preserve">s composing. Studies with </w:t>
      </w:r>
      <w:r w:rsidRPr="006368A5">
        <w:rPr>
          <w:rFonts w:hint="eastAsia"/>
          <w:i/>
          <w:iCs/>
          <w:shd w:val="clear" w:color="auto" w:fill="FFFFFF"/>
        </w:rPr>
        <w:t>critical</w:t>
      </w:r>
      <w:r w:rsidRPr="006368A5">
        <w:rPr>
          <w:rFonts w:hint="eastAsia"/>
          <w:shd w:val="clear" w:color="auto" w:fill="FFFFFF"/>
        </w:rPr>
        <w:t xml:space="preserve"> orientation typically aim to challenge </w:t>
      </w:r>
      <w:r w:rsidRPr="006368A5">
        <w:rPr>
          <w:shd w:val="clear" w:color="auto" w:fill="FFFFFF"/>
        </w:rPr>
        <w:t xml:space="preserve">the </w:t>
      </w:r>
      <w:r w:rsidRPr="006368A5">
        <w:rPr>
          <w:rFonts w:hint="eastAsia"/>
          <w:shd w:val="clear" w:color="auto" w:fill="FFFFFF"/>
        </w:rPr>
        <w:t>conventional and rigid norms of academic writing.</w:t>
      </w:r>
    </w:p>
    <w:p w14:paraId="225F099E" w14:textId="3300C173" w:rsidR="00E027AC" w:rsidRDefault="00E027AC" w:rsidP="00E027AC">
      <w:pPr>
        <w:pStyle w:val="L2JBody"/>
        <w:rPr>
          <w:shd w:val="clear" w:color="auto" w:fill="FFFFFF"/>
        </w:rPr>
      </w:pPr>
      <w:r w:rsidRPr="006368A5">
        <w:rPr>
          <w:rFonts w:hint="eastAsia"/>
          <w:shd w:val="clear" w:color="auto" w:fill="FFFFFF"/>
        </w:rPr>
        <w:t>Table 3</w:t>
      </w:r>
      <w:r w:rsidRPr="006368A5">
        <w:rPr>
          <w:shd w:val="clear" w:color="auto" w:fill="FFFFFF"/>
        </w:rPr>
        <w:t xml:space="preserve"> </w:t>
      </w:r>
      <w:r w:rsidRPr="006368A5">
        <w:rPr>
          <w:rFonts w:hint="eastAsia"/>
          <w:shd w:val="clear" w:color="auto" w:fill="FFFFFF"/>
        </w:rPr>
        <w:t xml:space="preserve">illustrates various theoretical orientations expressed in the included studies. </w:t>
      </w:r>
    </w:p>
    <w:p w14:paraId="03256184" w14:textId="77777777" w:rsidR="00E027AC" w:rsidRPr="00E027AC" w:rsidRDefault="00E027AC" w:rsidP="00E027AC">
      <w:pPr>
        <w:pStyle w:val="L2JBody"/>
        <w:rPr>
          <w:shd w:val="clear" w:color="auto" w:fill="FFFFFF"/>
        </w:rPr>
      </w:pPr>
    </w:p>
    <w:p w14:paraId="58A7B90A" w14:textId="291193C7" w:rsidR="00E027AC" w:rsidRDefault="00E027AC" w:rsidP="00E027AC">
      <w:pPr>
        <w:pStyle w:val="L2JFigureCallOut"/>
        <w:rPr>
          <w:shd w:val="clear" w:color="auto" w:fill="FFFFFF"/>
        </w:rPr>
      </w:pPr>
      <w:r w:rsidRPr="006368A5">
        <w:rPr>
          <w:shd w:val="clear" w:color="auto" w:fill="FFFFFF"/>
        </w:rPr>
        <w:t>Table 3</w:t>
      </w:r>
    </w:p>
    <w:p w14:paraId="452A72FE" w14:textId="77777777" w:rsidR="00E027AC" w:rsidRPr="006368A5" w:rsidRDefault="00E027AC" w:rsidP="00E027AC">
      <w:pPr>
        <w:pStyle w:val="L2JFigureCallOut"/>
        <w:rPr>
          <w:shd w:val="clear" w:color="auto" w:fill="FFFFFF"/>
        </w:rPr>
      </w:pPr>
    </w:p>
    <w:p w14:paraId="3572ACE5" w14:textId="77777777" w:rsidR="00E027AC" w:rsidRDefault="00E027AC" w:rsidP="00E027AC">
      <w:pPr>
        <w:pStyle w:val="L2JFigureTitle"/>
        <w:rPr>
          <w:shd w:val="clear" w:color="auto" w:fill="FFFFFF"/>
        </w:rPr>
      </w:pPr>
      <w:r w:rsidRPr="006368A5">
        <w:rPr>
          <w:shd w:val="clear" w:color="auto" w:fill="FFFFFF"/>
        </w:rPr>
        <w:t xml:space="preserve">Theoretical </w:t>
      </w:r>
      <w:r w:rsidRPr="006368A5">
        <w:rPr>
          <w:rFonts w:hint="eastAsia"/>
          <w:shd w:val="clear" w:color="auto" w:fill="FFFFFF"/>
        </w:rPr>
        <w:t>O</w:t>
      </w:r>
      <w:r w:rsidRPr="006368A5">
        <w:rPr>
          <w:shd w:val="clear" w:color="auto" w:fill="FFFFFF"/>
        </w:rPr>
        <w:t xml:space="preserve">rientations in the </w:t>
      </w:r>
      <w:r w:rsidRPr="006368A5">
        <w:rPr>
          <w:rFonts w:hint="eastAsia"/>
          <w:shd w:val="clear" w:color="auto" w:fill="FFFFFF"/>
        </w:rPr>
        <w:t>I</w:t>
      </w:r>
      <w:r w:rsidRPr="006368A5">
        <w:rPr>
          <w:shd w:val="clear" w:color="auto" w:fill="FFFFFF"/>
        </w:rPr>
        <w:t xml:space="preserve">ncluded </w:t>
      </w:r>
      <w:r w:rsidRPr="006368A5">
        <w:rPr>
          <w:rFonts w:hint="eastAsia"/>
          <w:shd w:val="clear" w:color="auto" w:fill="FFFFFF"/>
        </w:rPr>
        <w:t>S</w:t>
      </w:r>
      <w:r w:rsidRPr="006368A5">
        <w:rPr>
          <w:shd w:val="clear" w:color="auto" w:fill="FFFFFF"/>
        </w:rPr>
        <w:t>tudies</w:t>
      </w:r>
    </w:p>
    <w:p w14:paraId="72300ED6" w14:textId="77777777" w:rsidR="00E027AC" w:rsidRPr="00E027AC" w:rsidRDefault="00E027AC" w:rsidP="00E027AC">
      <w:pPr>
        <w:pStyle w:val="L2JFigureTitle"/>
        <w:rPr>
          <w:shd w:val="clear" w:color="auto" w:fill="FFFFFF"/>
        </w:rPr>
      </w:pPr>
    </w:p>
    <w:tbl>
      <w:tblPr>
        <w:tblStyle w:val="TableGrid"/>
        <w:tblW w:w="0" w:type="auto"/>
        <w:tblLook w:val="04A0" w:firstRow="1" w:lastRow="0" w:firstColumn="1" w:lastColumn="0" w:noHBand="0" w:noVBand="1"/>
      </w:tblPr>
      <w:tblGrid>
        <w:gridCol w:w="2918"/>
        <w:gridCol w:w="1393"/>
        <w:gridCol w:w="4329"/>
      </w:tblGrid>
      <w:tr w:rsidR="00E027AC" w:rsidRPr="00E027AC" w14:paraId="5A76D30A" w14:textId="77777777" w:rsidTr="00924822">
        <w:tc>
          <w:tcPr>
            <w:tcW w:w="3117" w:type="dxa"/>
            <w:tcBorders>
              <w:left w:val="nil"/>
              <w:right w:val="nil"/>
            </w:tcBorders>
          </w:tcPr>
          <w:p w14:paraId="0B5F9520"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Theoretical orientation</w:t>
            </w:r>
          </w:p>
        </w:tc>
        <w:tc>
          <w:tcPr>
            <w:tcW w:w="1468" w:type="dxa"/>
            <w:tcBorders>
              <w:left w:val="nil"/>
              <w:right w:val="nil"/>
            </w:tcBorders>
          </w:tcPr>
          <w:p w14:paraId="6CE8AE7C"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n (%)</w:t>
            </w:r>
          </w:p>
        </w:tc>
        <w:tc>
          <w:tcPr>
            <w:tcW w:w="4765" w:type="dxa"/>
            <w:tcBorders>
              <w:left w:val="nil"/>
              <w:right w:val="nil"/>
            </w:tcBorders>
          </w:tcPr>
          <w:p w14:paraId="357ABE4A" w14:textId="77777777" w:rsidR="00E027AC" w:rsidRPr="00E027AC" w:rsidRDefault="00E027AC" w:rsidP="00924822">
            <w:pPr>
              <w:rPr>
                <w:rFonts w:ascii="Garamond" w:eastAsia="Malgun Gothic" w:hAnsi="Garamond" w:cs="Times New Roman"/>
                <w:sz w:val="24"/>
                <w:szCs w:val="24"/>
                <w:shd w:val="clear" w:color="auto" w:fill="FFFFFF"/>
              </w:rPr>
            </w:pPr>
            <w:r w:rsidRPr="00E027AC">
              <w:rPr>
                <w:rFonts w:ascii="Garamond" w:eastAsia="Malgun Gothic" w:hAnsi="Garamond" w:cs="Times New Roman"/>
                <w:sz w:val="24"/>
                <w:szCs w:val="24"/>
                <w:shd w:val="clear" w:color="auto" w:fill="FFFFFF"/>
              </w:rPr>
              <w:t>Example</w:t>
            </w:r>
          </w:p>
          <w:p w14:paraId="40E2DE4C" w14:textId="77777777" w:rsidR="00E027AC" w:rsidRPr="00E027AC" w:rsidRDefault="00E027AC" w:rsidP="00924822">
            <w:pPr>
              <w:rPr>
                <w:rFonts w:ascii="Garamond" w:eastAsia="Malgun Gothic" w:hAnsi="Garamond" w:cs="Arial"/>
                <w:sz w:val="24"/>
                <w:szCs w:val="24"/>
                <w:shd w:val="clear" w:color="auto" w:fill="FFFFFF"/>
              </w:rPr>
            </w:pPr>
          </w:p>
        </w:tc>
      </w:tr>
      <w:tr w:rsidR="00E027AC" w:rsidRPr="00E027AC" w14:paraId="63F864AE" w14:textId="77777777" w:rsidTr="00924822">
        <w:tc>
          <w:tcPr>
            <w:tcW w:w="3117" w:type="dxa"/>
            <w:tcBorders>
              <w:left w:val="nil"/>
              <w:bottom w:val="nil"/>
              <w:right w:val="nil"/>
            </w:tcBorders>
          </w:tcPr>
          <w:p w14:paraId="1B8B00C6"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Cognitive</w:t>
            </w:r>
          </w:p>
        </w:tc>
        <w:tc>
          <w:tcPr>
            <w:tcW w:w="1468" w:type="dxa"/>
            <w:tcBorders>
              <w:left w:val="nil"/>
              <w:bottom w:val="nil"/>
              <w:right w:val="nil"/>
            </w:tcBorders>
          </w:tcPr>
          <w:p w14:paraId="3EA9731D"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34 (37%)</w:t>
            </w:r>
          </w:p>
        </w:tc>
        <w:tc>
          <w:tcPr>
            <w:tcW w:w="4765" w:type="dxa"/>
            <w:tcBorders>
              <w:left w:val="nil"/>
              <w:bottom w:val="nil"/>
              <w:right w:val="nil"/>
            </w:tcBorders>
          </w:tcPr>
          <w:p w14:paraId="05B1E872" w14:textId="77777777" w:rsidR="00E027AC" w:rsidRPr="00E027AC" w:rsidRDefault="00E027AC" w:rsidP="00E027AC">
            <w:pPr>
              <w:pStyle w:val="ListParagraph"/>
              <w:widowControl w:val="0"/>
              <w:numPr>
                <w:ilvl w:val="0"/>
                <w:numId w:val="57"/>
              </w:numPr>
              <w:wordWrap w:val="0"/>
              <w:autoSpaceDE w:val="0"/>
              <w:autoSpaceDN w:val="0"/>
              <w:ind w:left="124" w:hanging="124"/>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Spivey’s discourse synthesis</w:t>
            </w:r>
          </w:p>
          <w:p w14:paraId="152F06C7" w14:textId="77777777" w:rsidR="00E027AC" w:rsidRPr="00E027AC" w:rsidRDefault="00E027AC" w:rsidP="00E027AC">
            <w:pPr>
              <w:pStyle w:val="ListParagraph"/>
              <w:widowControl w:val="0"/>
              <w:numPr>
                <w:ilvl w:val="0"/>
                <w:numId w:val="57"/>
              </w:numPr>
              <w:wordWrap w:val="0"/>
              <w:autoSpaceDE w:val="0"/>
              <w:autoSpaceDN w:val="0"/>
              <w:ind w:left="124" w:hanging="124"/>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Task representation</w:t>
            </w:r>
          </w:p>
          <w:p w14:paraId="4823BDF5" w14:textId="77777777" w:rsidR="00E027AC" w:rsidRPr="00E027AC" w:rsidRDefault="00E027AC" w:rsidP="00E027AC">
            <w:pPr>
              <w:pStyle w:val="ListParagraph"/>
              <w:widowControl w:val="0"/>
              <w:numPr>
                <w:ilvl w:val="0"/>
                <w:numId w:val="57"/>
              </w:numPr>
              <w:wordWrap w:val="0"/>
              <w:autoSpaceDE w:val="0"/>
              <w:autoSpaceDN w:val="0"/>
              <w:ind w:left="124" w:hanging="124"/>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Bereiter and </w:t>
            </w:r>
            <w:proofErr w:type="spellStart"/>
            <w:r w:rsidRPr="00E027AC">
              <w:rPr>
                <w:rFonts w:ascii="Garamond" w:eastAsia="Malgun Gothic" w:hAnsi="Garamond" w:cs="Arial"/>
                <w:sz w:val="24"/>
                <w:szCs w:val="24"/>
                <w:shd w:val="clear" w:color="auto" w:fill="FFFFFF"/>
              </w:rPr>
              <w:t>Scardamalia’s</w:t>
            </w:r>
            <w:proofErr w:type="spellEnd"/>
            <w:r w:rsidRPr="00E027AC">
              <w:rPr>
                <w:rFonts w:ascii="Garamond" w:eastAsia="Malgun Gothic" w:hAnsi="Garamond" w:cs="Arial"/>
                <w:sz w:val="24"/>
                <w:szCs w:val="24"/>
                <w:shd w:val="clear" w:color="auto" w:fill="FFFFFF"/>
              </w:rPr>
              <w:t xml:space="preserve"> knowledge telling and transforming</w:t>
            </w:r>
          </w:p>
          <w:p w14:paraId="1E3B4CA7" w14:textId="77777777" w:rsidR="00E027AC" w:rsidRPr="00E027AC" w:rsidRDefault="00E027AC" w:rsidP="00924822">
            <w:pPr>
              <w:ind w:left="124" w:hanging="124"/>
              <w:rPr>
                <w:rFonts w:ascii="Garamond" w:eastAsia="Malgun Gothic" w:hAnsi="Garamond" w:cs="Arial"/>
                <w:sz w:val="24"/>
                <w:szCs w:val="24"/>
                <w:shd w:val="clear" w:color="auto" w:fill="FFFFFF"/>
              </w:rPr>
            </w:pPr>
          </w:p>
        </w:tc>
      </w:tr>
      <w:tr w:rsidR="00E027AC" w:rsidRPr="00E027AC" w14:paraId="1145B487" w14:textId="77777777" w:rsidTr="00924822">
        <w:tc>
          <w:tcPr>
            <w:tcW w:w="3117" w:type="dxa"/>
            <w:tcBorders>
              <w:top w:val="nil"/>
              <w:left w:val="nil"/>
              <w:bottom w:val="nil"/>
              <w:right w:val="nil"/>
            </w:tcBorders>
          </w:tcPr>
          <w:p w14:paraId="4B3B4206"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lastRenderedPageBreak/>
              <w:t>Social or sociocultural</w:t>
            </w:r>
          </w:p>
        </w:tc>
        <w:tc>
          <w:tcPr>
            <w:tcW w:w="1468" w:type="dxa"/>
            <w:tcBorders>
              <w:top w:val="nil"/>
              <w:left w:val="nil"/>
              <w:bottom w:val="nil"/>
              <w:right w:val="nil"/>
            </w:tcBorders>
          </w:tcPr>
          <w:p w14:paraId="3B60BFB7"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14 (15%)</w:t>
            </w:r>
          </w:p>
        </w:tc>
        <w:tc>
          <w:tcPr>
            <w:tcW w:w="4765" w:type="dxa"/>
            <w:tcBorders>
              <w:top w:val="nil"/>
              <w:left w:val="nil"/>
              <w:bottom w:val="nil"/>
              <w:right w:val="nil"/>
            </w:tcBorders>
          </w:tcPr>
          <w:p w14:paraId="09A799AA" w14:textId="77777777" w:rsidR="00E027AC" w:rsidRPr="00E027AC" w:rsidRDefault="00E027AC" w:rsidP="00E027AC">
            <w:pPr>
              <w:pStyle w:val="ListParagraph"/>
              <w:widowControl w:val="0"/>
              <w:numPr>
                <w:ilvl w:val="0"/>
                <w:numId w:val="57"/>
              </w:numPr>
              <w:wordWrap w:val="0"/>
              <w:autoSpaceDE w:val="0"/>
              <w:autoSpaceDN w:val="0"/>
              <w:ind w:left="124" w:hanging="124"/>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 xml:space="preserve">Activity theory </w:t>
            </w:r>
          </w:p>
          <w:p w14:paraId="7DBEBB7D" w14:textId="77777777" w:rsidR="00E027AC" w:rsidRPr="00E027AC" w:rsidRDefault="00E027AC" w:rsidP="00E027AC">
            <w:pPr>
              <w:pStyle w:val="ListParagraph"/>
              <w:widowControl w:val="0"/>
              <w:numPr>
                <w:ilvl w:val="0"/>
                <w:numId w:val="57"/>
              </w:numPr>
              <w:wordWrap w:val="0"/>
              <w:autoSpaceDE w:val="0"/>
              <w:autoSpaceDN w:val="0"/>
              <w:ind w:left="124" w:hanging="124"/>
              <w:rPr>
                <w:rFonts w:ascii="Garamond" w:eastAsia="Malgun Gothic" w:hAnsi="Garamond" w:cs="Arial"/>
                <w:sz w:val="24"/>
                <w:szCs w:val="24"/>
                <w:shd w:val="clear" w:color="auto" w:fill="FFFFFF"/>
              </w:rPr>
            </w:pPr>
            <w:r w:rsidRPr="00E027AC">
              <w:rPr>
                <w:rFonts w:ascii="Garamond" w:hAnsi="Garamond"/>
                <w:sz w:val="24"/>
                <w:szCs w:val="24"/>
                <w:shd w:val="clear" w:color="auto" w:fill="FFFFFF"/>
              </w:rPr>
              <w:t>Vygotsky’s concept of mediation</w:t>
            </w:r>
          </w:p>
          <w:p w14:paraId="192B951C" w14:textId="77777777" w:rsidR="00E027AC" w:rsidRPr="00E027AC" w:rsidRDefault="00E027AC" w:rsidP="00E027AC">
            <w:pPr>
              <w:pStyle w:val="ListParagraph"/>
              <w:widowControl w:val="0"/>
              <w:numPr>
                <w:ilvl w:val="0"/>
                <w:numId w:val="57"/>
              </w:numPr>
              <w:wordWrap w:val="0"/>
              <w:autoSpaceDE w:val="0"/>
              <w:autoSpaceDN w:val="0"/>
              <w:ind w:left="124" w:hanging="124"/>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Academic discourse socialization</w:t>
            </w:r>
          </w:p>
          <w:p w14:paraId="38041FD3" w14:textId="77777777" w:rsidR="00E027AC" w:rsidRPr="00E027AC" w:rsidRDefault="00E027AC" w:rsidP="00924822">
            <w:pPr>
              <w:ind w:left="124" w:hanging="124"/>
              <w:rPr>
                <w:rFonts w:ascii="Garamond" w:eastAsia="Malgun Gothic" w:hAnsi="Garamond" w:cs="Arial"/>
                <w:sz w:val="24"/>
                <w:szCs w:val="24"/>
                <w:shd w:val="clear" w:color="auto" w:fill="FFFFFF"/>
              </w:rPr>
            </w:pPr>
          </w:p>
        </w:tc>
      </w:tr>
      <w:tr w:rsidR="00E027AC" w:rsidRPr="00E027AC" w14:paraId="3118C25B" w14:textId="77777777" w:rsidTr="00924822">
        <w:tc>
          <w:tcPr>
            <w:tcW w:w="3117" w:type="dxa"/>
            <w:tcBorders>
              <w:top w:val="nil"/>
              <w:left w:val="nil"/>
              <w:bottom w:val="nil"/>
              <w:right w:val="nil"/>
            </w:tcBorders>
          </w:tcPr>
          <w:p w14:paraId="3A2B4E79" w14:textId="77777777" w:rsidR="00E027AC" w:rsidRPr="00E027AC" w:rsidRDefault="00E027AC" w:rsidP="00924822">
            <w:pPr>
              <w:rPr>
                <w:rFonts w:ascii="Garamond" w:eastAsia="Malgun Gothic" w:hAnsi="Garamond" w:cs="Arial"/>
                <w:sz w:val="24"/>
                <w:szCs w:val="24"/>
                <w:shd w:val="clear" w:color="auto" w:fill="FFFFFF"/>
              </w:rPr>
            </w:pPr>
            <w:proofErr w:type="spellStart"/>
            <w:r w:rsidRPr="00E027AC">
              <w:rPr>
                <w:rFonts w:ascii="Garamond" w:eastAsia="Malgun Gothic" w:hAnsi="Garamond" w:cs="Arial"/>
                <w:sz w:val="24"/>
                <w:szCs w:val="24"/>
                <w:shd w:val="clear" w:color="auto" w:fill="FFFFFF"/>
              </w:rPr>
              <w:t>Sociocognitive</w:t>
            </w:r>
            <w:proofErr w:type="spellEnd"/>
          </w:p>
        </w:tc>
        <w:tc>
          <w:tcPr>
            <w:tcW w:w="1468" w:type="dxa"/>
            <w:tcBorders>
              <w:top w:val="nil"/>
              <w:left w:val="nil"/>
              <w:bottom w:val="nil"/>
              <w:right w:val="nil"/>
            </w:tcBorders>
          </w:tcPr>
          <w:p w14:paraId="2A6E50F9"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5 (5%)</w:t>
            </w:r>
          </w:p>
        </w:tc>
        <w:tc>
          <w:tcPr>
            <w:tcW w:w="4765" w:type="dxa"/>
            <w:tcBorders>
              <w:top w:val="nil"/>
              <w:left w:val="nil"/>
              <w:bottom w:val="nil"/>
              <w:right w:val="nil"/>
            </w:tcBorders>
          </w:tcPr>
          <w:p w14:paraId="65253234" w14:textId="77777777" w:rsidR="00E027AC" w:rsidRPr="00E027AC" w:rsidRDefault="00E027AC" w:rsidP="00E027AC">
            <w:pPr>
              <w:pStyle w:val="ListParagraph"/>
              <w:widowControl w:val="0"/>
              <w:numPr>
                <w:ilvl w:val="0"/>
                <w:numId w:val="57"/>
              </w:numPr>
              <w:wordWrap w:val="0"/>
              <w:autoSpaceDE w:val="0"/>
              <w:autoSpaceDN w:val="0"/>
              <w:ind w:left="124" w:hanging="124"/>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Transfer of learning</w:t>
            </w:r>
          </w:p>
          <w:p w14:paraId="5F03D53F" w14:textId="77777777" w:rsidR="00E027AC" w:rsidRPr="00E027AC" w:rsidRDefault="00E027AC" w:rsidP="00924822">
            <w:pPr>
              <w:ind w:left="124" w:hanging="124"/>
              <w:rPr>
                <w:rFonts w:ascii="Garamond" w:eastAsia="Malgun Gothic" w:hAnsi="Garamond" w:cs="Arial"/>
                <w:sz w:val="24"/>
                <w:szCs w:val="24"/>
                <w:shd w:val="clear" w:color="auto" w:fill="FFFFFF"/>
              </w:rPr>
            </w:pPr>
          </w:p>
        </w:tc>
      </w:tr>
      <w:tr w:rsidR="00E027AC" w:rsidRPr="00E027AC" w14:paraId="4A5E75F2" w14:textId="77777777" w:rsidTr="00924822">
        <w:tc>
          <w:tcPr>
            <w:tcW w:w="3117" w:type="dxa"/>
            <w:tcBorders>
              <w:top w:val="nil"/>
              <w:left w:val="nil"/>
              <w:bottom w:val="nil"/>
              <w:right w:val="nil"/>
            </w:tcBorders>
          </w:tcPr>
          <w:p w14:paraId="1DE4E930"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 xml:space="preserve">Genre or rhetoric </w:t>
            </w:r>
          </w:p>
        </w:tc>
        <w:tc>
          <w:tcPr>
            <w:tcW w:w="1468" w:type="dxa"/>
            <w:tcBorders>
              <w:top w:val="nil"/>
              <w:left w:val="nil"/>
              <w:bottom w:val="nil"/>
              <w:right w:val="nil"/>
            </w:tcBorders>
          </w:tcPr>
          <w:p w14:paraId="71D29EE4"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2 (2%)</w:t>
            </w:r>
          </w:p>
        </w:tc>
        <w:tc>
          <w:tcPr>
            <w:tcW w:w="4765" w:type="dxa"/>
            <w:tcBorders>
              <w:top w:val="nil"/>
              <w:left w:val="nil"/>
              <w:bottom w:val="nil"/>
              <w:right w:val="nil"/>
            </w:tcBorders>
          </w:tcPr>
          <w:p w14:paraId="38268378" w14:textId="77777777" w:rsidR="00E027AC" w:rsidRPr="00E027AC" w:rsidRDefault="00E027AC" w:rsidP="00E027AC">
            <w:pPr>
              <w:pStyle w:val="ListParagraph"/>
              <w:widowControl w:val="0"/>
              <w:numPr>
                <w:ilvl w:val="0"/>
                <w:numId w:val="57"/>
              </w:numPr>
              <w:wordWrap w:val="0"/>
              <w:autoSpaceDE w:val="0"/>
              <w:autoSpaceDN w:val="0"/>
              <w:ind w:left="124" w:hanging="124"/>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Genre theory</w:t>
            </w:r>
          </w:p>
          <w:p w14:paraId="388E68FD" w14:textId="77777777" w:rsidR="00E027AC" w:rsidRPr="00E027AC" w:rsidRDefault="00E027AC" w:rsidP="00924822">
            <w:pPr>
              <w:ind w:left="124" w:hanging="124"/>
              <w:rPr>
                <w:rFonts w:ascii="Garamond" w:eastAsia="Malgun Gothic" w:hAnsi="Garamond" w:cs="Arial"/>
                <w:sz w:val="24"/>
                <w:szCs w:val="24"/>
                <w:shd w:val="clear" w:color="auto" w:fill="FFFFFF"/>
              </w:rPr>
            </w:pPr>
          </w:p>
        </w:tc>
      </w:tr>
      <w:tr w:rsidR="00E027AC" w:rsidRPr="00E027AC" w14:paraId="15C647FC" w14:textId="77777777" w:rsidTr="00924822">
        <w:tc>
          <w:tcPr>
            <w:tcW w:w="3117" w:type="dxa"/>
            <w:tcBorders>
              <w:top w:val="nil"/>
              <w:left w:val="nil"/>
              <w:bottom w:val="nil"/>
              <w:right w:val="nil"/>
            </w:tcBorders>
          </w:tcPr>
          <w:p w14:paraId="24DF9C0F"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Critical</w:t>
            </w:r>
          </w:p>
        </w:tc>
        <w:tc>
          <w:tcPr>
            <w:tcW w:w="1468" w:type="dxa"/>
            <w:tcBorders>
              <w:top w:val="nil"/>
              <w:left w:val="nil"/>
              <w:bottom w:val="nil"/>
              <w:right w:val="nil"/>
            </w:tcBorders>
          </w:tcPr>
          <w:p w14:paraId="3172A871"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1 (1%)</w:t>
            </w:r>
          </w:p>
        </w:tc>
        <w:tc>
          <w:tcPr>
            <w:tcW w:w="4765" w:type="dxa"/>
            <w:tcBorders>
              <w:top w:val="nil"/>
              <w:left w:val="nil"/>
              <w:bottom w:val="nil"/>
              <w:right w:val="nil"/>
            </w:tcBorders>
          </w:tcPr>
          <w:p w14:paraId="16B4CB59" w14:textId="77777777" w:rsidR="00E027AC" w:rsidRPr="00E027AC" w:rsidRDefault="00E027AC" w:rsidP="00E027AC">
            <w:pPr>
              <w:pStyle w:val="ListParagraph"/>
              <w:widowControl w:val="0"/>
              <w:numPr>
                <w:ilvl w:val="0"/>
                <w:numId w:val="57"/>
              </w:numPr>
              <w:wordWrap w:val="0"/>
              <w:autoSpaceDE w:val="0"/>
              <w:autoSpaceDN w:val="0"/>
              <w:ind w:left="124" w:hanging="124"/>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Translanguaging</w:t>
            </w:r>
          </w:p>
          <w:p w14:paraId="30E9D612" w14:textId="77777777" w:rsidR="00E027AC" w:rsidRPr="00E027AC" w:rsidRDefault="00E027AC" w:rsidP="00924822">
            <w:pPr>
              <w:ind w:left="124" w:hanging="124"/>
              <w:rPr>
                <w:rFonts w:ascii="Garamond" w:eastAsia="Malgun Gothic" w:hAnsi="Garamond" w:cs="Arial"/>
                <w:sz w:val="24"/>
                <w:szCs w:val="24"/>
                <w:shd w:val="clear" w:color="auto" w:fill="FFFFFF"/>
              </w:rPr>
            </w:pPr>
          </w:p>
        </w:tc>
      </w:tr>
      <w:tr w:rsidR="00E027AC" w:rsidRPr="00E027AC" w14:paraId="359FC065" w14:textId="77777777" w:rsidTr="00924822">
        <w:tc>
          <w:tcPr>
            <w:tcW w:w="3117" w:type="dxa"/>
            <w:tcBorders>
              <w:top w:val="nil"/>
              <w:left w:val="nil"/>
              <w:bottom w:val="nil"/>
              <w:right w:val="nil"/>
            </w:tcBorders>
          </w:tcPr>
          <w:p w14:paraId="72C4410C"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Two or more orientations</w:t>
            </w:r>
          </w:p>
        </w:tc>
        <w:tc>
          <w:tcPr>
            <w:tcW w:w="1468" w:type="dxa"/>
            <w:tcBorders>
              <w:top w:val="nil"/>
              <w:left w:val="nil"/>
              <w:bottom w:val="nil"/>
              <w:right w:val="nil"/>
            </w:tcBorders>
          </w:tcPr>
          <w:p w14:paraId="6E005388"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8 (9%)</w:t>
            </w:r>
          </w:p>
        </w:tc>
        <w:tc>
          <w:tcPr>
            <w:tcW w:w="4765" w:type="dxa"/>
            <w:tcBorders>
              <w:top w:val="nil"/>
              <w:left w:val="nil"/>
              <w:bottom w:val="nil"/>
              <w:right w:val="nil"/>
            </w:tcBorders>
          </w:tcPr>
          <w:p w14:paraId="1D917115" w14:textId="77777777" w:rsidR="00E027AC" w:rsidRPr="00E027AC" w:rsidRDefault="00E027AC" w:rsidP="00E027AC">
            <w:pPr>
              <w:pStyle w:val="ListParagraph"/>
              <w:widowControl w:val="0"/>
              <w:numPr>
                <w:ilvl w:val="0"/>
                <w:numId w:val="57"/>
              </w:numPr>
              <w:wordWrap w:val="0"/>
              <w:autoSpaceDE w:val="0"/>
              <w:autoSpaceDN w:val="0"/>
              <w:ind w:left="124" w:hanging="124"/>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Vygotsky’s sociocultural theory and Emig’s writing process theory</w:t>
            </w:r>
          </w:p>
          <w:p w14:paraId="6FAC0306" w14:textId="77777777" w:rsidR="00E027AC" w:rsidRPr="00E027AC" w:rsidRDefault="00E027AC" w:rsidP="00E027AC">
            <w:pPr>
              <w:pStyle w:val="ListParagraph"/>
              <w:widowControl w:val="0"/>
              <w:numPr>
                <w:ilvl w:val="0"/>
                <w:numId w:val="57"/>
              </w:numPr>
              <w:wordWrap w:val="0"/>
              <w:autoSpaceDE w:val="0"/>
              <w:autoSpaceDN w:val="0"/>
              <w:ind w:left="124" w:hanging="124"/>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 xml:space="preserve">Activity theory and </w:t>
            </w:r>
            <w:proofErr w:type="spellStart"/>
            <w:r w:rsidRPr="00E027AC">
              <w:rPr>
                <w:rFonts w:ascii="Garamond" w:eastAsia="Malgun Gothic" w:hAnsi="Garamond" w:cs="Arial"/>
                <w:sz w:val="24"/>
                <w:szCs w:val="24"/>
                <w:shd w:val="clear" w:color="auto" w:fill="FFFFFF"/>
              </w:rPr>
              <w:t>translingualism</w:t>
            </w:r>
            <w:proofErr w:type="spellEnd"/>
          </w:p>
          <w:p w14:paraId="34FCF990" w14:textId="77777777" w:rsidR="00E027AC" w:rsidRPr="00E027AC" w:rsidRDefault="00E027AC" w:rsidP="00E027AC">
            <w:pPr>
              <w:pStyle w:val="ListParagraph"/>
              <w:widowControl w:val="0"/>
              <w:numPr>
                <w:ilvl w:val="0"/>
                <w:numId w:val="57"/>
              </w:numPr>
              <w:wordWrap w:val="0"/>
              <w:autoSpaceDE w:val="0"/>
              <w:autoSpaceDN w:val="0"/>
              <w:ind w:left="124" w:hanging="124"/>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 xml:space="preserve">Intercultural and </w:t>
            </w:r>
            <w:proofErr w:type="spellStart"/>
            <w:r w:rsidRPr="00E027AC">
              <w:rPr>
                <w:rFonts w:ascii="Garamond" w:eastAsia="Malgun Gothic" w:hAnsi="Garamond" w:cs="Arial"/>
                <w:sz w:val="24"/>
                <w:szCs w:val="24"/>
                <w:shd w:val="clear" w:color="auto" w:fill="FFFFFF"/>
              </w:rPr>
              <w:t>translingualism</w:t>
            </w:r>
            <w:proofErr w:type="spellEnd"/>
          </w:p>
          <w:p w14:paraId="67FED0DE" w14:textId="77777777" w:rsidR="00E027AC" w:rsidRPr="00E027AC" w:rsidRDefault="00E027AC" w:rsidP="00924822">
            <w:pPr>
              <w:ind w:left="124" w:hanging="124"/>
              <w:rPr>
                <w:rFonts w:ascii="Garamond" w:eastAsia="Malgun Gothic" w:hAnsi="Garamond" w:cs="Arial"/>
                <w:sz w:val="24"/>
                <w:szCs w:val="24"/>
                <w:shd w:val="clear" w:color="auto" w:fill="FFFFFF"/>
              </w:rPr>
            </w:pPr>
          </w:p>
        </w:tc>
      </w:tr>
      <w:tr w:rsidR="00E027AC" w:rsidRPr="00E027AC" w14:paraId="33C2C15E" w14:textId="77777777" w:rsidTr="00924822">
        <w:tc>
          <w:tcPr>
            <w:tcW w:w="3117" w:type="dxa"/>
            <w:tcBorders>
              <w:top w:val="nil"/>
              <w:left w:val="nil"/>
              <w:bottom w:val="nil"/>
              <w:right w:val="nil"/>
            </w:tcBorders>
          </w:tcPr>
          <w:p w14:paraId="4CA4C42C"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Unspecified</w:t>
            </w:r>
          </w:p>
        </w:tc>
        <w:tc>
          <w:tcPr>
            <w:tcW w:w="1468" w:type="dxa"/>
            <w:tcBorders>
              <w:top w:val="nil"/>
              <w:left w:val="nil"/>
              <w:bottom w:val="nil"/>
              <w:right w:val="nil"/>
            </w:tcBorders>
          </w:tcPr>
          <w:p w14:paraId="6806B1E2"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28 (31%)</w:t>
            </w:r>
          </w:p>
        </w:tc>
        <w:tc>
          <w:tcPr>
            <w:tcW w:w="4765" w:type="dxa"/>
            <w:tcBorders>
              <w:top w:val="nil"/>
              <w:left w:val="nil"/>
              <w:bottom w:val="nil"/>
              <w:right w:val="nil"/>
            </w:tcBorders>
          </w:tcPr>
          <w:p w14:paraId="63E32C80" w14:textId="77777777" w:rsidR="00E027AC" w:rsidRPr="00E027AC" w:rsidRDefault="00E027AC" w:rsidP="00924822">
            <w:pPr>
              <w:ind w:firstLine="720"/>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N/A</w:t>
            </w:r>
          </w:p>
          <w:p w14:paraId="1D2F1EF1" w14:textId="77777777" w:rsidR="00E027AC" w:rsidRPr="00E027AC" w:rsidRDefault="00E027AC" w:rsidP="00924822">
            <w:pPr>
              <w:ind w:firstLine="720"/>
              <w:rPr>
                <w:rFonts w:ascii="Garamond" w:eastAsia="Malgun Gothic" w:hAnsi="Garamond" w:cs="Arial"/>
                <w:sz w:val="24"/>
                <w:szCs w:val="24"/>
                <w:shd w:val="clear" w:color="auto" w:fill="FFFFFF"/>
              </w:rPr>
            </w:pPr>
          </w:p>
        </w:tc>
      </w:tr>
      <w:tr w:rsidR="00E027AC" w:rsidRPr="00E027AC" w14:paraId="5903A555" w14:textId="77777777" w:rsidTr="00924822">
        <w:tc>
          <w:tcPr>
            <w:tcW w:w="3117" w:type="dxa"/>
            <w:tcBorders>
              <w:top w:val="nil"/>
              <w:left w:val="nil"/>
              <w:right w:val="nil"/>
            </w:tcBorders>
          </w:tcPr>
          <w:p w14:paraId="5181075E"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Total</w:t>
            </w:r>
          </w:p>
        </w:tc>
        <w:tc>
          <w:tcPr>
            <w:tcW w:w="1468" w:type="dxa"/>
            <w:tcBorders>
              <w:top w:val="nil"/>
              <w:left w:val="nil"/>
              <w:right w:val="nil"/>
            </w:tcBorders>
          </w:tcPr>
          <w:p w14:paraId="5E048148" w14:textId="77777777" w:rsidR="00E027AC" w:rsidRPr="00E027AC" w:rsidRDefault="00E027AC" w:rsidP="00924822">
            <w:pPr>
              <w:rPr>
                <w:rFonts w:ascii="Garamond" w:eastAsia="Malgun Gothic" w:hAnsi="Garamond" w:cs="Arial"/>
                <w:sz w:val="24"/>
                <w:szCs w:val="24"/>
                <w:shd w:val="clear" w:color="auto" w:fill="FFFFFF"/>
              </w:rPr>
            </w:pPr>
            <w:r w:rsidRPr="00E027AC">
              <w:rPr>
                <w:rFonts w:ascii="Garamond" w:eastAsia="Malgun Gothic" w:hAnsi="Garamond" w:cs="Arial"/>
                <w:sz w:val="24"/>
                <w:szCs w:val="24"/>
                <w:shd w:val="clear" w:color="auto" w:fill="FFFFFF"/>
              </w:rPr>
              <w:t>92 (100%)</w:t>
            </w:r>
          </w:p>
        </w:tc>
        <w:tc>
          <w:tcPr>
            <w:tcW w:w="4765" w:type="dxa"/>
            <w:tcBorders>
              <w:top w:val="nil"/>
              <w:left w:val="nil"/>
              <w:right w:val="nil"/>
            </w:tcBorders>
          </w:tcPr>
          <w:p w14:paraId="6DE082B7" w14:textId="77777777" w:rsidR="00E027AC" w:rsidRPr="00E027AC" w:rsidRDefault="00E027AC" w:rsidP="00924822">
            <w:pPr>
              <w:rPr>
                <w:rFonts w:ascii="Garamond" w:eastAsia="Malgun Gothic" w:hAnsi="Garamond" w:cs="Arial"/>
                <w:sz w:val="24"/>
                <w:szCs w:val="24"/>
                <w:shd w:val="clear" w:color="auto" w:fill="FFFFFF"/>
              </w:rPr>
            </w:pPr>
          </w:p>
        </w:tc>
      </w:tr>
    </w:tbl>
    <w:p w14:paraId="7BEA9BA5" w14:textId="77777777" w:rsidR="00E027AC" w:rsidRPr="00E027AC" w:rsidRDefault="00E027AC" w:rsidP="00E027AC">
      <w:pPr>
        <w:spacing w:line="480" w:lineRule="auto"/>
        <w:ind w:firstLine="720"/>
        <w:rPr>
          <w:rFonts w:ascii="Garamond" w:hAnsi="Garamond"/>
          <w:sz w:val="24"/>
          <w:szCs w:val="24"/>
          <w:shd w:val="clear" w:color="auto" w:fill="FFFFFF"/>
        </w:rPr>
      </w:pPr>
    </w:p>
    <w:p w14:paraId="72620D1D" w14:textId="77777777" w:rsidR="00E027AC" w:rsidRPr="00E027AC" w:rsidRDefault="00E027AC" w:rsidP="00E027AC">
      <w:pPr>
        <w:pStyle w:val="L2JBody"/>
      </w:pPr>
      <w:r w:rsidRPr="00E027AC">
        <w:rPr>
          <w:rFonts w:hint="eastAsia"/>
        </w:rPr>
        <w:t xml:space="preserve">According to </w:t>
      </w:r>
      <w:r w:rsidRPr="00E027AC">
        <w:t xml:space="preserve">my </w:t>
      </w:r>
      <w:r w:rsidRPr="00E027AC">
        <w:rPr>
          <w:rFonts w:hint="eastAsia"/>
        </w:rPr>
        <w:t>analysis, cognitive orientation was the most prominent approach (</w:t>
      </w:r>
      <w:r w:rsidRPr="00E027AC">
        <w:t xml:space="preserve">n=34, </w:t>
      </w:r>
      <w:r w:rsidRPr="00E027AC">
        <w:rPr>
          <w:rFonts w:hint="eastAsia"/>
        </w:rPr>
        <w:t xml:space="preserve">37%). </w:t>
      </w:r>
      <w:r w:rsidRPr="00E027AC">
        <w:t>Among</w:t>
      </w:r>
      <w:r w:rsidRPr="00E027AC">
        <w:rPr>
          <w:rFonts w:hint="eastAsia"/>
        </w:rPr>
        <w:t xml:space="preserve"> cognitively</w:t>
      </w:r>
      <w:r w:rsidRPr="00E027AC">
        <w:t xml:space="preserve"> </w:t>
      </w:r>
      <w:r w:rsidRPr="00E027AC">
        <w:rPr>
          <w:rFonts w:hint="eastAsia"/>
        </w:rPr>
        <w:t xml:space="preserve">oriented theories, </w:t>
      </w:r>
      <w:r w:rsidRPr="00E027AC">
        <w:fldChar w:fldCharType="begin"/>
      </w:r>
      <w:r w:rsidRPr="00E027AC">
        <w:instrText xml:space="preserve"> ADDIN ZOTERO_ITEM CSL_CITATION {"citationID":"zSXsZp0K","properties":{"formattedCitation":"(Spivey, 1984)","plainCitation":"(Spivey, 1984)","dontUpdate":true,"noteIndex":0},"citationItems":[{"id":1639,"uris":["http://zotero.org/users/9207091/items/VPSBSPX5"],"itemData":{"id":1639,"type":"book","publisher":"Monograph. International Reading Association.","title":"Discourse synthesis: Constructing texts in reading and writing","author":[{"family":"Spivey","given":"N"}],"issued":{"date-parts":[["1984"]]}}}],"schema":"https://github.com/citation-style-language/schema/raw/master/csl-citation.json"} </w:instrText>
      </w:r>
      <w:r w:rsidRPr="00E027AC">
        <w:fldChar w:fldCharType="separate"/>
      </w:r>
      <w:r w:rsidRPr="00E027AC">
        <w:t>Spivey’</w:t>
      </w:r>
      <w:r w:rsidRPr="00E027AC">
        <w:rPr>
          <w:rFonts w:hint="eastAsia"/>
        </w:rPr>
        <w:t>s</w:t>
      </w:r>
      <w:r w:rsidRPr="00E027AC">
        <w:t xml:space="preserve"> </w:t>
      </w:r>
      <w:r w:rsidRPr="00E027AC">
        <w:rPr>
          <w:rFonts w:hint="eastAsia"/>
        </w:rPr>
        <w:t>(</w:t>
      </w:r>
      <w:r w:rsidRPr="00E027AC">
        <w:t>1984)</w:t>
      </w:r>
      <w:r w:rsidRPr="00E027AC">
        <w:fldChar w:fldCharType="end"/>
      </w:r>
      <w:r w:rsidRPr="00E027AC">
        <w:rPr>
          <w:rFonts w:hint="eastAsia"/>
        </w:rPr>
        <w:t xml:space="preserve"> discourse synthesis was </w:t>
      </w:r>
      <w:r w:rsidRPr="00E027AC">
        <w:t xml:space="preserve">unsurprisingly </w:t>
      </w:r>
      <w:r w:rsidRPr="00E027AC">
        <w:rPr>
          <w:rFonts w:hint="eastAsia"/>
        </w:rPr>
        <w:t xml:space="preserve">the most </w:t>
      </w:r>
      <w:r w:rsidRPr="00E027AC">
        <w:t>frequently</w:t>
      </w:r>
      <w:r w:rsidRPr="00E027AC">
        <w:rPr>
          <w:rFonts w:hint="eastAsia"/>
        </w:rPr>
        <w:t xml:space="preserve"> adopted approach</w:t>
      </w:r>
      <w:r w:rsidRPr="00E027AC">
        <w:t xml:space="preserve">, perhaps because </w:t>
      </w:r>
      <w:r w:rsidRPr="00E027AC">
        <w:rPr>
          <w:rFonts w:hint="eastAsia"/>
        </w:rPr>
        <w:t xml:space="preserve">the </w:t>
      </w:r>
      <w:r w:rsidRPr="00E027AC">
        <w:t xml:space="preserve">development </w:t>
      </w:r>
      <w:r w:rsidRPr="00E027AC">
        <w:rPr>
          <w:rFonts w:hint="eastAsia"/>
        </w:rPr>
        <w:t xml:space="preserve">of synthesis writing </w:t>
      </w:r>
      <w:r w:rsidRPr="00E027AC">
        <w:t>drew</w:t>
      </w:r>
      <w:r w:rsidRPr="00E027AC">
        <w:rPr>
          <w:rFonts w:hint="eastAsia"/>
        </w:rPr>
        <w:t xml:space="preserve"> on </w:t>
      </w:r>
      <w:r w:rsidRPr="00E027AC">
        <w:t>her</w:t>
      </w:r>
      <w:r w:rsidRPr="00E027AC">
        <w:rPr>
          <w:rFonts w:hint="eastAsia"/>
        </w:rPr>
        <w:t xml:space="preserve"> groundbreaking work. Discourse synthesis </w:t>
      </w:r>
      <w:r w:rsidRPr="00E027AC">
        <w:t>extensively</w:t>
      </w:r>
      <w:r w:rsidRPr="00E027AC">
        <w:rPr>
          <w:rFonts w:hint="eastAsia"/>
        </w:rPr>
        <w:t xml:space="preserve"> influenced </w:t>
      </w:r>
      <w:r w:rsidRPr="00E027AC">
        <w:t xml:space="preserve">the work of </w:t>
      </w:r>
      <w:r w:rsidRPr="00E027AC">
        <w:rPr>
          <w:rFonts w:hint="eastAsia"/>
        </w:rPr>
        <w:t xml:space="preserve">later scholars </w:t>
      </w:r>
      <w:r w:rsidRPr="00E027AC">
        <w:t>like</w:t>
      </w:r>
      <w:r w:rsidRPr="00E027AC" w:rsidDel="00E04325">
        <w:rPr>
          <w:rFonts w:hint="eastAsia"/>
        </w:rPr>
        <w:t xml:space="preserve"> </w:t>
      </w:r>
      <w:r w:rsidRPr="00E027AC">
        <w:rPr>
          <w:rFonts w:hint="eastAsia"/>
        </w:rPr>
        <w:t xml:space="preserve">Segev Miller, Alan Hirvela, William Grabe, and Lia </w:t>
      </w:r>
      <w:proofErr w:type="spellStart"/>
      <w:r w:rsidRPr="00E027AC">
        <w:rPr>
          <w:rFonts w:hint="eastAsia"/>
        </w:rPr>
        <w:t>Plakans</w:t>
      </w:r>
      <w:proofErr w:type="spellEnd"/>
      <w:r w:rsidRPr="00E027AC">
        <w:rPr>
          <w:rFonts w:hint="eastAsia"/>
        </w:rPr>
        <w:t xml:space="preserve">, who applied the theory in </w:t>
      </w:r>
      <w:r w:rsidRPr="00E027AC">
        <w:t xml:space="preserve">a range of </w:t>
      </w:r>
      <w:r w:rsidRPr="00E027AC">
        <w:rPr>
          <w:rFonts w:hint="eastAsia"/>
        </w:rPr>
        <w:t>research contexts (e.g., literacy practices, strategy development, and assessment)</w:t>
      </w:r>
      <w:r w:rsidRPr="00E027AC">
        <w:t>,</w:t>
      </w:r>
      <w:r w:rsidRPr="00E027AC">
        <w:rPr>
          <w:rFonts w:hint="eastAsia"/>
        </w:rPr>
        <w:t xml:space="preserve"> making the model more influential in both L1 and L2 composition scholarship.</w:t>
      </w:r>
    </w:p>
    <w:p w14:paraId="369DFB43" w14:textId="77777777" w:rsidR="00E027AC" w:rsidRPr="00E027AC" w:rsidRDefault="00E027AC" w:rsidP="00E027AC">
      <w:pPr>
        <w:pStyle w:val="L2JBody"/>
      </w:pPr>
      <w:r w:rsidRPr="00E027AC">
        <w:rPr>
          <w:rFonts w:hint="eastAsia"/>
        </w:rPr>
        <w:t>The second most prevalent theoretical orientation was</w:t>
      </w:r>
      <w:r w:rsidRPr="00E027AC">
        <w:t xml:space="preserve"> the</w:t>
      </w:r>
      <w:r w:rsidRPr="00E027AC">
        <w:rPr>
          <w:rFonts w:hint="eastAsia"/>
        </w:rPr>
        <w:t xml:space="preserve"> social or sociocultural approach (</w:t>
      </w:r>
      <w:r w:rsidRPr="00E027AC">
        <w:t xml:space="preserve">n=14, </w:t>
      </w:r>
      <w:r w:rsidRPr="00E027AC">
        <w:rPr>
          <w:rFonts w:hint="eastAsia"/>
        </w:rPr>
        <w:t xml:space="preserve">15%). </w:t>
      </w:r>
      <w:r w:rsidRPr="00E027AC">
        <w:t>I</w:t>
      </w:r>
      <w:r w:rsidRPr="00E027AC">
        <w:rPr>
          <w:rFonts w:hint="eastAsia"/>
        </w:rPr>
        <w:t xml:space="preserve">n this </w:t>
      </w:r>
      <w:r w:rsidRPr="00E027AC">
        <w:t>category</w:t>
      </w:r>
      <w:r w:rsidRPr="00E027AC">
        <w:rPr>
          <w:rFonts w:hint="eastAsia"/>
        </w:rPr>
        <w:t xml:space="preserve">, </w:t>
      </w:r>
      <w:r w:rsidRPr="00E027AC">
        <w:fldChar w:fldCharType="begin"/>
      </w:r>
      <w:r w:rsidRPr="00E027AC">
        <w:instrText xml:space="preserve"> ADDIN ZOTERO_ITEM CSL_CITATION {"citationID":"3kgOLkqJ","properties":{"formattedCitation":"(Engestr\\uc0\\u246{}m, 1987)","plainCitation":"(Engeström, 1987)","dontUpdate":true,"noteIndex":0},"citationItems":[{"id":1576,"uris":["http://zotero.org/users/9207091/items/UE67PVGQ"],"itemData":{"id":1576,"type":"book","publisher":"Orienta-Konsultit Oy","title":"Learning by expanding: An activity theoretical approach to developmental research.","author":[{"family":"Engeström","given":"Y."}],"issued":{"date-parts":[["1987"]]}}}],"schema":"https://github.com/citation-style-language/schema/raw/master/csl-citation.json"} </w:instrText>
      </w:r>
      <w:r w:rsidRPr="00E027AC">
        <w:fldChar w:fldCharType="separate"/>
      </w:r>
      <w:proofErr w:type="spellStart"/>
      <w:r w:rsidRPr="00E027AC">
        <w:t>Engeström’</w:t>
      </w:r>
      <w:r w:rsidRPr="00E027AC">
        <w:rPr>
          <w:rFonts w:hint="eastAsia"/>
        </w:rPr>
        <w:t>s</w:t>
      </w:r>
      <w:proofErr w:type="spellEnd"/>
      <w:r w:rsidRPr="00E027AC">
        <w:t xml:space="preserve"> </w:t>
      </w:r>
      <w:r w:rsidRPr="00E027AC">
        <w:rPr>
          <w:rFonts w:hint="eastAsia"/>
        </w:rPr>
        <w:t>(</w:t>
      </w:r>
      <w:r w:rsidRPr="00E027AC">
        <w:t>1987)</w:t>
      </w:r>
      <w:r w:rsidRPr="00E027AC">
        <w:fldChar w:fldCharType="end"/>
      </w:r>
      <w:r w:rsidRPr="00E027AC">
        <w:rPr>
          <w:rFonts w:hint="eastAsia"/>
        </w:rPr>
        <w:t xml:space="preserve"> activity theory was the most dominant. This theory became increasingly significant in source-based writing </w:t>
      </w:r>
      <w:r w:rsidRPr="00E027AC">
        <w:t>because of</w:t>
      </w:r>
      <w:r w:rsidRPr="00E027AC">
        <w:rPr>
          <w:rFonts w:hint="eastAsia"/>
        </w:rPr>
        <w:t xml:space="preserve"> the growing awareness of composing as a complex activity shaped by larger sociocultural factors beyond the narrow act of reading and writing. For example, </w:t>
      </w:r>
      <w:r w:rsidRPr="00E027AC">
        <w:fldChar w:fldCharType="begin"/>
      </w:r>
      <w:r w:rsidRPr="00E027AC">
        <w:instrText xml:space="preserve"> ADDIN ZOTERO_ITEM CSL_CITATION {"citationID":"otCpFhyu","properties":{"formattedCitation":"(Pomerantz &amp; Kearney, 2012)","plainCitation":"(Pomerantz &amp; Kearney, 2012)","dontUpdate":true,"noteIndex":0},"citationItems":[{"id":3101,"uris":["http://zotero.org/users/9207091/items/WAAAFDSC"],"itemData":{"id":3101,"type":"article-journal","abstract":"This paper offers a narrative framework for understanding how multilingual graduate students make sense of the continuous and frequently contradictory talk they engage in as they write. It illustrates how attention to the telling, form, and content of the stories such students relate about their ongoing interactions around academic writing can reveal aspects of the relationship between speaking and composing/revising that are not foregrounded in other approaches to data collection and analysis. Advocating movement beyond a ‘write-talk-revise-(repeat)’ model of L2 writing, the paper draws on Ochs and Capps’ (2001) multidimensional approach, adapting its use to a multilingual context. It then exempliﬁes how this modiﬁed model can be used by analyzing the stories told by one Taiwanese student in a U.S. university about her interactions with teachers, tutors, and peers. Analysis demonstrates how, through the act of storytelling, this student attempts to work through her model of what counts as ‘‘good’’ writing in her English language academic discourse community and to develop a sense of who she is as a multilingual writer. The paper ends with discussion of how a narrative approach provokes several shifts in perspective that serve to complement and extend existing work in the ﬁeld.","container-title":"Journal of Second Language Writing","DOI":"10.1016/j.jslw.2012.05.013","ISSN":"10603743","issue":"3","journalAbbreviation":"Journal of Second Language Writing","language":"en","license":"https://www.elsevier.com/tdm/userlicense/1.0/","page":"221-238","source":"DOI.org (Crossref)","title":"Beyond ‘write-talk-revise-(repeat)’: Using narrative to understand one multilingual student's interactions around writing","title-short":"Beyond ‘write-talk-revise-(repeat)’","volume":"21","author":[{"family":"Pomerantz","given":"Anne"},{"family":"Kearney","given":"Erin"}],"issued":{"date-parts":[["2012",9]]}}}],"schema":"https://github.com/citation-style-language/schema/raw/master/csl-citation.json"} </w:instrText>
      </w:r>
      <w:r w:rsidRPr="00E027AC">
        <w:fldChar w:fldCharType="separate"/>
      </w:r>
      <w:r w:rsidRPr="00E027AC">
        <w:t xml:space="preserve">Pomerantz </w:t>
      </w:r>
      <w:r w:rsidRPr="00E027AC">
        <w:rPr>
          <w:rFonts w:hint="eastAsia"/>
        </w:rPr>
        <w:t>and</w:t>
      </w:r>
      <w:r w:rsidRPr="00E027AC">
        <w:t xml:space="preserve"> Kearney </w:t>
      </w:r>
      <w:r w:rsidRPr="00E027AC">
        <w:rPr>
          <w:rFonts w:hint="eastAsia"/>
        </w:rPr>
        <w:t>(</w:t>
      </w:r>
      <w:r w:rsidRPr="00E027AC">
        <w:t>2012)</w:t>
      </w:r>
      <w:r w:rsidRPr="00E027AC">
        <w:fldChar w:fldCharType="end"/>
      </w:r>
      <w:r w:rsidRPr="00E027AC">
        <w:rPr>
          <w:rFonts w:hint="eastAsia"/>
        </w:rPr>
        <w:t xml:space="preserve"> demonstrated that their participant</w:t>
      </w:r>
      <w:r w:rsidRPr="00E027AC">
        <w:t>’</w:t>
      </w:r>
      <w:r w:rsidRPr="00E027AC">
        <w:rPr>
          <w:rFonts w:hint="eastAsia"/>
        </w:rPr>
        <w:t xml:space="preserve">s writing was greatly informed by her writer identity and beliefs about what </w:t>
      </w:r>
      <w:r w:rsidRPr="00E027AC">
        <w:t>defined</w:t>
      </w:r>
      <w:r w:rsidRPr="00E027AC">
        <w:rPr>
          <w:rFonts w:hint="eastAsia"/>
        </w:rPr>
        <w:t xml:space="preserve"> </w:t>
      </w:r>
      <w:r w:rsidRPr="00E027AC">
        <w:t>“</w:t>
      </w:r>
      <w:r w:rsidRPr="00E027AC">
        <w:rPr>
          <w:rFonts w:hint="eastAsia"/>
        </w:rPr>
        <w:t>good</w:t>
      </w:r>
      <w:r w:rsidRPr="00E027AC">
        <w:t>”</w:t>
      </w:r>
      <w:r w:rsidRPr="00E027AC">
        <w:rPr>
          <w:rFonts w:hint="eastAsia"/>
        </w:rPr>
        <w:t xml:space="preserve"> writing. These </w:t>
      </w:r>
      <w:r w:rsidRPr="00E027AC">
        <w:t>sociocultural</w:t>
      </w:r>
      <w:r w:rsidRPr="00E027AC">
        <w:rPr>
          <w:rFonts w:hint="eastAsia"/>
        </w:rPr>
        <w:t xml:space="preserve"> perspectives </w:t>
      </w:r>
      <w:r w:rsidRPr="00E027AC">
        <w:t>prompted</w:t>
      </w:r>
      <w:r w:rsidRPr="00E027AC">
        <w:rPr>
          <w:rFonts w:hint="eastAsia"/>
        </w:rPr>
        <w:t xml:space="preserve"> writing scholars to view surrounding mediating artifacts (e.g., tools, and communities) as playing</w:t>
      </w:r>
      <w:r w:rsidRPr="00E027AC">
        <w:t xml:space="preserve"> significant</w:t>
      </w:r>
      <w:r w:rsidRPr="00E027AC">
        <w:rPr>
          <w:rFonts w:hint="eastAsia"/>
        </w:rPr>
        <w:t xml:space="preserve"> roles in source-based writing.</w:t>
      </w:r>
    </w:p>
    <w:p w14:paraId="65BCF834" w14:textId="77777777" w:rsidR="00E027AC" w:rsidRPr="00E027AC" w:rsidRDefault="00E027AC" w:rsidP="00E027AC">
      <w:pPr>
        <w:pStyle w:val="L2JBody"/>
      </w:pPr>
      <w:r w:rsidRPr="00E027AC">
        <w:rPr>
          <w:rFonts w:hint="eastAsia"/>
        </w:rPr>
        <w:t xml:space="preserve">Overall, </w:t>
      </w:r>
      <w:r w:rsidRPr="00E027AC">
        <w:t>researchers who</w:t>
      </w:r>
      <w:r w:rsidRPr="00E027AC">
        <w:rPr>
          <w:rFonts w:hint="eastAsia"/>
        </w:rPr>
        <w:t xml:space="preserve"> adopt</w:t>
      </w:r>
      <w:r w:rsidRPr="00E027AC">
        <w:t>ed</w:t>
      </w:r>
      <w:r w:rsidRPr="00E027AC">
        <w:rPr>
          <w:rFonts w:hint="eastAsia"/>
        </w:rPr>
        <w:t xml:space="preserve"> </w:t>
      </w:r>
      <w:r w:rsidRPr="00E027AC">
        <w:t>critical</w:t>
      </w:r>
      <w:r w:rsidRPr="00E027AC">
        <w:rPr>
          <w:rFonts w:hint="eastAsia"/>
        </w:rPr>
        <w:t xml:space="preserve"> approaches were rare. </w:t>
      </w:r>
      <w:r w:rsidRPr="00E027AC">
        <w:t>T</w:t>
      </w:r>
      <w:r w:rsidRPr="00E027AC">
        <w:rPr>
          <w:rFonts w:hint="eastAsia"/>
        </w:rPr>
        <w:t xml:space="preserve">ranslanguaging was </w:t>
      </w:r>
      <w:r w:rsidRPr="00E027AC">
        <w:t xml:space="preserve">used </w:t>
      </w:r>
      <w:r w:rsidRPr="00E027AC">
        <w:rPr>
          <w:rFonts w:hint="eastAsia"/>
        </w:rPr>
        <w:t>as a sole theoretical framework</w:t>
      </w:r>
      <w:r w:rsidRPr="00E027AC">
        <w:t xml:space="preserve"> in only </w:t>
      </w:r>
      <w:r w:rsidRPr="00E027AC">
        <w:rPr>
          <w:rFonts w:hint="eastAsia"/>
        </w:rPr>
        <w:t xml:space="preserve">one study </w:t>
      </w:r>
      <w:r w:rsidRPr="00E027AC">
        <w:fldChar w:fldCharType="begin"/>
      </w:r>
      <w:r w:rsidRPr="00E027AC">
        <w:instrText xml:space="preserve"> ADDIN ZOTERO_ITEM CSL_CITATION {"citationID":"hWyLc0b0","properties":{"formattedCitation":"(Zheng &amp; Drybrough, 2023)","plainCitation":"(Zheng &amp; Drybrough, 2023)","noteIndex":0},"citationItems":[{"id":3182,"uris":["http://zotero.org/users/9207091/items/W5HVMIA2"],"itemData":{"id":3182,"type":"article-journal","abstract":"Written translanguaging within educational settings has drawn increasing attention in recent years, but research which explores translanguaging practice in detail in the postgraduate dissertation writing process is still limited. This study focuses on five Chinese postgraduate stu­ dents who studied at a British university. It investigates their translanguaging practice in the outlining, note-taking and drafting phases of their master’s dissertation writing process with reference to Plakans’ reading-to-write test task model. We collected and analysed the texts from our participants and conducted interviews to introduce emic perspectives to our analysis. The findings reveal six translanguaging practices in the academic dissertation writing process, showing that translanguaging supports students’ development of self-regulation and serves as an efficient self-regulation tool for them to control the recursive and extensive dissertation writing process, to reach their immediate and global writing goals. The paper problematizes and chal­ lenges the orthodox academic discourse and practice and highlights the need for EAP tutors and dissertation supervisors to encourage translanguaging in students’ writing practice in response to the potential issues raised by the monolingual norms in the academic communities.","container-title":"Journal of English for Academic Purposes","DOI":"10.1016/j.jeap.2023.101269","ISSN":"14751585","journalAbbreviation":"Journal of English for Academic Purposes","language":"en","page":"101269","source":"DOI.org (Crossref)","title":"Translanguaging in the academic writing process: Exploring Chinese bilingual postgraduate students’ practices at a British university","title-short":"Translanguaging in the academic writing process","volume":"65","author":[{"family":"Zheng","given":"Zhe Zoey"},{"family":"Drybrough","given":"Andrew G."}],"issued":{"date-parts":[["2023",9]]}}}],"schema":"https://github.com/citation-style-language/schema/raw/master/csl-citation.json"} </w:instrText>
      </w:r>
      <w:r w:rsidRPr="00E027AC">
        <w:fldChar w:fldCharType="separate"/>
      </w:r>
      <w:r w:rsidRPr="00E027AC">
        <w:t xml:space="preserve">(Zheng &amp; </w:t>
      </w:r>
      <w:proofErr w:type="spellStart"/>
      <w:r w:rsidRPr="00E027AC">
        <w:t>Drybrough</w:t>
      </w:r>
      <w:proofErr w:type="spellEnd"/>
      <w:r w:rsidRPr="00E027AC">
        <w:t>, 2023)</w:t>
      </w:r>
      <w:r w:rsidRPr="00E027AC">
        <w:fldChar w:fldCharType="end"/>
      </w:r>
      <w:r w:rsidRPr="00E027AC">
        <w:t>,</w:t>
      </w:r>
      <w:r w:rsidRPr="00E027AC">
        <w:rPr>
          <w:rFonts w:hint="eastAsia"/>
        </w:rPr>
        <w:t xml:space="preserve"> whereas </w:t>
      </w:r>
      <w:r w:rsidRPr="00E027AC">
        <w:t xml:space="preserve">in </w:t>
      </w:r>
      <w:r w:rsidRPr="00E027AC">
        <w:rPr>
          <w:rFonts w:hint="eastAsia"/>
        </w:rPr>
        <w:t>two other</w:t>
      </w:r>
      <w:r w:rsidRPr="00E027AC">
        <w:t>s</w:t>
      </w:r>
      <w:r w:rsidRPr="00E027AC">
        <w:rPr>
          <w:rFonts w:hint="eastAsia"/>
        </w:rPr>
        <w:t xml:space="preserve"> </w:t>
      </w:r>
      <w:r w:rsidRPr="00E027AC">
        <w:fldChar w:fldCharType="begin"/>
      </w:r>
      <w:r w:rsidRPr="00E027AC">
        <w:instrText xml:space="preserve"> ADDIN ZOTERO_ITEM CSL_CITATION {"citationID":"5OypQB33","properties":{"formattedCitation":"(Ene et al., 2019; Seloni, 2014)","plainCitation":"(Ene et al., 2019; Seloni, 2014)","noteIndex":0},"citationItems":[{"id":3107,"uris":["http://zotero.org/users/9207091/items/XSVU7C4C"],"itemData":{"id":3107,"type":"article-journal","abstract":"This pilot study applies the three tenets of intercultural rhetoric (i.e., texts must be studied in context; culture is complex and dynamic; written discourse encounters necessitate negotiation and accommodation) to an investigation of the translingual practices of four post-graduate-level second language (L2) writers of English. By using stimulated recall to probe the participants’ awareness and use of L1 and L2 academic conventions in the writing process, we were able to identify the negotiation strategies they employed and to understand the linguistic or cultural factors that inﬂuenced those choices. Our ﬁndings revealed that participants’ translingual negotiations varied, depending on their level of proﬁciency in English, ﬁeld of study, and experience writing academically in both their L1 and L2. Participants also tended to frame discussions of their academic writing in terms of both large, national cultures and small, disciplinary or classroom-based ones. Finally, this study illustrates how inquiries that highlight the social contexts and complexities of cross-cultural comparisons can be useful in operationalizing translingual concepts and developing evidence-based pedagogy for L2 writing.","container-title":"Journal of Second Language Writing","DOI":"10.1016/j.jslw.2019.100664","ISSN":"10603743","journalAbbreviation":"Journal of Second Language Writing","language":"en","page":"100664","source":"DOI.org (Crossref)","title":"Using intercultural rhetoric to examine translingual practices of postgraduate L2 writers of English","volume":"45","author":[{"family":"Ene","given":"Estela"},{"family":"McIntosh","given":"Kyle"},{"family":"Connor","given":"Ulla"}],"issued":{"date-parts":[["2019",9]]}}},{"id":51,"uris":["http://zotero.org/users/9207091/items/L7CPU93M"],"itemData":{"id":51,"type":"article-journal","container-title":"Journal of Second Language Writing","note":"ISBN: 1060-3743\npublisher: Elsevier","page":"79-99","title":"“I’m an artist and a scholar who is trying to find a middle point”: A textographic analysis of a Colombian art historian's thesis writing","volume":"25","author":[{"family":"Seloni","given":"Lisya"}],"issued":{"date-parts":[["2014"]]}}}],"schema":"https://github.com/citation-style-language/schema/raw/master/csl-citation.json"} </w:instrText>
      </w:r>
      <w:r w:rsidRPr="00E027AC">
        <w:fldChar w:fldCharType="separate"/>
      </w:r>
      <w:r w:rsidRPr="00E027AC">
        <w:t xml:space="preserve">(Ene et al., 2019; </w:t>
      </w:r>
      <w:proofErr w:type="spellStart"/>
      <w:r w:rsidRPr="00E027AC">
        <w:t>Seloni</w:t>
      </w:r>
      <w:proofErr w:type="spellEnd"/>
      <w:r w:rsidRPr="00E027AC">
        <w:t>, 2014)</w:t>
      </w:r>
      <w:r w:rsidRPr="00E027AC">
        <w:fldChar w:fldCharType="end"/>
      </w:r>
      <w:r w:rsidRPr="00E027AC">
        <w:rPr>
          <w:rFonts w:hint="eastAsia"/>
        </w:rPr>
        <w:t>, translanguaging</w:t>
      </w:r>
      <w:r w:rsidRPr="00E027AC">
        <w:rPr>
          <w:rFonts w:ascii="Times New Roman" w:hAnsi="Times New Roman" w:cs="Times New Roman"/>
        </w:rPr>
        <w:t>‒</w:t>
      </w:r>
      <w:proofErr w:type="spellStart"/>
      <w:r w:rsidRPr="00E027AC">
        <w:rPr>
          <w:rFonts w:hint="eastAsia"/>
        </w:rPr>
        <w:t>translingualism</w:t>
      </w:r>
      <w:proofErr w:type="spellEnd"/>
      <w:r w:rsidRPr="00E027AC">
        <w:rPr>
          <w:rFonts w:hint="eastAsia"/>
        </w:rPr>
        <w:t xml:space="preserve"> </w:t>
      </w:r>
      <w:r w:rsidRPr="00E027AC">
        <w:t xml:space="preserve">had been adopted </w:t>
      </w:r>
      <w:r w:rsidRPr="00E027AC">
        <w:rPr>
          <w:rFonts w:hint="eastAsia"/>
        </w:rPr>
        <w:t xml:space="preserve">in addition to other theories (categorized under </w:t>
      </w:r>
      <w:r w:rsidRPr="00E027AC">
        <w:t>“t</w:t>
      </w:r>
      <w:r w:rsidRPr="00E027AC">
        <w:rPr>
          <w:rFonts w:hint="eastAsia"/>
        </w:rPr>
        <w:t>wo or more orientations</w:t>
      </w:r>
      <w:r w:rsidRPr="00E027AC">
        <w:t>”</w:t>
      </w:r>
      <w:r w:rsidRPr="00E027AC">
        <w:rPr>
          <w:rFonts w:hint="eastAsia"/>
        </w:rPr>
        <w:t xml:space="preserve">). This </w:t>
      </w:r>
      <w:r w:rsidRPr="00E027AC">
        <w:t xml:space="preserve">finding </w:t>
      </w:r>
      <w:r w:rsidRPr="00E027AC">
        <w:rPr>
          <w:rFonts w:hint="eastAsia"/>
        </w:rPr>
        <w:t>demonstrat</w:t>
      </w:r>
      <w:r w:rsidRPr="00E027AC">
        <w:t>es</w:t>
      </w:r>
      <w:r w:rsidRPr="00E027AC">
        <w:rPr>
          <w:rFonts w:hint="eastAsia"/>
        </w:rPr>
        <w:t xml:space="preserve"> that </w:t>
      </w:r>
      <w:r w:rsidRPr="00E027AC">
        <w:t xml:space="preserve">only </w:t>
      </w:r>
      <w:r w:rsidRPr="00E027AC">
        <w:rPr>
          <w:rFonts w:hint="eastAsia"/>
        </w:rPr>
        <w:t xml:space="preserve">limited </w:t>
      </w:r>
      <w:r w:rsidRPr="00E027AC">
        <w:t>research</w:t>
      </w:r>
      <w:r w:rsidRPr="00E027AC">
        <w:rPr>
          <w:rFonts w:hint="eastAsia"/>
        </w:rPr>
        <w:t xml:space="preserve"> initiatives have been </w:t>
      </w:r>
      <w:r w:rsidRPr="00E027AC">
        <w:t xml:space="preserve">conceived </w:t>
      </w:r>
      <w:r w:rsidRPr="00E027AC">
        <w:rPr>
          <w:rFonts w:hint="eastAsia"/>
        </w:rPr>
        <w:t>to ex</w:t>
      </w:r>
      <w:r w:rsidRPr="00E027AC">
        <w:t>amine</w:t>
      </w:r>
      <w:r w:rsidRPr="00E027AC">
        <w:rPr>
          <w:rFonts w:hint="eastAsia"/>
        </w:rPr>
        <w:t xml:space="preserve"> synthesis </w:t>
      </w:r>
      <w:r w:rsidRPr="00E027AC">
        <w:t>writing</w:t>
      </w:r>
      <w:r w:rsidRPr="00E027AC">
        <w:rPr>
          <w:rFonts w:hint="eastAsia"/>
        </w:rPr>
        <w:t xml:space="preserve"> through an inclusive lens, allowing writers to fully u</w:t>
      </w:r>
      <w:r w:rsidRPr="00E027AC">
        <w:t>s</w:t>
      </w:r>
      <w:r w:rsidRPr="00E027AC">
        <w:rPr>
          <w:rFonts w:hint="eastAsia"/>
        </w:rPr>
        <w:t xml:space="preserve">e their </w:t>
      </w:r>
      <w:r w:rsidRPr="00E027AC">
        <w:t xml:space="preserve">entire </w:t>
      </w:r>
      <w:r w:rsidRPr="00E027AC">
        <w:rPr>
          <w:rFonts w:hint="eastAsia"/>
        </w:rPr>
        <w:t xml:space="preserve">linguistic </w:t>
      </w:r>
      <w:r w:rsidRPr="00E027AC">
        <w:t>repertoire</w:t>
      </w:r>
      <w:r w:rsidRPr="00E027AC">
        <w:rPr>
          <w:rFonts w:hint="eastAsia"/>
        </w:rPr>
        <w:t xml:space="preserve"> in a fluid manner</w:t>
      </w:r>
      <w:r w:rsidRPr="00E027AC">
        <w:t>—r</w:t>
      </w:r>
      <w:r w:rsidRPr="00E027AC">
        <w:rPr>
          <w:rFonts w:hint="eastAsia"/>
        </w:rPr>
        <w:t>eflect</w:t>
      </w:r>
      <w:r w:rsidRPr="00E027AC">
        <w:t>ing</w:t>
      </w:r>
      <w:r w:rsidRPr="00E027AC">
        <w:rPr>
          <w:rFonts w:hint="eastAsia"/>
        </w:rPr>
        <w:t xml:space="preserve"> insufficient discourse challeng</w:t>
      </w:r>
      <w:r w:rsidRPr="00E027AC">
        <w:t>ing</w:t>
      </w:r>
      <w:r w:rsidRPr="00E027AC">
        <w:rPr>
          <w:rFonts w:hint="eastAsia"/>
        </w:rPr>
        <w:t xml:space="preserve"> traditional Western academic writing norms and genre expectations within the domain of synthesis writing. </w:t>
      </w:r>
    </w:p>
    <w:p w14:paraId="1D8ACBF1" w14:textId="77777777" w:rsidR="00E027AC" w:rsidRPr="00E027AC" w:rsidRDefault="00E027AC" w:rsidP="00E027AC">
      <w:pPr>
        <w:pStyle w:val="L2JBody"/>
      </w:pPr>
      <w:r w:rsidRPr="00E027AC">
        <w:rPr>
          <w:rFonts w:hint="eastAsia"/>
        </w:rPr>
        <w:lastRenderedPageBreak/>
        <w:t xml:space="preserve">Last, </w:t>
      </w:r>
      <w:r w:rsidRPr="00E027AC">
        <w:t>I</w:t>
      </w:r>
      <w:r w:rsidRPr="00E027AC">
        <w:rPr>
          <w:rFonts w:hint="eastAsia"/>
        </w:rPr>
        <w:t xml:space="preserve"> </w:t>
      </w:r>
      <w:r w:rsidRPr="00E027AC">
        <w:t>was unable to</w:t>
      </w:r>
      <w:r w:rsidRPr="00E027AC">
        <w:rPr>
          <w:rFonts w:hint="eastAsia"/>
        </w:rPr>
        <w:t xml:space="preserve"> </w:t>
      </w:r>
      <w:r w:rsidRPr="00E027AC">
        <w:t>identify</w:t>
      </w:r>
      <w:r w:rsidRPr="00E027AC">
        <w:rPr>
          <w:rFonts w:hint="eastAsia"/>
        </w:rPr>
        <w:t xml:space="preserve"> the exact theoretical framing of 31 studies (34%)</w:t>
      </w:r>
      <w:r w:rsidRPr="00E027AC">
        <w:t xml:space="preserve"> because their authors </w:t>
      </w:r>
      <w:r w:rsidRPr="00E027AC">
        <w:rPr>
          <w:rFonts w:hint="eastAsia"/>
        </w:rPr>
        <w:t>provide</w:t>
      </w:r>
      <w:r w:rsidRPr="00E027AC">
        <w:t>d no</w:t>
      </w:r>
      <w:r w:rsidRPr="00E027AC">
        <w:rPr>
          <w:rFonts w:hint="eastAsia"/>
        </w:rPr>
        <w:t xml:space="preserve"> explicit guiding theories, </w:t>
      </w:r>
      <w:r w:rsidRPr="00E027AC">
        <w:t xml:space="preserve">thus </w:t>
      </w:r>
      <w:r w:rsidRPr="00E027AC">
        <w:rPr>
          <w:rFonts w:hint="eastAsia"/>
        </w:rPr>
        <w:t xml:space="preserve">labelled </w:t>
      </w:r>
      <w:r w:rsidRPr="00E027AC">
        <w:t>“</w:t>
      </w:r>
      <w:r w:rsidRPr="00E027AC">
        <w:rPr>
          <w:rFonts w:hint="eastAsia"/>
        </w:rPr>
        <w:t>u</w:t>
      </w:r>
      <w:r w:rsidRPr="00E027AC">
        <w:t>nspecified</w:t>
      </w:r>
      <w:r w:rsidRPr="00E027AC">
        <w:rPr>
          <w:rFonts w:hint="eastAsia"/>
        </w:rPr>
        <w:t>.</w:t>
      </w:r>
      <w:r w:rsidRPr="00E027AC">
        <w:t>”</w:t>
      </w:r>
      <w:r w:rsidRPr="00E027AC">
        <w:rPr>
          <w:rFonts w:hint="eastAsia"/>
        </w:rPr>
        <w:t xml:space="preserve"> This raise</w:t>
      </w:r>
      <w:r w:rsidRPr="00E027AC">
        <w:t>d</w:t>
      </w:r>
      <w:r w:rsidRPr="00E027AC">
        <w:rPr>
          <w:rFonts w:hint="eastAsia"/>
        </w:rPr>
        <w:t xml:space="preserve"> an important issue</w:t>
      </w:r>
      <w:r w:rsidRPr="00E027AC">
        <w:t xml:space="preserve"> because</w:t>
      </w:r>
      <w:r w:rsidRPr="00E027AC">
        <w:rPr>
          <w:rFonts w:hint="eastAsia"/>
        </w:rPr>
        <w:t xml:space="preserve"> guiding principles </w:t>
      </w:r>
      <w:r w:rsidRPr="00E027AC">
        <w:t xml:space="preserve">typically </w:t>
      </w:r>
      <w:r w:rsidRPr="00E027AC">
        <w:rPr>
          <w:rFonts w:hint="eastAsia"/>
        </w:rPr>
        <w:t xml:space="preserve">serve as the foundations for a thorough examination of the target phenomenon. They also allow researchers to compare their findings with other studies systematically and adequately, which is crucial </w:t>
      </w:r>
      <w:r w:rsidRPr="00E027AC">
        <w:t xml:space="preserve">in </w:t>
      </w:r>
      <w:r w:rsidRPr="00E027AC">
        <w:rPr>
          <w:rFonts w:hint="eastAsia"/>
        </w:rPr>
        <w:t>scholarly practice.</w:t>
      </w:r>
    </w:p>
    <w:p w14:paraId="0957D9F9" w14:textId="77777777" w:rsidR="00E027AC" w:rsidRDefault="00E027AC" w:rsidP="00E027AC">
      <w:pPr>
        <w:spacing w:line="480" w:lineRule="auto"/>
        <w:rPr>
          <w:rFonts w:ascii="Times New Roman" w:hAnsi="Times New Roman"/>
          <w:b/>
          <w:bCs/>
          <w:sz w:val="24"/>
          <w:szCs w:val="24"/>
          <w:shd w:val="clear" w:color="auto" w:fill="FFFFFF"/>
        </w:rPr>
      </w:pPr>
    </w:p>
    <w:p w14:paraId="6D457D58" w14:textId="465F428A" w:rsidR="00E027AC" w:rsidRPr="00E027AC" w:rsidRDefault="00E027AC" w:rsidP="00E027AC">
      <w:pPr>
        <w:pStyle w:val="L2JH2"/>
        <w:rPr>
          <w:shd w:val="clear" w:color="auto" w:fill="FFFFFF"/>
        </w:rPr>
      </w:pPr>
      <w:r w:rsidRPr="006368A5">
        <w:rPr>
          <w:shd w:val="clear" w:color="auto" w:fill="FFFFFF"/>
        </w:rPr>
        <w:t>RQ 3: Methodological Approaches in Synthesis Writing Research</w:t>
      </w:r>
    </w:p>
    <w:p w14:paraId="41179457" w14:textId="77777777" w:rsidR="00E027AC" w:rsidRDefault="00E027AC" w:rsidP="00E027AC">
      <w:pPr>
        <w:pStyle w:val="L2JBody"/>
        <w:ind w:firstLine="0"/>
        <w:rPr>
          <w:shd w:val="clear" w:color="auto" w:fill="FFFFFF"/>
        </w:rPr>
      </w:pPr>
    </w:p>
    <w:p w14:paraId="4BE6421A" w14:textId="4F8875AF" w:rsidR="00E027AC" w:rsidRPr="006368A5" w:rsidRDefault="00E027AC" w:rsidP="00E027AC">
      <w:pPr>
        <w:pStyle w:val="L2JBody"/>
        <w:ind w:firstLine="0"/>
        <w:rPr>
          <w:shd w:val="clear" w:color="auto" w:fill="FFFFFF"/>
        </w:rPr>
      </w:pPr>
      <w:r w:rsidRPr="006368A5">
        <w:rPr>
          <w:shd w:val="clear" w:color="auto" w:fill="FFFFFF"/>
        </w:rPr>
        <w:t>From 2004 to 2024</w:t>
      </w:r>
      <w:r w:rsidRPr="006368A5">
        <w:rPr>
          <w:rFonts w:hint="eastAsia"/>
          <w:shd w:val="clear" w:color="auto" w:fill="FFFFFF"/>
        </w:rPr>
        <w:t xml:space="preserve">, </w:t>
      </w:r>
      <w:r w:rsidRPr="006368A5">
        <w:rPr>
          <w:shd w:val="clear" w:color="auto" w:fill="FFFFFF"/>
        </w:rPr>
        <w:t xml:space="preserve">researchers used a range of </w:t>
      </w:r>
      <w:r w:rsidRPr="006368A5">
        <w:rPr>
          <w:rFonts w:hint="eastAsia"/>
          <w:shd w:val="clear" w:color="auto" w:fill="FFFFFF"/>
        </w:rPr>
        <w:t xml:space="preserve">methodologies </w:t>
      </w:r>
      <w:r w:rsidRPr="006368A5">
        <w:rPr>
          <w:shd w:val="clear" w:color="auto" w:fill="FFFFFF"/>
        </w:rPr>
        <w:t xml:space="preserve">(see </w:t>
      </w:r>
      <w:r w:rsidRPr="006368A5">
        <w:rPr>
          <w:rFonts w:hint="eastAsia"/>
          <w:shd w:val="clear" w:color="auto" w:fill="FFFFFF"/>
        </w:rPr>
        <w:t xml:space="preserve">Table </w:t>
      </w:r>
      <w:r w:rsidRPr="006368A5">
        <w:rPr>
          <w:shd w:val="clear" w:color="auto" w:fill="FFFFFF"/>
        </w:rPr>
        <w:t>4)</w:t>
      </w:r>
      <w:r w:rsidRPr="006368A5">
        <w:rPr>
          <w:rFonts w:hint="eastAsia"/>
          <w:shd w:val="clear" w:color="auto" w:fill="FFFFFF"/>
        </w:rPr>
        <w:t xml:space="preserve">. </w:t>
      </w:r>
    </w:p>
    <w:p w14:paraId="31264D43" w14:textId="77777777" w:rsidR="00E027AC" w:rsidRDefault="00E027AC" w:rsidP="00E027AC">
      <w:pPr>
        <w:pStyle w:val="L2JFigureCallOut"/>
        <w:rPr>
          <w:shd w:val="clear" w:color="auto" w:fill="FFFFFF"/>
        </w:rPr>
      </w:pPr>
    </w:p>
    <w:p w14:paraId="5B82C233" w14:textId="434C19FB" w:rsidR="00E027AC" w:rsidRDefault="00E027AC" w:rsidP="00E027AC">
      <w:pPr>
        <w:pStyle w:val="L2JFigureCallOut"/>
        <w:rPr>
          <w:shd w:val="clear" w:color="auto" w:fill="FFFFFF"/>
        </w:rPr>
      </w:pPr>
      <w:r w:rsidRPr="006368A5">
        <w:rPr>
          <w:shd w:val="clear" w:color="auto" w:fill="FFFFFF"/>
        </w:rPr>
        <w:t>Table 4</w:t>
      </w:r>
    </w:p>
    <w:p w14:paraId="2EF712AE" w14:textId="77777777" w:rsidR="00E027AC" w:rsidRPr="006368A5" w:rsidRDefault="00E027AC" w:rsidP="00E027AC">
      <w:pPr>
        <w:pStyle w:val="L2JFigureCallOut"/>
        <w:rPr>
          <w:shd w:val="clear" w:color="auto" w:fill="FFFFFF"/>
        </w:rPr>
      </w:pPr>
    </w:p>
    <w:p w14:paraId="426107CD" w14:textId="77777777" w:rsidR="00E027AC" w:rsidRDefault="00E027AC" w:rsidP="00E027AC">
      <w:pPr>
        <w:pStyle w:val="L2JFigureTitle"/>
        <w:rPr>
          <w:shd w:val="clear" w:color="auto" w:fill="FFFFFF"/>
        </w:rPr>
      </w:pPr>
      <w:r w:rsidRPr="006368A5">
        <w:rPr>
          <w:shd w:val="clear" w:color="auto" w:fill="FFFFFF"/>
        </w:rPr>
        <w:t xml:space="preserve">Methodologies </w:t>
      </w:r>
      <w:r w:rsidRPr="006368A5">
        <w:rPr>
          <w:rFonts w:hint="eastAsia"/>
          <w:shd w:val="clear" w:color="auto" w:fill="FFFFFF"/>
        </w:rPr>
        <w:t>A</w:t>
      </w:r>
      <w:r w:rsidRPr="006368A5">
        <w:rPr>
          <w:shd w:val="clear" w:color="auto" w:fill="FFFFFF"/>
        </w:rPr>
        <w:t xml:space="preserve">dopted in </w:t>
      </w:r>
      <w:r w:rsidRPr="006368A5">
        <w:rPr>
          <w:rFonts w:hint="eastAsia"/>
          <w:shd w:val="clear" w:color="auto" w:fill="FFFFFF"/>
        </w:rPr>
        <w:t>S</w:t>
      </w:r>
      <w:r w:rsidRPr="006368A5">
        <w:rPr>
          <w:shd w:val="clear" w:color="auto" w:fill="FFFFFF"/>
        </w:rPr>
        <w:t xml:space="preserve">ynthesis </w:t>
      </w:r>
      <w:r w:rsidRPr="006368A5">
        <w:rPr>
          <w:rFonts w:hint="eastAsia"/>
          <w:shd w:val="clear" w:color="auto" w:fill="FFFFFF"/>
        </w:rPr>
        <w:t>W</w:t>
      </w:r>
      <w:r w:rsidRPr="006368A5">
        <w:rPr>
          <w:shd w:val="clear" w:color="auto" w:fill="FFFFFF"/>
        </w:rPr>
        <w:t xml:space="preserve">riting </w:t>
      </w:r>
      <w:r w:rsidRPr="006368A5">
        <w:rPr>
          <w:rFonts w:hint="eastAsia"/>
          <w:shd w:val="clear" w:color="auto" w:fill="FFFFFF"/>
        </w:rPr>
        <w:t>R</w:t>
      </w:r>
      <w:r w:rsidRPr="006368A5">
        <w:rPr>
          <w:shd w:val="clear" w:color="auto" w:fill="FFFFFF"/>
        </w:rPr>
        <w:t>esearch</w:t>
      </w:r>
    </w:p>
    <w:p w14:paraId="75B93E9E" w14:textId="77777777" w:rsidR="00E027AC" w:rsidRPr="00E027AC" w:rsidRDefault="00E027AC" w:rsidP="00E027AC">
      <w:pPr>
        <w:pStyle w:val="L2JFigureTitle"/>
        <w:rPr>
          <w:shd w:val="clear" w:color="auto" w:fill="FFFFFF"/>
        </w:rPr>
      </w:pPr>
    </w:p>
    <w:tbl>
      <w:tblPr>
        <w:tblStyle w:val="TableGrid"/>
        <w:tblW w:w="0" w:type="auto"/>
        <w:tblLook w:val="04A0" w:firstRow="1" w:lastRow="0" w:firstColumn="1" w:lastColumn="0" w:noHBand="0" w:noVBand="1"/>
      </w:tblPr>
      <w:tblGrid>
        <w:gridCol w:w="2918"/>
        <w:gridCol w:w="1638"/>
        <w:gridCol w:w="4084"/>
      </w:tblGrid>
      <w:tr w:rsidR="00E027AC" w:rsidRPr="00E027AC" w14:paraId="77B4C2C0" w14:textId="77777777" w:rsidTr="00924822">
        <w:tc>
          <w:tcPr>
            <w:tcW w:w="3116" w:type="dxa"/>
            <w:tcBorders>
              <w:left w:val="nil"/>
              <w:right w:val="nil"/>
            </w:tcBorders>
          </w:tcPr>
          <w:p w14:paraId="1F75252E"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Methodology</w:t>
            </w:r>
          </w:p>
          <w:p w14:paraId="6C202A27" w14:textId="77777777" w:rsidR="00E027AC" w:rsidRPr="00E027AC" w:rsidRDefault="00E027AC" w:rsidP="00924822">
            <w:pPr>
              <w:rPr>
                <w:rFonts w:ascii="Garamond" w:hAnsi="Garamond"/>
                <w:sz w:val="24"/>
                <w:szCs w:val="24"/>
                <w:shd w:val="clear" w:color="auto" w:fill="FFFFFF"/>
              </w:rPr>
            </w:pPr>
          </w:p>
        </w:tc>
        <w:tc>
          <w:tcPr>
            <w:tcW w:w="1739" w:type="dxa"/>
            <w:tcBorders>
              <w:left w:val="nil"/>
              <w:right w:val="nil"/>
            </w:tcBorders>
          </w:tcPr>
          <w:p w14:paraId="28FE0F35"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n (%)</w:t>
            </w:r>
          </w:p>
        </w:tc>
        <w:tc>
          <w:tcPr>
            <w:tcW w:w="4495" w:type="dxa"/>
            <w:tcBorders>
              <w:left w:val="nil"/>
              <w:right w:val="nil"/>
            </w:tcBorders>
          </w:tcPr>
          <w:p w14:paraId="359A3374"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Example</w:t>
            </w:r>
          </w:p>
        </w:tc>
      </w:tr>
      <w:tr w:rsidR="00E027AC" w:rsidRPr="00E027AC" w14:paraId="48DEBCC0" w14:textId="77777777" w:rsidTr="00924822">
        <w:tc>
          <w:tcPr>
            <w:tcW w:w="3116" w:type="dxa"/>
            <w:tcBorders>
              <w:left w:val="nil"/>
              <w:bottom w:val="nil"/>
              <w:right w:val="nil"/>
            </w:tcBorders>
          </w:tcPr>
          <w:p w14:paraId="6CA0493E"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Quantitative</w:t>
            </w:r>
          </w:p>
          <w:p w14:paraId="5C26B559" w14:textId="77777777" w:rsidR="00E027AC" w:rsidRPr="00E027AC" w:rsidRDefault="00E027AC" w:rsidP="00924822">
            <w:pPr>
              <w:rPr>
                <w:rFonts w:ascii="Garamond" w:hAnsi="Garamond"/>
                <w:sz w:val="24"/>
                <w:szCs w:val="24"/>
                <w:shd w:val="clear" w:color="auto" w:fill="FFFFFF"/>
              </w:rPr>
            </w:pPr>
          </w:p>
        </w:tc>
        <w:tc>
          <w:tcPr>
            <w:tcW w:w="1739" w:type="dxa"/>
            <w:tcBorders>
              <w:left w:val="nil"/>
              <w:bottom w:val="nil"/>
              <w:right w:val="nil"/>
            </w:tcBorders>
          </w:tcPr>
          <w:p w14:paraId="540811D7"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30 (32%)</w:t>
            </w:r>
          </w:p>
        </w:tc>
        <w:tc>
          <w:tcPr>
            <w:tcW w:w="4495" w:type="dxa"/>
            <w:tcBorders>
              <w:left w:val="nil"/>
              <w:bottom w:val="nil"/>
              <w:right w:val="nil"/>
            </w:tcBorders>
          </w:tcPr>
          <w:p w14:paraId="54A13E45" w14:textId="77777777" w:rsidR="00E027AC" w:rsidRPr="00E027AC" w:rsidRDefault="00E027AC" w:rsidP="00E027AC">
            <w:pPr>
              <w:pStyle w:val="ListParagraph"/>
              <w:widowControl w:val="0"/>
              <w:numPr>
                <w:ilvl w:val="0"/>
                <w:numId w:val="61"/>
              </w:numPr>
              <w:wordWrap w:val="0"/>
              <w:autoSpaceDE w:val="0"/>
              <w:autoSpaceDN w:val="0"/>
              <w:ind w:left="134" w:hanging="134"/>
              <w:rPr>
                <w:rFonts w:ascii="Garamond" w:hAnsi="Garamond"/>
                <w:sz w:val="24"/>
                <w:szCs w:val="24"/>
                <w:shd w:val="clear" w:color="auto" w:fill="FFFFFF"/>
              </w:rPr>
            </w:pPr>
            <w:r w:rsidRPr="00E027AC">
              <w:rPr>
                <w:rFonts w:ascii="Garamond" w:hAnsi="Garamond"/>
                <w:i/>
                <w:iCs/>
                <w:sz w:val="24"/>
                <w:szCs w:val="24"/>
                <w:shd w:val="clear" w:color="auto" w:fill="FFFFFF"/>
              </w:rPr>
              <w:t>t</w:t>
            </w:r>
            <w:r w:rsidRPr="00E027AC">
              <w:rPr>
                <w:rFonts w:ascii="Garamond" w:hAnsi="Garamond"/>
                <w:sz w:val="24"/>
                <w:szCs w:val="24"/>
                <w:shd w:val="clear" w:color="auto" w:fill="FFFFFF"/>
              </w:rPr>
              <w:t>-test, ANOVA, regression models</w:t>
            </w:r>
          </w:p>
        </w:tc>
      </w:tr>
      <w:tr w:rsidR="00E027AC" w:rsidRPr="00E027AC" w14:paraId="2509F0F4" w14:textId="77777777" w:rsidTr="00924822">
        <w:tc>
          <w:tcPr>
            <w:tcW w:w="3116" w:type="dxa"/>
            <w:tcBorders>
              <w:top w:val="nil"/>
              <w:left w:val="nil"/>
              <w:bottom w:val="nil"/>
              <w:right w:val="nil"/>
            </w:tcBorders>
          </w:tcPr>
          <w:p w14:paraId="23FBE9DE"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Qualitative</w:t>
            </w:r>
          </w:p>
        </w:tc>
        <w:tc>
          <w:tcPr>
            <w:tcW w:w="1739" w:type="dxa"/>
            <w:tcBorders>
              <w:top w:val="nil"/>
              <w:left w:val="nil"/>
              <w:bottom w:val="nil"/>
              <w:right w:val="nil"/>
            </w:tcBorders>
          </w:tcPr>
          <w:p w14:paraId="1247B481"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28 (30%)</w:t>
            </w:r>
          </w:p>
        </w:tc>
        <w:tc>
          <w:tcPr>
            <w:tcW w:w="4495" w:type="dxa"/>
            <w:tcBorders>
              <w:top w:val="nil"/>
              <w:left w:val="nil"/>
              <w:bottom w:val="nil"/>
              <w:right w:val="nil"/>
            </w:tcBorders>
          </w:tcPr>
          <w:p w14:paraId="63E47DF2" w14:textId="77777777" w:rsidR="00E027AC" w:rsidRPr="00E027AC" w:rsidRDefault="00E027AC" w:rsidP="00E027AC">
            <w:pPr>
              <w:pStyle w:val="ListParagraph"/>
              <w:widowControl w:val="0"/>
              <w:numPr>
                <w:ilvl w:val="0"/>
                <w:numId w:val="61"/>
              </w:numPr>
              <w:wordWrap w:val="0"/>
              <w:autoSpaceDE w:val="0"/>
              <w:autoSpaceDN w:val="0"/>
              <w:ind w:left="134" w:hanging="134"/>
              <w:rPr>
                <w:rFonts w:ascii="Garamond" w:hAnsi="Garamond"/>
                <w:sz w:val="24"/>
                <w:szCs w:val="24"/>
                <w:shd w:val="clear" w:color="auto" w:fill="FFFFFF"/>
              </w:rPr>
            </w:pPr>
            <w:r w:rsidRPr="00E027AC">
              <w:rPr>
                <w:rFonts w:ascii="Garamond" w:hAnsi="Garamond"/>
                <w:sz w:val="24"/>
                <w:szCs w:val="24"/>
                <w:shd w:val="clear" w:color="auto" w:fill="FFFFFF"/>
              </w:rPr>
              <w:t>Single</w:t>
            </w:r>
            <w:r w:rsidRPr="00E027AC">
              <w:rPr>
                <w:rFonts w:ascii="Times New Roman" w:hAnsi="Times New Roman" w:cs="Times New Roman"/>
                <w:sz w:val="24"/>
                <w:szCs w:val="24"/>
                <w:shd w:val="clear" w:color="auto" w:fill="FFFFFF"/>
              </w:rPr>
              <w:t>‒</w:t>
            </w:r>
            <w:r w:rsidRPr="00E027AC">
              <w:rPr>
                <w:rFonts w:ascii="Garamond" w:hAnsi="Garamond"/>
                <w:sz w:val="24"/>
                <w:szCs w:val="24"/>
                <w:shd w:val="clear" w:color="auto" w:fill="FFFFFF"/>
              </w:rPr>
              <w:t>multiple case studies</w:t>
            </w:r>
          </w:p>
          <w:p w14:paraId="4FC098E3" w14:textId="77777777" w:rsidR="00E027AC" w:rsidRPr="00E027AC" w:rsidRDefault="00E027AC" w:rsidP="00E027AC">
            <w:pPr>
              <w:pStyle w:val="ListParagraph"/>
              <w:widowControl w:val="0"/>
              <w:numPr>
                <w:ilvl w:val="0"/>
                <w:numId w:val="61"/>
              </w:numPr>
              <w:wordWrap w:val="0"/>
              <w:autoSpaceDE w:val="0"/>
              <w:autoSpaceDN w:val="0"/>
              <w:ind w:left="134" w:hanging="134"/>
              <w:rPr>
                <w:rFonts w:ascii="Garamond" w:hAnsi="Garamond"/>
                <w:sz w:val="24"/>
                <w:szCs w:val="24"/>
                <w:shd w:val="clear" w:color="auto" w:fill="FFFFFF"/>
              </w:rPr>
            </w:pPr>
            <w:r w:rsidRPr="00E027AC">
              <w:rPr>
                <w:rFonts w:ascii="Garamond" w:hAnsi="Garamond"/>
                <w:sz w:val="24"/>
                <w:szCs w:val="24"/>
                <w:shd w:val="clear" w:color="auto" w:fill="FFFFFF"/>
              </w:rPr>
              <w:t>Ethnography</w:t>
            </w:r>
          </w:p>
          <w:p w14:paraId="2AB60C7D" w14:textId="77777777" w:rsidR="00E027AC" w:rsidRPr="00E027AC" w:rsidRDefault="00E027AC" w:rsidP="00924822">
            <w:pPr>
              <w:ind w:left="134" w:hanging="134"/>
              <w:rPr>
                <w:rFonts w:ascii="Garamond" w:hAnsi="Garamond"/>
                <w:sz w:val="24"/>
                <w:szCs w:val="24"/>
                <w:shd w:val="clear" w:color="auto" w:fill="FFFFFF"/>
              </w:rPr>
            </w:pPr>
          </w:p>
        </w:tc>
      </w:tr>
      <w:tr w:rsidR="00E027AC" w:rsidRPr="00E027AC" w14:paraId="0CA241A2" w14:textId="77777777" w:rsidTr="00924822">
        <w:tc>
          <w:tcPr>
            <w:tcW w:w="3116" w:type="dxa"/>
            <w:tcBorders>
              <w:top w:val="nil"/>
              <w:left w:val="nil"/>
              <w:bottom w:val="nil"/>
              <w:right w:val="nil"/>
            </w:tcBorders>
          </w:tcPr>
          <w:p w14:paraId="096D7671"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Eclectic (QUAN + qual)</w:t>
            </w:r>
          </w:p>
        </w:tc>
        <w:tc>
          <w:tcPr>
            <w:tcW w:w="1739" w:type="dxa"/>
            <w:tcBorders>
              <w:top w:val="nil"/>
              <w:left w:val="nil"/>
              <w:bottom w:val="nil"/>
              <w:right w:val="nil"/>
            </w:tcBorders>
          </w:tcPr>
          <w:p w14:paraId="47659090"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19 (21%)</w:t>
            </w:r>
          </w:p>
        </w:tc>
        <w:tc>
          <w:tcPr>
            <w:tcW w:w="4495" w:type="dxa"/>
            <w:tcBorders>
              <w:top w:val="nil"/>
              <w:left w:val="nil"/>
              <w:bottom w:val="nil"/>
              <w:right w:val="nil"/>
            </w:tcBorders>
          </w:tcPr>
          <w:p w14:paraId="1E67B10B" w14:textId="77777777" w:rsidR="00E027AC" w:rsidRPr="00E027AC" w:rsidRDefault="00E027AC" w:rsidP="00E027AC">
            <w:pPr>
              <w:pStyle w:val="ListParagraph"/>
              <w:widowControl w:val="0"/>
              <w:numPr>
                <w:ilvl w:val="0"/>
                <w:numId w:val="61"/>
              </w:numPr>
              <w:wordWrap w:val="0"/>
              <w:autoSpaceDE w:val="0"/>
              <w:autoSpaceDN w:val="0"/>
              <w:ind w:left="134" w:hanging="134"/>
              <w:rPr>
                <w:rFonts w:ascii="Garamond" w:hAnsi="Garamond"/>
                <w:sz w:val="24"/>
                <w:szCs w:val="24"/>
                <w:shd w:val="clear" w:color="auto" w:fill="FFFFFF"/>
              </w:rPr>
            </w:pPr>
            <w:r w:rsidRPr="00E027AC">
              <w:rPr>
                <w:rFonts w:ascii="Garamond" w:hAnsi="Garamond"/>
                <w:sz w:val="24"/>
                <w:szCs w:val="24"/>
                <w:shd w:val="clear" w:color="auto" w:fill="FFFFFF"/>
              </w:rPr>
              <w:t>MANOVA with qualitative interview data analysis</w:t>
            </w:r>
          </w:p>
          <w:p w14:paraId="0AFFA67A" w14:textId="77777777" w:rsidR="00E027AC" w:rsidRPr="00E027AC" w:rsidRDefault="00E027AC" w:rsidP="00924822">
            <w:pPr>
              <w:ind w:left="134" w:hanging="134"/>
              <w:rPr>
                <w:rFonts w:ascii="Garamond" w:hAnsi="Garamond"/>
                <w:sz w:val="24"/>
                <w:szCs w:val="24"/>
                <w:shd w:val="clear" w:color="auto" w:fill="FFFFFF"/>
              </w:rPr>
            </w:pPr>
          </w:p>
        </w:tc>
      </w:tr>
      <w:tr w:rsidR="00E027AC" w:rsidRPr="00E027AC" w14:paraId="5EE99A0F" w14:textId="77777777" w:rsidTr="00924822">
        <w:trPr>
          <w:trHeight w:val="711"/>
        </w:trPr>
        <w:tc>
          <w:tcPr>
            <w:tcW w:w="3116" w:type="dxa"/>
            <w:tcBorders>
              <w:top w:val="nil"/>
              <w:left w:val="nil"/>
              <w:bottom w:val="nil"/>
              <w:right w:val="nil"/>
            </w:tcBorders>
          </w:tcPr>
          <w:p w14:paraId="47BC96E1"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 xml:space="preserve">Eclectic (QUAL + </w:t>
            </w:r>
            <w:proofErr w:type="spellStart"/>
            <w:r w:rsidRPr="00E027AC">
              <w:rPr>
                <w:rFonts w:ascii="Garamond" w:hAnsi="Garamond"/>
                <w:sz w:val="24"/>
                <w:szCs w:val="24"/>
                <w:shd w:val="clear" w:color="auto" w:fill="FFFFFF"/>
              </w:rPr>
              <w:t>quan</w:t>
            </w:r>
            <w:proofErr w:type="spellEnd"/>
            <w:r w:rsidRPr="00E027AC">
              <w:rPr>
                <w:rFonts w:ascii="Garamond" w:hAnsi="Garamond"/>
                <w:sz w:val="24"/>
                <w:szCs w:val="24"/>
                <w:shd w:val="clear" w:color="auto" w:fill="FFFFFF"/>
              </w:rPr>
              <w:t>)</w:t>
            </w:r>
          </w:p>
        </w:tc>
        <w:tc>
          <w:tcPr>
            <w:tcW w:w="1739" w:type="dxa"/>
            <w:tcBorders>
              <w:top w:val="nil"/>
              <w:left w:val="nil"/>
              <w:bottom w:val="nil"/>
              <w:right w:val="nil"/>
            </w:tcBorders>
          </w:tcPr>
          <w:p w14:paraId="28F503F7"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8 (9%)</w:t>
            </w:r>
          </w:p>
        </w:tc>
        <w:tc>
          <w:tcPr>
            <w:tcW w:w="4495" w:type="dxa"/>
            <w:tcBorders>
              <w:top w:val="nil"/>
              <w:left w:val="nil"/>
              <w:bottom w:val="nil"/>
              <w:right w:val="nil"/>
            </w:tcBorders>
          </w:tcPr>
          <w:p w14:paraId="5AA5E67B" w14:textId="77777777" w:rsidR="00E027AC" w:rsidRPr="00E027AC" w:rsidRDefault="00E027AC" w:rsidP="00E027AC">
            <w:pPr>
              <w:pStyle w:val="ListParagraph"/>
              <w:widowControl w:val="0"/>
              <w:numPr>
                <w:ilvl w:val="0"/>
                <w:numId w:val="61"/>
              </w:numPr>
              <w:wordWrap w:val="0"/>
              <w:autoSpaceDE w:val="0"/>
              <w:autoSpaceDN w:val="0"/>
              <w:ind w:left="134" w:hanging="134"/>
              <w:rPr>
                <w:rFonts w:ascii="Garamond" w:hAnsi="Garamond"/>
                <w:sz w:val="24"/>
                <w:szCs w:val="24"/>
                <w:shd w:val="clear" w:color="auto" w:fill="FFFFFF"/>
              </w:rPr>
            </w:pPr>
            <w:r w:rsidRPr="00E027AC">
              <w:rPr>
                <w:rFonts w:ascii="Garamond" w:hAnsi="Garamond"/>
                <w:sz w:val="24"/>
                <w:szCs w:val="24"/>
                <w:shd w:val="clear" w:color="auto" w:fill="FFFFFF"/>
              </w:rPr>
              <w:t>A multiple case study with descriptive statistics</w:t>
            </w:r>
          </w:p>
          <w:p w14:paraId="2987EF07" w14:textId="77777777" w:rsidR="00E027AC" w:rsidRPr="00E027AC" w:rsidRDefault="00E027AC" w:rsidP="00924822">
            <w:pPr>
              <w:ind w:left="134" w:hanging="134"/>
              <w:rPr>
                <w:rFonts w:ascii="Garamond" w:hAnsi="Garamond"/>
                <w:sz w:val="24"/>
                <w:szCs w:val="24"/>
                <w:shd w:val="clear" w:color="auto" w:fill="FFFFFF"/>
              </w:rPr>
            </w:pPr>
          </w:p>
        </w:tc>
      </w:tr>
      <w:tr w:rsidR="00E027AC" w:rsidRPr="00E027AC" w14:paraId="474E0241" w14:textId="77777777" w:rsidTr="00924822">
        <w:tc>
          <w:tcPr>
            <w:tcW w:w="3116" w:type="dxa"/>
            <w:tcBorders>
              <w:top w:val="nil"/>
              <w:left w:val="nil"/>
              <w:bottom w:val="nil"/>
              <w:right w:val="nil"/>
            </w:tcBorders>
          </w:tcPr>
          <w:p w14:paraId="42C82C55"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Mixed Methods</w:t>
            </w:r>
          </w:p>
        </w:tc>
        <w:tc>
          <w:tcPr>
            <w:tcW w:w="1739" w:type="dxa"/>
            <w:tcBorders>
              <w:top w:val="nil"/>
              <w:left w:val="nil"/>
              <w:bottom w:val="nil"/>
              <w:right w:val="nil"/>
            </w:tcBorders>
            <w:vAlign w:val="center"/>
          </w:tcPr>
          <w:p w14:paraId="14598E86"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7 (8%)</w:t>
            </w:r>
          </w:p>
          <w:p w14:paraId="4ABD75C2" w14:textId="77777777" w:rsidR="00E027AC" w:rsidRPr="00E027AC" w:rsidRDefault="00E027AC" w:rsidP="00924822">
            <w:pPr>
              <w:rPr>
                <w:rFonts w:ascii="Garamond" w:hAnsi="Garamond"/>
                <w:sz w:val="24"/>
                <w:szCs w:val="24"/>
                <w:shd w:val="clear" w:color="auto" w:fill="FFFFFF"/>
              </w:rPr>
            </w:pPr>
          </w:p>
          <w:p w14:paraId="615B6D77" w14:textId="77777777" w:rsidR="00E027AC" w:rsidRPr="00E027AC" w:rsidRDefault="00E027AC" w:rsidP="00924822">
            <w:pPr>
              <w:rPr>
                <w:rFonts w:ascii="Garamond" w:hAnsi="Garamond"/>
                <w:sz w:val="24"/>
                <w:szCs w:val="24"/>
                <w:shd w:val="clear" w:color="auto" w:fill="FFFFFF"/>
              </w:rPr>
            </w:pPr>
          </w:p>
        </w:tc>
        <w:tc>
          <w:tcPr>
            <w:tcW w:w="4495" w:type="dxa"/>
            <w:tcBorders>
              <w:top w:val="nil"/>
              <w:left w:val="nil"/>
              <w:bottom w:val="nil"/>
              <w:right w:val="nil"/>
            </w:tcBorders>
          </w:tcPr>
          <w:p w14:paraId="0B834DD8" w14:textId="77777777" w:rsidR="00E027AC" w:rsidRPr="00E027AC" w:rsidRDefault="00E027AC" w:rsidP="00E027AC">
            <w:pPr>
              <w:pStyle w:val="ListParagraph"/>
              <w:widowControl w:val="0"/>
              <w:numPr>
                <w:ilvl w:val="0"/>
                <w:numId w:val="61"/>
              </w:numPr>
              <w:wordWrap w:val="0"/>
              <w:autoSpaceDE w:val="0"/>
              <w:autoSpaceDN w:val="0"/>
              <w:ind w:left="134" w:hanging="134"/>
              <w:rPr>
                <w:rFonts w:ascii="Garamond" w:hAnsi="Garamond"/>
                <w:sz w:val="24"/>
                <w:szCs w:val="24"/>
                <w:shd w:val="clear" w:color="auto" w:fill="FFFFFF"/>
              </w:rPr>
            </w:pPr>
            <w:r w:rsidRPr="00E027AC">
              <w:rPr>
                <w:rFonts w:ascii="Garamond" w:hAnsi="Garamond"/>
                <w:sz w:val="24"/>
                <w:szCs w:val="24"/>
                <w:shd w:val="clear" w:color="auto" w:fill="FFFFFF"/>
              </w:rPr>
              <w:t>Qualitative analysis of interview data and quantitative analysis of questionnaire data</w:t>
            </w:r>
          </w:p>
        </w:tc>
      </w:tr>
      <w:tr w:rsidR="00E027AC" w:rsidRPr="00E027AC" w14:paraId="43D10577" w14:textId="77777777" w:rsidTr="00924822">
        <w:trPr>
          <w:trHeight w:val="333"/>
        </w:trPr>
        <w:tc>
          <w:tcPr>
            <w:tcW w:w="3116" w:type="dxa"/>
            <w:tcBorders>
              <w:top w:val="nil"/>
              <w:left w:val="nil"/>
              <w:right w:val="nil"/>
            </w:tcBorders>
          </w:tcPr>
          <w:p w14:paraId="16B94697"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Total</w:t>
            </w:r>
          </w:p>
        </w:tc>
        <w:tc>
          <w:tcPr>
            <w:tcW w:w="1739" w:type="dxa"/>
            <w:tcBorders>
              <w:top w:val="nil"/>
              <w:left w:val="nil"/>
              <w:right w:val="nil"/>
            </w:tcBorders>
          </w:tcPr>
          <w:p w14:paraId="5CD5D390"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92 (100%)</w:t>
            </w:r>
          </w:p>
        </w:tc>
        <w:tc>
          <w:tcPr>
            <w:tcW w:w="4495" w:type="dxa"/>
            <w:tcBorders>
              <w:top w:val="nil"/>
              <w:left w:val="nil"/>
              <w:right w:val="nil"/>
            </w:tcBorders>
          </w:tcPr>
          <w:p w14:paraId="12222ACF" w14:textId="77777777" w:rsidR="00E027AC" w:rsidRPr="00E027AC" w:rsidRDefault="00E027AC" w:rsidP="00924822">
            <w:pPr>
              <w:rPr>
                <w:rFonts w:ascii="Garamond" w:hAnsi="Garamond"/>
                <w:sz w:val="24"/>
                <w:szCs w:val="24"/>
                <w:shd w:val="clear" w:color="auto" w:fill="FFFFFF"/>
              </w:rPr>
            </w:pPr>
          </w:p>
        </w:tc>
      </w:tr>
    </w:tbl>
    <w:p w14:paraId="44CB7DE6" w14:textId="77777777" w:rsidR="00E027AC" w:rsidRPr="00E027AC" w:rsidRDefault="00E027AC" w:rsidP="00E027AC">
      <w:pPr>
        <w:spacing w:line="480" w:lineRule="auto"/>
        <w:rPr>
          <w:rFonts w:ascii="Garamond" w:hAnsi="Garamond"/>
          <w:sz w:val="24"/>
          <w:szCs w:val="24"/>
          <w:shd w:val="clear" w:color="auto" w:fill="FFFFFF"/>
        </w:rPr>
      </w:pPr>
    </w:p>
    <w:p w14:paraId="009D662E" w14:textId="66E09841" w:rsidR="00E027AC" w:rsidRPr="006368A5" w:rsidRDefault="00E027AC" w:rsidP="00E027AC">
      <w:pPr>
        <w:pStyle w:val="L2JBody"/>
        <w:rPr>
          <w:shd w:val="clear" w:color="auto" w:fill="FFFFFF"/>
        </w:rPr>
      </w:pPr>
      <w:r w:rsidRPr="006368A5">
        <w:rPr>
          <w:rFonts w:hint="eastAsia"/>
          <w:i/>
          <w:iCs/>
          <w:shd w:val="clear" w:color="auto" w:fill="FFFFFF"/>
        </w:rPr>
        <w:t>Quantitative</w:t>
      </w:r>
      <w:r w:rsidRPr="006368A5">
        <w:rPr>
          <w:rFonts w:hint="eastAsia"/>
          <w:shd w:val="clear" w:color="auto" w:fill="FFFFFF"/>
        </w:rPr>
        <w:t xml:space="preserve"> and </w:t>
      </w:r>
      <w:r w:rsidRPr="006368A5">
        <w:rPr>
          <w:rFonts w:hint="eastAsia"/>
          <w:i/>
          <w:iCs/>
          <w:shd w:val="clear" w:color="auto" w:fill="FFFFFF"/>
        </w:rPr>
        <w:t xml:space="preserve">qualitative </w:t>
      </w:r>
      <w:r w:rsidRPr="006368A5">
        <w:rPr>
          <w:rFonts w:hint="eastAsia"/>
          <w:shd w:val="clear" w:color="auto" w:fill="FFFFFF"/>
        </w:rPr>
        <w:t xml:space="preserve">approaches refer to purely quantitative or qualitative studies </w:t>
      </w:r>
      <w:r w:rsidRPr="006368A5">
        <w:rPr>
          <w:shd w:val="clear" w:color="auto" w:fill="FFFFFF"/>
        </w:rPr>
        <w:t>respectively,</w:t>
      </w:r>
      <w:r w:rsidRPr="006368A5">
        <w:rPr>
          <w:rFonts w:hint="eastAsia"/>
          <w:shd w:val="clear" w:color="auto" w:fill="FFFFFF"/>
        </w:rPr>
        <w:t xml:space="preserve"> whereas the label </w:t>
      </w:r>
      <w:r w:rsidRPr="006368A5">
        <w:rPr>
          <w:rFonts w:hint="eastAsia"/>
          <w:i/>
          <w:iCs/>
          <w:shd w:val="clear" w:color="auto" w:fill="FFFFFF"/>
        </w:rPr>
        <w:t>mixed</w:t>
      </w:r>
      <w:r w:rsidRPr="006368A5">
        <w:rPr>
          <w:i/>
          <w:iCs/>
          <w:shd w:val="clear" w:color="auto" w:fill="FFFFFF"/>
        </w:rPr>
        <w:t xml:space="preserve"> </w:t>
      </w:r>
      <w:r w:rsidRPr="006368A5">
        <w:rPr>
          <w:rFonts w:hint="eastAsia"/>
          <w:i/>
          <w:iCs/>
          <w:shd w:val="clear" w:color="auto" w:fill="FFFFFF"/>
        </w:rPr>
        <w:t>method</w:t>
      </w:r>
      <w:r w:rsidRPr="006368A5">
        <w:rPr>
          <w:i/>
          <w:iCs/>
          <w:shd w:val="clear" w:color="auto" w:fill="FFFFFF"/>
        </w:rPr>
        <w:t>s</w:t>
      </w:r>
      <w:r w:rsidRPr="006368A5">
        <w:rPr>
          <w:rFonts w:hint="eastAsia"/>
          <w:shd w:val="clear" w:color="auto" w:fill="FFFFFF"/>
        </w:rPr>
        <w:t xml:space="preserve"> </w:t>
      </w:r>
      <w:proofErr w:type="gramStart"/>
      <w:r w:rsidRPr="006368A5">
        <w:rPr>
          <w:rFonts w:hint="eastAsia"/>
          <w:shd w:val="clear" w:color="auto" w:fill="FFFFFF"/>
        </w:rPr>
        <w:t>was</w:t>
      </w:r>
      <w:proofErr w:type="gramEnd"/>
      <w:r w:rsidRPr="006368A5">
        <w:rPr>
          <w:rFonts w:hint="eastAsia"/>
          <w:shd w:val="clear" w:color="auto" w:fill="FFFFFF"/>
        </w:rPr>
        <w:t xml:space="preserve"> only given if the author(s) explicitly mentioned the term and if both methods were used in a more balanced manner. Otherwise, studies </w:t>
      </w:r>
      <w:r w:rsidRPr="006368A5">
        <w:rPr>
          <w:shd w:val="clear" w:color="auto" w:fill="FFFFFF"/>
        </w:rPr>
        <w:t>involving</w:t>
      </w:r>
      <w:r w:rsidRPr="006368A5">
        <w:rPr>
          <w:rFonts w:hint="eastAsia"/>
          <w:shd w:val="clear" w:color="auto" w:fill="FFFFFF"/>
        </w:rPr>
        <w:t xml:space="preserve"> both quantitative and qualitative analyses to </w:t>
      </w:r>
      <w:r w:rsidRPr="006368A5">
        <w:rPr>
          <w:shd w:val="clear" w:color="auto" w:fill="FFFFFF"/>
        </w:rPr>
        <w:t>differing</w:t>
      </w:r>
      <w:r w:rsidRPr="006368A5">
        <w:rPr>
          <w:rFonts w:hint="eastAsia"/>
          <w:shd w:val="clear" w:color="auto" w:fill="FFFFFF"/>
        </w:rPr>
        <w:t xml:space="preserve"> degrees were </w:t>
      </w:r>
      <w:r w:rsidRPr="006368A5">
        <w:rPr>
          <w:shd w:val="clear" w:color="auto" w:fill="FFFFFF"/>
        </w:rPr>
        <w:t>labeled</w:t>
      </w:r>
      <w:r w:rsidRPr="006368A5">
        <w:rPr>
          <w:rFonts w:hint="eastAsia"/>
          <w:shd w:val="clear" w:color="auto" w:fill="FFFFFF"/>
        </w:rPr>
        <w:t xml:space="preserve"> either </w:t>
      </w:r>
      <w:r w:rsidRPr="006368A5">
        <w:rPr>
          <w:rFonts w:hint="eastAsia"/>
          <w:i/>
          <w:iCs/>
          <w:shd w:val="clear" w:color="auto" w:fill="FFFFFF"/>
        </w:rPr>
        <w:t>eclectic (QUAN + qual)</w:t>
      </w:r>
      <w:r w:rsidRPr="006368A5">
        <w:rPr>
          <w:rFonts w:hint="eastAsia"/>
          <w:shd w:val="clear" w:color="auto" w:fill="FFFFFF"/>
        </w:rPr>
        <w:t xml:space="preserve"> if quantitative analysis </w:t>
      </w:r>
      <w:r w:rsidRPr="006368A5">
        <w:rPr>
          <w:shd w:val="clear" w:color="auto" w:fill="FFFFFF"/>
        </w:rPr>
        <w:t>wa</w:t>
      </w:r>
      <w:r w:rsidRPr="006368A5">
        <w:rPr>
          <w:rFonts w:hint="eastAsia"/>
          <w:shd w:val="clear" w:color="auto" w:fill="FFFFFF"/>
        </w:rPr>
        <w:t xml:space="preserve">s dominant or </w:t>
      </w:r>
      <w:r w:rsidRPr="006368A5">
        <w:rPr>
          <w:rFonts w:hint="eastAsia"/>
          <w:i/>
          <w:iCs/>
          <w:shd w:val="clear" w:color="auto" w:fill="FFFFFF"/>
        </w:rPr>
        <w:t>e</w:t>
      </w:r>
      <w:r w:rsidRPr="006368A5">
        <w:rPr>
          <w:i/>
          <w:iCs/>
          <w:shd w:val="clear" w:color="auto" w:fill="FFFFFF"/>
        </w:rPr>
        <w:t>clectic</w:t>
      </w:r>
      <w:r w:rsidRPr="006368A5">
        <w:rPr>
          <w:rFonts w:hint="eastAsia"/>
          <w:i/>
          <w:iCs/>
          <w:shd w:val="clear" w:color="auto" w:fill="FFFFFF"/>
        </w:rPr>
        <w:t xml:space="preserve"> (QUAL + </w:t>
      </w:r>
      <w:proofErr w:type="spellStart"/>
      <w:r w:rsidRPr="006368A5">
        <w:rPr>
          <w:rFonts w:hint="eastAsia"/>
          <w:i/>
          <w:iCs/>
          <w:shd w:val="clear" w:color="auto" w:fill="FFFFFF"/>
        </w:rPr>
        <w:t>quan</w:t>
      </w:r>
      <w:proofErr w:type="spellEnd"/>
      <w:r w:rsidRPr="006368A5">
        <w:rPr>
          <w:rFonts w:hint="eastAsia"/>
          <w:i/>
          <w:iCs/>
          <w:shd w:val="clear" w:color="auto" w:fill="FFFFFF"/>
        </w:rPr>
        <w:t>)</w:t>
      </w:r>
      <w:r w:rsidRPr="006368A5">
        <w:rPr>
          <w:rFonts w:hint="eastAsia"/>
          <w:shd w:val="clear" w:color="auto" w:fill="FFFFFF"/>
        </w:rPr>
        <w:t xml:space="preserve"> </w:t>
      </w:r>
      <w:r w:rsidRPr="006368A5">
        <w:rPr>
          <w:shd w:val="clear" w:color="auto" w:fill="FFFFFF"/>
        </w:rPr>
        <w:t xml:space="preserve">if </w:t>
      </w:r>
      <w:r w:rsidRPr="006368A5">
        <w:rPr>
          <w:rFonts w:hint="eastAsia"/>
          <w:shd w:val="clear" w:color="auto" w:fill="FFFFFF"/>
        </w:rPr>
        <w:t>qualitative</w:t>
      </w:r>
      <w:r w:rsidRPr="006368A5">
        <w:rPr>
          <w:shd w:val="clear" w:color="auto" w:fill="FFFFFF"/>
        </w:rPr>
        <w:t xml:space="preserve"> was dominant</w:t>
      </w:r>
      <w:r w:rsidRPr="006368A5">
        <w:rPr>
          <w:rFonts w:hint="eastAsia"/>
          <w:shd w:val="clear" w:color="auto" w:fill="FFFFFF"/>
        </w:rPr>
        <w:t xml:space="preserve">. The terms and concepts related to eclectic, QUANT and QUAL were adopted from </w:t>
      </w:r>
      <w:r w:rsidRPr="006368A5">
        <w:rPr>
          <w:shd w:val="clear" w:color="auto" w:fill="FFFFFF"/>
        </w:rPr>
        <w:fldChar w:fldCharType="begin"/>
      </w:r>
      <w:r w:rsidRPr="006368A5">
        <w:rPr>
          <w:shd w:val="clear" w:color="auto" w:fill="FFFFFF"/>
        </w:rPr>
        <w:instrText xml:space="preserve"> ADDIN ZOTERO_ITEM CSL_CITATION {"citationID":"ictlsL6d","properties":{"formattedCitation":"(Riazi et al., 2018)","plainCitation":"(Riazi et al., 2018)","dontUpdate":true,"noteIndex":0},"citationItems":[{"id":3095,"uris":["http://zotero.org/users/9207091/items/6TUVH797"],"itemData":{"id":3095,"type":"article-journal","abstract":"In this historical survey, we review 272 empirical research articles published in the Journal of Second Language Writing (JSLW) over its ﬁrst quarter century of publication. We report overall and periodic analyses (1992–1999, 2000–2010, 2011–2016) in respect to the following themes: (1) contexts and participants, (2) research foci and theoretical orientations, and (3) research methodology and data sources. The typical research contexts and participants were undergraduates in U.S. universities or colleges. The most common research foci were feedback and writing instruction and the main theoretical orientations were cognitive, social, socio-cognitive, genre, contrastive rhetoric, and critical theories. The most frequently used research methodology was qualitative and the top three data sources used by L2 writing researchers were multiple sources, text samples, and elicitation. Based on the ﬁndings, we make suggestions for future research in studies of L2 writing. Along with Tony Silva’s reﬂections on our results, the present analysis gives readers a birds-eye view of the scholarship on L2 writing over the last 25 years as represented in the JSLW.","container-title":"Journal of Second Language Writing","DOI":"10.1016/j.jslw.2018.07.002","ISSN":"10603743","journalAbbreviation":"Journal of Second Language Writing","language":"en","page":"41-54","source":"DOI.org (Crossref)","title":"Analysis of the empirical research in the journal of second language writing at its 25th year (1992–2016)","volume":"41","author":[{"family":"Riazi","given":"Mehdi"},{"family":"Shi","given":"Ling"},{"family":"Haggerty","given":"John"}],"issued":{"date-parts":[["2018",9]]}}}],"schema":"https://github.com/citation-style-language/schema/raw/master/csl-citation.json"} </w:instrText>
      </w:r>
      <w:r w:rsidRPr="006368A5">
        <w:rPr>
          <w:shd w:val="clear" w:color="auto" w:fill="FFFFFF"/>
        </w:rPr>
        <w:fldChar w:fldCharType="separate"/>
      </w:r>
      <w:r w:rsidRPr="006368A5">
        <w:rPr>
          <w:rFonts w:cs="Times New Roman"/>
        </w:rPr>
        <w:t xml:space="preserve">Riazi et al. </w:t>
      </w:r>
      <w:r w:rsidRPr="006368A5">
        <w:rPr>
          <w:rFonts w:cs="Times New Roman" w:hint="eastAsia"/>
        </w:rPr>
        <w:t>(</w:t>
      </w:r>
      <w:r w:rsidRPr="006368A5">
        <w:rPr>
          <w:rFonts w:cs="Times New Roman"/>
        </w:rPr>
        <w:t>2018)</w:t>
      </w:r>
      <w:r w:rsidRPr="006368A5">
        <w:rPr>
          <w:shd w:val="clear" w:color="auto" w:fill="FFFFFF"/>
        </w:rPr>
        <w:fldChar w:fldCharType="end"/>
      </w:r>
      <w:r w:rsidRPr="006368A5">
        <w:rPr>
          <w:rFonts w:hint="eastAsia"/>
          <w:shd w:val="clear" w:color="auto" w:fill="FFFFFF"/>
        </w:rPr>
        <w:t>.</w:t>
      </w:r>
    </w:p>
    <w:p w14:paraId="3165B613" w14:textId="77777777" w:rsidR="00E027AC" w:rsidRPr="006368A5" w:rsidRDefault="00E027AC" w:rsidP="00E027AC">
      <w:pPr>
        <w:pStyle w:val="L2JBody"/>
        <w:rPr>
          <w:shd w:val="clear" w:color="auto" w:fill="FFFFFF"/>
        </w:rPr>
      </w:pPr>
      <w:r w:rsidRPr="006368A5">
        <w:rPr>
          <w:rFonts w:hint="eastAsia"/>
          <w:shd w:val="clear" w:color="auto" w:fill="FFFFFF"/>
        </w:rPr>
        <w:t xml:space="preserve">According to </w:t>
      </w:r>
      <w:r w:rsidRPr="006368A5">
        <w:rPr>
          <w:shd w:val="clear" w:color="auto" w:fill="FFFFFF"/>
        </w:rPr>
        <w:t>my</w:t>
      </w:r>
      <w:r w:rsidRPr="006368A5">
        <w:rPr>
          <w:rFonts w:hint="eastAsia"/>
          <w:shd w:val="clear" w:color="auto" w:fill="FFFFFF"/>
        </w:rPr>
        <w:t xml:space="preserve"> review, </w:t>
      </w:r>
      <w:r w:rsidRPr="006368A5">
        <w:rPr>
          <w:i/>
          <w:iCs/>
          <w:shd w:val="clear" w:color="auto" w:fill="FFFFFF"/>
        </w:rPr>
        <w:t>quantitative</w:t>
      </w:r>
      <w:r w:rsidRPr="006368A5">
        <w:rPr>
          <w:rFonts w:hint="eastAsia"/>
          <w:shd w:val="clear" w:color="auto" w:fill="FFFFFF"/>
        </w:rPr>
        <w:t xml:space="preserve"> (</w:t>
      </w:r>
      <w:r w:rsidRPr="006368A5">
        <w:rPr>
          <w:shd w:val="clear" w:color="auto" w:fill="FFFFFF"/>
        </w:rPr>
        <w:t>n=</w:t>
      </w:r>
      <w:r w:rsidRPr="006368A5">
        <w:rPr>
          <w:rFonts w:hint="eastAsia"/>
          <w:shd w:val="clear" w:color="auto" w:fill="FFFFFF"/>
        </w:rPr>
        <w:t xml:space="preserve">30, 32%) and </w:t>
      </w:r>
      <w:r w:rsidRPr="006368A5">
        <w:rPr>
          <w:i/>
          <w:iCs/>
          <w:shd w:val="clear" w:color="auto" w:fill="FFFFFF"/>
        </w:rPr>
        <w:t>qualitative</w:t>
      </w:r>
      <w:r w:rsidRPr="006368A5">
        <w:rPr>
          <w:rFonts w:hint="eastAsia"/>
          <w:shd w:val="clear" w:color="auto" w:fill="FFFFFF"/>
        </w:rPr>
        <w:t xml:space="preserve"> (</w:t>
      </w:r>
      <w:r w:rsidRPr="006368A5">
        <w:rPr>
          <w:shd w:val="clear" w:color="auto" w:fill="FFFFFF"/>
        </w:rPr>
        <w:t>n=</w:t>
      </w:r>
      <w:r w:rsidRPr="006368A5">
        <w:rPr>
          <w:rFonts w:hint="eastAsia"/>
          <w:shd w:val="clear" w:color="auto" w:fill="FFFFFF"/>
        </w:rPr>
        <w:t>28, 30%) methodologies showed similar levels of dominance</w:t>
      </w:r>
      <w:r w:rsidRPr="006368A5">
        <w:rPr>
          <w:shd w:val="clear" w:color="auto" w:fill="FFFFFF"/>
        </w:rPr>
        <w:t>, but quantitative</w:t>
      </w:r>
      <w:r w:rsidRPr="006368A5">
        <w:rPr>
          <w:rFonts w:hint="eastAsia"/>
          <w:shd w:val="clear" w:color="auto" w:fill="FFFFFF"/>
        </w:rPr>
        <w:t xml:space="preserve"> approaches </w:t>
      </w:r>
      <w:r w:rsidRPr="006368A5">
        <w:rPr>
          <w:shd w:val="clear" w:color="auto" w:fill="FFFFFF"/>
        </w:rPr>
        <w:t>were represented with a</w:t>
      </w:r>
      <w:r w:rsidRPr="006368A5">
        <w:rPr>
          <w:rFonts w:hint="eastAsia"/>
          <w:shd w:val="clear" w:color="auto" w:fill="FFFFFF"/>
        </w:rPr>
        <w:t xml:space="preserve"> slightly higher percentage. </w:t>
      </w:r>
      <w:r w:rsidRPr="006368A5">
        <w:rPr>
          <w:shd w:val="clear" w:color="auto" w:fill="FFFFFF"/>
        </w:rPr>
        <w:t>Looking</w:t>
      </w:r>
      <w:r w:rsidRPr="006368A5">
        <w:rPr>
          <w:rFonts w:hint="eastAsia"/>
          <w:shd w:val="clear" w:color="auto" w:fill="FFFFFF"/>
        </w:rPr>
        <w:t xml:space="preserve"> more closely at </w:t>
      </w:r>
      <w:r w:rsidRPr="006368A5">
        <w:rPr>
          <w:shd w:val="clear" w:color="auto" w:fill="FFFFFF"/>
        </w:rPr>
        <w:t xml:space="preserve">the </w:t>
      </w:r>
      <w:r w:rsidRPr="006368A5">
        <w:rPr>
          <w:rFonts w:hint="eastAsia"/>
          <w:shd w:val="clear" w:color="auto" w:fill="FFFFFF"/>
        </w:rPr>
        <w:t xml:space="preserve">quantitative studies, </w:t>
      </w:r>
      <w:r w:rsidRPr="006368A5">
        <w:rPr>
          <w:shd w:val="clear" w:color="auto" w:fill="FFFFFF"/>
        </w:rPr>
        <w:t xml:space="preserve">I found that </w:t>
      </w:r>
      <w:r w:rsidRPr="006368A5">
        <w:rPr>
          <w:rFonts w:hint="eastAsia"/>
          <w:shd w:val="clear" w:color="auto" w:fill="FFFFFF"/>
        </w:rPr>
        <w:t>many researchers used correlation-</w:t>
      </w:r>
      <w:r w:rsidRPr="006368A5">
        <w:rPr>
          <w:shd w:val="clear" w:color="auto" w:fill="FFFFFF"/>
        </w:rPr>
        <w:t>based</w:t>
      </w:r>
      <w:r w:rsidRPr="006368A5">
        <w:rPr>
          <w:rFonts w:hint="eastAsia"/>
          <w:shd w:val="clear" w:color="auto" w:fill="FFFFFF"/>
        </w:rPr>
        <w:t xml:space="preserve"> designs </w:t>
      </w:r>
      <w:r w:rsidRPr="006368A5">
        <w:rPr>
          <w:shd w:val="clear" w:color="auto" w:fill="FFFFFF"/>
        </w:rPr>
        <w:fldChar w:fldCharType="begin"/>
      </w:r>
      <w:r w:rsidRPr="006368A5">
        <w:rPr>
          <w:shd w:val="clear" w:color="auto" w:fill="FFFFFF"/>
        </w:rPr>
        <w:instrText xml:space="preserve"> ADDIN ZOTERO_ITEM CSL_CITATION {"citationID":"E1PGr7x7","properties":{"formattedCitation":"(Guo et al., 2013)","plainCitation":"(Guo et al., 2013)","noteIndex":0},"citationItems":[{"id":3033,"uris":["http://zotero.org/users/9207091/items/XGXFHBLT"],"itemData":{"id":3033,"type":"article-journal","container-title":"Assessing Writing","DOI":"10.1016/j.asw.2013.05.002","ISSN":"10752935","issue":"3","journalAbbreviation":"Assessing Writing","language":"en","page":"218-238","source":"DOI.org (Crossref)","title":"Predicting human judgments of essay quality in both integrated and independent second language writing samples: A comparison study","title-short":"Predicting human judgments of essay quality in both integrated and independent second language writing samples","volume":"18","author":[{"family":"Guo","given":"Liang"},{"family":"Crossley","given":"Scott A."},{"family":"McNamara","given":"Danielle S."}],"issued":{"date-parts":[["2013",7]]}}}],"schema":"https://github.com/citation-style-language/schema/raw/master/csl-citation.json"} </w:instrText>
      </w:r>
      <w:r w:rsidRPr="006368A5">
        <w:rPr>
          <w:shd w:val="clear" w:color="auto" w:fill="FFFFFF"/>
        </w:rPr>
        <w:fldChar w:fldCharType="separate"/>
      </w:r>
      <w:r w:rsidRPr="006368A5">
        <w:rPr>
          <w:rFonts w:cs="Times New Roman"/>
        </w:rPr>
        <w:t>(Guo et al., 2013)</w:t>
      </w:r>
      <w:r w:rsidRPr="006368A5">
        <w:rPr>
          <w:shd w:val="clear" w:color="auto" w:fill="FFFFFF"/>
        </w:rPr>
        <w:fldChar w:fldCharType="end"/>
      </w:r>
      <w:r w:rsidRPr="006368A5">
        <w:rPr>
          <w:rFonts w:hint="eastAsia"/>
          <w:shd w:val="clear" w:color="auto" w:fill="FFFFFF"/>
        </w:rPr>
        <w:t xml:space="preserve"> and (quasi)experimental designs </w:t>
      </w:r>
      <w:r w:rsidRPr="006368A5">
        <w:rPr>
          <w:shd w:val="clear" w:color="auto" w:fill="FFFFFF"/>
        </w:rPr>
        <w:fldChar w:fldCharType="begin"/>
      </w:r>
      <w:r w:rsidRPr="006368A5">
        <w:rPr>
          <w:shd w:val="clear" w:color="auto" w:fill="FFFFFF"/>
        </w:rPr>
        <w:instrText xml:space="preserve"> ADDIN ZOTERO_ITEM CSL_CITATION {"citationID":"zqbIJuwb","properties":{"formattedCitation":"(Masrul et al., 2023)","plainCitation":"(Masrul et al., 2023)","noteIndex":0},"citationItems":[{"id":2863,"uris":["http://zotero.org/users/9207091/items/XVP5SFHM"],"itemData":{"id":2863,"type":"article-journal","container-title":"Journal of Language Teaching and Research","issue":"4","note":"ISBN: 1798-4769\npublisher: Academy Publication","page":"1117-1126","title":"Incorporating strategy instruction (SI) and strategy-based writing instruction (SBI) to enhancing students' writing abilities","volume":"14","author":[{"family":"Masrul","given":"Masrul"},{"family":"Gunadi","given":"R."},{"family":"Aswir","given":"Aswir"},{"family":"Hamdani","given":"Beny"},{"family":"Rasyidah","given":"Ummi"},{"family":"Yuliani","given":"Sri"}],"issued":{"date-parts":[["2023"]]}}}],"schema":"https://github.com/citation-style-language/schema/raw/master/csl-citation.json"} </w:instrText>
      </w:r>
      <w:r w:rsidRPr="006368A5">
        <w:rPr>
          <w:shd w:val="clear" w:color="auto" w:fill="FFFFFF"/>
        </w:rPr>
        <w:fldChar w:fldCharType="separate"/>
      </w:r>
      <w:r w:rsidRPr="006368A5">
        <w:rPr>
          <w:rFonts w:cs="Times New Roman"/>
        </w:rPr>
        <w:t>(</w:t>
      </w:r>
      <w:proofErr w:type="spellStart"/>
      <w:r w:rsidRPr="006368A5">
        <w:rPr>
          <w:rFonts w:cs="Times New Roman"/>
        </w:rPr>
        <w:t>Masrul</w:t>
      </w:r>
      <w:proofErr w:type="spellEnd"/>
      <w:r w:rsidRPr="006368A5">
        <w:rPr>
          <w:rFonts w:cs="Times New Roman"/>
        </w:rPr>
        <w:t xml:space="preserve"> et al., 2023)</w:t>
      </w:r>
      <w:r w:rsidRPr="006368A5">
        <w:rPr>
          <w:shd w:val="clear" w:color="auto" w:fill="FFFFFF"/>
        </w:rPr>
        <w:fldChar w:fldCharType="end"/>
      </w:r>
      <w:r w:rsidRPr="006368A5">
        <w:rPr>
          <w:rFonts w:hint="eastAsia"/>
          <w:shd w:val="clear" w:color="auto" w:fill="FFFFFF"/>
        </w:rPr>
        <w:t xml:space="preserve">. Quantitative methods were suitable for these studies </w:t>
      </w:r>
      <w:r w:rsidRPr="006368A5">
        <w:rPr>
          <w:shd w:val="clear" w:color="auto" w:fill="FFFFFF"/>
        </w:rPr>
        <w:t>because</w:t>
      </w:r>
      <w:r w:rsidRPr="006368A5">
        <w:rPr>
          <w:rFonts w:hint="eastAsia"/>
          <w:shd w:val="clear" w:color="auto" w:fill="FFFFFF"/>
        </w:rPr>
        <w:t xml:space="preserve"> the</w:t>
      </w:r>
      <w:r w:rsidRPr="006368A5">
        <w:rPr>
          <w:shd w:val="clear" w:color="auto" w:fill="FFFFFF"/>
        </w:rPr>
        <w:t xml:space="preserve"> researchers </w:t>
      </w:r>
      <w:r w:rsidRPr="006368A5">
        <w:rPr>
          <w:rFonts w:hint="eastAsia"/>
          <w:shd w:val="clear" w:color="auto" w:fill="FFFFFF"/>
        </w:rPr>
        <w:t>typically explored what predict</w:t>
      </w:r>
      <w:r w:rsidRPr="006368A5">
        <w:rPr>
          <w:shd w:val="clear" w:color="auto" w:fill="FFFFFF"/>
        </w:rPr>
        <w:t>ed</w:t>
      </w:r>
      <w:r w:rsidRPr="006368A5">
        <w:rPr>
          <w:rFonts w:hint="eastAsia"/>
          <w:shd w:val="clear" w:color="auto" w:fill="FFFFFF"/>
        </w:rPr>
        <w:t xml:space="preserve"> integrated writing quality by </w:t>
      </w:r>
      <w:r w:rsidRPr="006368A5">
        <w:rPr>
          <w:rFonts w:hint="eastAsia"/>
          <w:shd w:val="clear" w:color="auto" w:fill="FFFFFF"/>
        </w:rPr>
        <w:lastRenderedPageBreak/>
        <w:t xml:space="preserve">measuring </w:t>
      </w:r>
      <w:r w:rsidRPr="006368A5">
        <w:rPr>
          <w:shd w:val="clear" w:color="auto" w:fill="FFFFFF"/>
        </w:rPr>
        <w:t xml:space="preserve">a range of </w:t>
      </w:r>
      <w:r w:rsidRPr="006368A5">
        <w:rPr>
          <w:rFonts w:hint="eastAsia"/>
          <w:shd w:val="clear" w:color="auto" w:fill="FFFFFF"/>
        </w:rPr>
        <w:t xml:space="preserve">statistical impacts of writing components. Other quantitative </w:t>
      </w:r>
      <w:r w:rsidRPr="006368A5">
        <w:rPr>
          <w:shd w:val="clear" w:color="auto" w:fill="FFFFFF"/>
        </w:rPr>
        <w:t>researchers</w:t>
      </w:r>
      <w:r w:rsidRPr="006368A5">
        <w:rPr>
          <w:rFonts w:hint="eastAsia"/>
          <w:shd w:val="clear" w:color="auto" w:fill="FFFFFF"/>
        </w:rPr>
        <w:t xml:space="preserve"> also </w:t>
      </w:r>
      <w:r w:rsidRPr="006368A5">
        <w:rPr>
          <w:shd w:val="clear" w:color="auto" w:fill="FFFFFF"/>
        </w:rPr>
        <w:t>examine</w:t>
      </w:r>
      <w:r w:rsidRPr="006368A5">
        <w:rPr>
          <w:rFonts w:hint="eastAsia"/>
          <w:shd w:val="clear" w:color="auto" w:fill="FFFFFF"/>
        </w:rPr>
        <w:t>d pedagogical effects by comparing experimental and control groups</w:t>
      </w:r>
      <w:r w:rsidRPr="006368A5">
        <w:rPr>
          <w:shd w:val="clear" w:color="auto" w:fill="FFFFFF"/>
        </w:rPr>
        <w:t>’</w:t>
      </w:r>
      <w:r w:rsidRPr="006368A5">
        <w:rPr>
          <w:rFonts w:hint="eastAsia"/>
          <w:shd w:val="clear" w:color="auto" w:fill="FFFFFF"/>
        </w:rPr>
        <w:t xml:space="preserve"> </w:t>
      </w:r>
      <w:r w:rsidRPr="006368A5">
        <w:rPr>
          <w:shd w:val="clear" w:color="auto" w:fill="FFFFFF"/>
        </w:rPr>
        <w:t>performance</w:t>
      </w:r>
      <w:r w:rsidRPr="006368A5">
        <w:rPr>
          <w:rFonts w:hint="eastAsia"/>
          <w:shd w:val="clear" w:color="auto" w:fill="FFFFFF"/>
        </w:rPr>
        <w:t xml:space="preserve">s. </w:t>
      </w:r>
    </w:p>
    <w:p w14:paraId="2606B5B2" w14:textId="77777777" w:rsidR="00E027AC" w:rsidRPr="006368A5" w:rsidRDefault="00E027AC" w:rsidP="00E027AC">
      <w:pPr>
        <w:pStyle w:val="L2JBody"/>
        <w:rPr>
          <w:shd w:val="clear" w:color="auto" w:fill="FFFFFF"/>
        </w:rPr>
      </w:pPr>
      <w:r w:rsidRPr="006368A5">
        <w:rPr>
          <w:rFonts w:hint="eastAsia"/>
          <w:shd w:val="clear" w:color="auto" w:fill="FFFFFF"/>
        </w:rPr>
        <w:t>For qualitative studies, multiple- or single-case study approaches were the most frequently adopted</w:t>
      </w:r>
      <w:r w:rsidRPr="006368A5">
        <w:rPr>
          <w:shd w:val="clear" w:color="auto" w:fill="FFFFFF"/>
        </w:rPr>
        <w:t>; the researchers</w:t>
      </w:r>
      <w:r w:rsidRPr="006368A5">
        <w:rPr>
          <w:rFonts w:hint="eastAsia"/>
          <w:shd w:val="clear" w:color="auto" w:fill="FFFFFF"/>
        </w:rPr>
        <w:t xml:space="preserve"> often examined in-depth composing processes, considering various social and cultural factors</w:t>
      </w:r>
      <w:r w:rsidRPr="006368A5">
        <w:rPr>
          <w:shd w:val="clear" w:color="auto" w:fill="FFFFFF"/>
        </w:rPr>
        <w:t>,</w:t>
      </w:r>
      <w:r w:rsidRPr="006368A5">
        <w:rPr>
          <w:rFonts w:hint="eastAsia"/>
          <w:shd w:val="clear" w:color="auto" w:fill="FFFFFF"/>
        </w:rPr>
        <w:t xml:space="preserve"> such as writers</w:t>
      </w:r>
      <w:r w:rsidRPr="006368A5">
        <w:rPr>
          <w:shd w:val="clear" w:color="auto" w:fill="FFFFFF"/>
        </w:rPr>
        <w:t>’</w:t>
      </w:r>
      <w:r w:rsidRPr="006368A5">
        <w:rPr>
          <w:rFonts w:hint="eastAsia"/>
          <w:shd w:val="clear" w:color="auto" w:fill="FFFFFF"/>
        </w:rPr>
        <w:t xml:space="preserve"> beliefs</w:t>
      </w:r>
      <w:r w:rsidRPr="006368A5">
        <w:rPr>
          <w:shd w:val="clear" w:color="auto" w:fill="FFFFFF"/>
        </w:rPr>
        <w:t xml:space="preserve"> and</w:t>
      </w:r>
      <w:r w:rsidRPr="006368A5">
        <w:rPr>
          <w:rFonts w:hint="eastAsia"/>
          <w:shd w:val="clear" w:color="auto" w:fill="FFFFFF"/>
        </w:rPr>
        <w:t xml:space="preserve"> perspectives</w:t>
      </w:r>
      <w:r w:rsidRPr="006368A5">
        <w:rPr>
          <w:shd w:val="clear" w:color="auto" w:fill="FFFFFF"/>
        </w:rPr>
        <w:t xml:space="preserve"> as well as</w:t>
      </w:r>
      <w:r w:rsidRPr="006368A5">
        <w:rPr>
          <w:rFonts w:hint="eastAsia"/>
          <w:shd w:val="clear" w:color="auto" w:fill="FFFFFF"/>
        </w:rPr>
        <w:t xml:space="preserve"> resources </w:t>
      </w:r>
      <w:r w:rsidRPr="006368A5">
        <w:rPr>
          <w:shd w:val="clear" w:color="auto" w:fill="FFFFFF"/>
        </w:rPr>
        <w:t>available</w:t>
      </w:r>
      <w:r w:rsidRPr="006368A5">
        <w:rPr>
          <w:rFonts w:hint="eastAsia"/>
          <w:shd w:val="clear" w:color="auto" w:fill="FFFFFF"/>
        </w:rPr>
        <w:t xml:space="preserve">. </w:t>
      </w:r>
      <w:r w:rsidRPr="006368A5">
        <w:rPr>
          <w:shd w:val="clear" w:color="auto" w:fill="FFFFFF"/>
        </w:rPr>
        <w:t>I</w:t>
      </w:r>
      <w:r w:rsidRPr="006368A5">
        <w:rPr>
          <w:rFonts w:hint="eastAsia"/>
          <w:shd w:val="clear" w:color="auto" w:fill="FFFFFF"/>
        </w:rPr>
        <w:t xml:space="preserve"> also found that a significant number of the </w:t>
      </w:r>
      <w:r w:rsidRPr="006368A5">
        <w:rPr>
          <w:shd w:val="clear" w:color="auto" w:fill="FFFFFF"/>
        </w:rPr>
        <w:t>researchers</w:t>
      </w:r>
      <w:r w:rsidRPr="006368A5">
        <w:rPr>
          <w:rFonts w:hint="eastAsia"/>
          <w:shd w:val="clear" w:color="auto" w:fill="FFFFFF"/>
        </w:rPr>
        <w:t xml:space="preserve"> used eclectic approaches (n=27, 30%), interpreting synthesis writing through both numerical data and qualitative analysis. </w:t>
      </w:r>
      <w:r w:rsidRPr="006368A5">
        <w:rPr>
          <w:shd w:val="clear" w:color="auto" w:fill="FFFFFF"/>
        </w:rPr>
        <w:t>I found few</w:t>
      </w:r>
      <w:r w:rsidRPr="006368A5">
        <w:rPr>
          <w:rFonts w:hint="eastAsia"/>
          <w:shd w:val="clear" w:color="auto" w:fill="FFFFFF"/>
        </w:rPr>
        <w:t xml:space="preserve"> </w:t>
      </w:r>
      <w:r w:rsidRPr="006368A5">
        <w:rPr>
          <w:rFonts w:hint="eastAsia"/>
          <w:i/>
          <w:iCs/>
          <w:shd w:val="clear" w:color="auto" w:fill="FFFFFF"/>
        </w:rPr>
        <w:t>mixe</w:t>
      </w:r>
      <w:r w:rsidRPr="006368A5">
        <w:rPr>
          <w:i/>
          <w:iCs/>
          <w:shd w:val="clear" w:color="auto" w:fill="FFFFFF"/>
        </w:rPr>
        <w:t xml:space="preserve">d </w:t>
      </w:r>
      <w:r w:rsidRPr="006368A5">
        <w:rPr>
          <w:rFonts w:hint="eastAsia"/>
          <w:i/>
          <w:iCs/>
          <w:shd w:val="clear" w:color="auto" w:fill="FFFFFF"/>
        </w:rPr>
        <w:t xml:space="preserve">methods </w:t>
      </w:r>
      <w:r w:rsidRPr="006368A5">
        <w:rPr>
          <w:rFonts w:hint="eastAsia"/>
          <w:shd w:val="clear" w:color="auto" w:fill="FFFFFF"/>
        </w:rPr>
        <w:t>studies (</w:t>
      </w:r>
      <w:r w:rsidRPr="006368A5">
        <w:rPr>
          <w:shd w:val="clear" w:color="auto" w:fill="FFFFFF"/>
        </w:rPr>
        <w:t>n=</w:t>
      </w:r>
      <w:r w:rsidRPr="006368A5">
        <w:rPr>
          <w:rFonts w:hint="eastAsia"/>
          <w:shd w:val="clear" w:color="auto" w:fill="FFFFFF"/>
        </w:rPr>
        <w:t>7, 8%) examin</w:t>
      </w:r>
      <w:r w:rsidRPr="006368A5">
        <w:rPr>
          <w:shd w:val="clear" w:color="auto" w:fill="FFFFFF"/>
        </w:rPr>
        <w:t>ing</w:t>
      </w:r>
      <w:r w:rsidRPr="006368A5">
        <w:rPr>
          <w:rFonts w:hint="eastAsia"/>
          <w:shd w:val="clear" w:color="auto" w:fill="FFFFFF"/>
        </w:rPr>
        <w:t xml:space="preserve"> topics </w:t>
      </w:r>
      <w:r w:rsidRPr="006368A5">
        <w:rPr>
          <w:shd w:val="clear" w:color="auto" w:fill="FFFFFF"/>
        </w:rPr>
        <w:t>like</w:t>
      </w:r>
      <w:r w:rsidRPr="006368A5">
        <w:rPr>
          <w:rFonts w:hint="eastAsia"/>
          <w:shd w:val="clear" w:color="auto" w:fill="FFFFFF"/>
        </w:rPr>
        <w:t xml:space="preserve"> writing strategies and feedback uptake in a holistic manner.</w:t>
      </w:r>
    </w:p>
    <w:p w14:paraId="6A7534E2" w14:textId="77777777" w:rsidR="00E027AC" w:rsidRPr="006368A5" w:rsidRDefault="00E027AC" w:rsidP="00E027AC">
      <w:pPr>
        <w:pStyle w:val="L2JBody"/>
        <w:rPr>
          <w:shd w:val="clear" w:color="auto" w:fill="FFFFFF"/>
        </w:rPr>
      </w:pPr>
      <w:r w:rsidRPr="006368A5">
        <w:rPr>
          <w:shd w:val="clear" w:color="auto" w:fill="FFFFFF"/>
        </w:rPr>
        <w:t>I</w:t>
      </w:r>
      <w:r w:rsidRPr="006368A5">
        <w:rPr>
          <w:rFonts w:hint="eastAsia"/>
          <w:shd w:val="clear" w:color="auto" w:fill="FFFFFF"/>
        </w:rPr>
        <w:t xml:space="preserve"> also examined </w:t>
      </w:r>
      <w:r w:rsidRPr="006368A5">
        <w:rPr>
          <w:shd w:val="clear" w:color="auto" w:fill="FFFFFF"/>
        </w:rPr>
        <w:t>research</w:t>
      </w:r>
      <w:r w:rsidRPr="006368A5">
        <w:rPr>
          <w:rFonts w:hint="eastAsia"/>
          <w:shd w:val="clear" w:color="auto" w:fill="FFFFFF"/>
        </w:rPr>
        <w:t xml:space="preserve"> duration and data sources, which showed </w:t>
      </w:r>
      <w:r w:rsidRPr="006368A5">
        <w:rPr>
          <w:shd w:val="clear" w:color="auto" w:fill="FFFFFF"/>
        </w:rPr>
        <w:t xml:space="preserve">considerable </w:t>
      </w:r>
      <w:r w:rsidRPr="006368A5">
        <w:rPr>
          <w:rFonts w:hint="eastAsia"/>
          <w:shd w:val="clear" w:color="auto" w:fill="FFFFFF"/>
        </w:rPr>
        <w:t xml:space="preserve">variation. Despite </w:t>
      </w:r>
      <w:r w:rsidRPr="006368A5">
        <w:rPr>
          <w:shd w:val="clear" w:color="auto" w:fill="FFFFFF"/>
        </w:rPr>
        <w:fldChar w:fldCharType="begin"/>
      </w:r>
      <w:r w:rsidRPr="006368A5">
        <w:rPr>
          <w:shd w:val="clear" w:color="auto" w:fill="FFFFFF"/>
        </w:rPr>
        <w:instrText xml:space="preserve"> ADDIN ZOTERO_ITEM CSL_CITATION {"citationID":"jUmD7s0U","properties":{"formattedCitation":"(Wingate &amp; Harper, 2021)","plainCitation":"(Wingate &amp; Harper, 2021)","dontUpdate":true,"noteIndex":0},"citationItems":[{"id":1611,"uris":["http://zotero.org/users/9207091/items/7HHBBGAL"],"itemData":{"id":1611,"type":"article-journal","abstract":"Previous process-oriented research has predominantly investigated writing processes used by non-native speakers of English (L2) and found that more proﬁcient writers allocate more time to planning and revising than less proﬁcient writers who spend most of their time on formulating. There is so far no exploration of the process use by novice students at university and its relationship to writing performance. Using screen recordings and interviews, we compared the writing processes and behaviours of a successful and unsuccessful student and identiﬁed considerable differences in time allocation and the interaction and recursiveness of processes. The ﬁndings highlight the importance of integrating a focus on effective process use into academic writing instruction.","container-title":"Journal of English for Academic Purposes","DOI":"10.1016/j.jeap.2020.100948","ISSN":"14751585","journalAbbreviation":"Journal of English for Academic Purposes","language":"en","page":"100948","source":"DOI.org (Crossref)","title":"Completing the first assignment: A case study of the writing processes of a successful and an unsuccessful student","title-short":"Completing the first assignment","volume":"49","author":[{"family":"Wingate","given":"Ursula"},{"family":"Harper","given":"Rowena"}],"issued":{"date-parts":[["2021",1]]}}}],"schema":"https://github.com/citation-style-language/schema/raw/master/csl-citation.json"} </w:instrText>
      </w:r>
      <w:r w:rsidRPr="006368A5">
        <w:rPr>
          <w:shd w:val="clear" w:color="auto" w:fill="FFFFFF"/>
        </w:rPr>
        <w:fldChar w:fldCharType="separate"/>
      </w:r>
      <w:r w:rsidRPr="006368A5">
        <w:rPr>
          <w:rFonts w:cs="Times New Roman"/>
        </w:rPr>
        <w:t xml:space="preserve">Wingate </w:t>
      </w:r>
      <w:r w:rsidRPr="006368A5">
        <w:rPr>
          <w:rFonts w:cs="Times New Roman" w:hint="eastAsia"/>
        </w:rPr>
        <w:t>and</w:t>
      </w:r>
      <w:r w:rsidRPr="006368A5">
        <w:rPr>
          <w:rFonts w:cs="Times New Roman"/>
        </w:rPr>
        <w:t xml:space="preserve"> Harper’</w:t>
      </w:r>
      <w:r w:rsidRPr="006368A5">
        <w:rPr>
          <w:rFonts w:cs="Times New Roman" w:hint="eastAsia"/>
        </w:rPr>
        <w:t>s</w:t>
      </w:r>
      <w:r w:rsidRPr="006368A5">
        <w:rPr>
          <w:rFonts w:cs="Times New Roman"/>
        </w:rPr>
        <w:t xml:space="preserve"> </w:t>
      </w:r>
      <w:r w:rsidRPr="006368A5">
        <w:rPr>
          <w:rFonts w:cs="Times New Roman" w:hint="eastAsia"/>
        </w:rPr>
        <w:t>(</w:t>
      </w:r>
      <w:r w:rsidRPr="006368A5">
        <w:rPr>
          <w:rFonts w:cs="Times New Roman"/>
        </w:rPr>
        <w:t>2021)</w:t>
      </w:r>
      <w:r w:rsidRPr="006368A5">
        <w:rPr>
          <w:shd w:val="clear" w:color="auto" w:fill="FFFFFF"/>
        </w:rPr>
        <w:fldChar w:fldCharType="end"/>
      </w:r>
      <w:r w:rsidRPr="006368A5">
        <w:rPr>
          <w:rFonts w:hint="eastAsia"/>
          <w:shd w:val="clear" w:color="auto" w:fill="FFFFFF"/>
        </w:rPr>
        <w:t xml:space="preserve"> </w:t>
      </w:r>
      <w:r w:rsidRPr="006368A5">
        <w:rPr>
          <w:shd w:val="clear" w:color="auto" w:fill="FFFFFF"/>
        </w:rPr>
        <w:t>cri</w:t>
      </w:r>
      <w:r w:rsidRPr="006368A5">
        <w:rPr>
          <w:rFonts w:hint="eastAsia"/>
          <w:shd w:val="clear" w:color="auto" w:fill="FFFFFF"/>
        </w:rPr>
        <w:t xml:space="preserve">ticism of one-shot approaches in </w:t>
      </w:r>
      <w:r w:rsidRPr="006368A5">
        <w:rPr>
          <w:shd w:val="clear" w:color="auto" w:fill="FFFFFF"/>
        </w:rPr>
        <w:t xml:space="preserve">researching the </w:t>
      </w:r>
      <w:r w:rsidRPr="006368A5">
        <w:rPr>
          <w:rFonts w:hint="eastAsia"/>
          <w:shd w:val="clear" w:color="auto" w:fill="FFFFFF"/>
        </w:rPr>
        <w:t xml:space="preserve">composing </w:t>
      </w:r>
      <w:r w:rsidRPr="006368A5">
        <w:rPr>
          <w:shd w:val="clear" w:color="auto" w:fill="FFFFFF"/>
        </w:rPr>
        <w:t>process</w:t>
      </w:r>
      <w:r w:rsidRPr="006368A5">
        <w:rPr>
          <w:rFonts w:hint="eastAsia"/>
          <w:shd w:val="clear" w:color="auto" w:fill="FFFFFF"/>
        </w:rPr>
        <w:t xml:space="preserve">, </w:t>
      </w:r>
      <w:r w:rsidRPr="006368A5">
        <w:rPr>
          <w:shd w:val="clear" w:color="auto" w:fill="FFFFFF"/>
        </w:rPr>
        <w:t xml:space="preserve">I still found </w:t>
      </w:r>
      <w:r w:rsidRPr="006368A5">
        <w:rPr>
          <w:rFonts w:hint="eastAsia"/>
          <w:shd w:val="clear" w:color="auto" w:fill="FFFFFF"/>
        </w:rPr>
        <w:t xml:space="preserve">a considerable </w:t>
      </w:r>
      <w:r w:rsidRPr="006368A5">
        <w:rPr>
          <w:shd w:val="clear" w:color="auto" w:fill="FFFFFF"/>
        </w:rPr>
        <w:t>number</w:t>
      </w:r>
      <w:r w:rsidRPr="006368A5">
        <w:rPr>
          <w:rFonts w:hint="eastAsia"/>
          <w:shd w:val="clear" w:color="auto" w:fill="FFFFFF"/>
        </w:rPr>
        <w:t xml:space="preserve"> of studies (</w:t>
      </w:r>
      <w:r w:rsidRPr="006368A5">
        <w:rPr>
          <w:shd w:val="clear" w:color="auto" w:fill="FFFFFF"/>
        </w:rPr>
        <w:t>n=</w:t>
      </w:r>
      <w:r w:rsidRPr="006368A5">
        <w:rPr>
          <w:rFonts w:hint="eastAsia"/>
          <w:shd w:val="clear" w:color="auto" w:fill="FFFFFF"/>
        </w:rPr>
        <w:t xml:space="preserve">36, 39%) </w:t>
      </w:r>
      <w:r w:rsidRPr="006368A5">
        <w:rPr>
          <w:shd w:val="clear" w:color="auto" w:fill="FFFFFF"/>
        </w:rPr>
        <w:t>with</w:t>
      </w:r>
      <w:r w:rsidRPr="006368A5">
        <w:rPr>
          <w:rFonts w:hint="eastAsia"/>
          <w:shd w:val="clear" w:color="auto" w:fill="FFFFFF"/>
        </w:rPr>
        <w:t xml:space="preserve"> one-time approaches</w:t>
      </w:r>
      <w:r w:rsidRPr="006368A5">
        <w:rPr>
          <w:shd w:val="clear" w:color="auto" w:fill="FFFFFF"/>
        </w:rPr>
        <w:t>—</w:t>
      </w:r>
      <w:r w:rsidRPr="006368A5">
        <w:rPr>
          <w:rFonts w:hint="eastAsia"/>
          <w:shd w:val="clear" w:color="auto" w:fill="FFFFFF"/>
        </w:rPr>
        <w:t xml:space="preserve">starting and finishing the writing task in one sitting. </w:t>
      </w:r>
      <w:r w:rsidRPr="006368A5">
        <w:rPr>
          <w:shd w:val="clear" w:color="auto" w:fill="FFFFFF"/>
        </w:rPr>
        <w:t>Most researchers, h</w:t>
      </w:r>
      <w:r w:rsidRPr="006368A5">
        <w:rPr>
          <w:rFonts w:hint="eastAsia"/>
          <w:shd w:val="clear" w:color="auto" w:fill="FFFFFF"/>
        </w:rPr>
        <w:t>owever, used longer data collection periods</w:t>
      </w:r>
      <w:r w:rsidRPr="006368A5">
        <w:rPr>
          <w:shd w:val="clear" w:color="auto" w:fill="FFFFFF"/>
        </w:rPr>
        <w:t>—</w:t>
      </w:r>
      <w:r w:rsidRPr="006368A5">
        <w:rPr>
          <w:rFonts w:hint="eastAsia"/>
          <w:shd w:val="clear" w:color="auto" w:fill="FFFFFF"/>
        </w:rPr>
        <w:t>a few days (</w:t>
      </w:r>
      <w:r w:rsidRPr="006368A5">
        <w:rPr>
          <w:shd w:val="clear" w:color="auto" w:fill="FFFFFF"/>
        </w:rPr>
        <w:t>n=</w:t>
      </w:r>
      <w:r w:rsidRPr="006368A5">
        <w:rPr>
          <w:rFonts w:hint="eastAsia"/>
          <w:shd w:val="clear" w:color="auto" w:fill="FFFFFF"/>
        </w:rPr>
        <w:t>5, 5%), several weeks (</w:t>
      </w:r>
      <w:r w:rsidRPr="006368A5">
        <w:rPr>
          <w:shd w:val="clear" w:color="auto" w:fill="FFFFFF"/>
        </w:rPr>
        <w:t>n=</w:t>
      </w:r>
      <w:r w:rsidRPr="006368A5">
        <w:rPr>
          <w:rFonts w:hint="eastAsia"/>
          <w:shd w:val="clear" w:color="auto" w:fill="FFFFFF"/>
        </w:rPr>
        <w:t>17, 18%)</w:t>
      </w:r>
      <w:r w:rsidRPr="006368A5">
        <w:rPr>
          <w:shd w:val="clear" w:color="auto" w:fill="FFFFFF"/>
        </w:rPr>
        <w:t>,</w:t>
      </w:r>
      <w:r w:rsidRPr="006368A5">
        <w:rPr>
          <w:rFonts w:hint="eastAsia"/>
          <w:shd w:val="clear" w:color="auto" w:fill="FFFFFF"/>
        </w:rPr>
        <w:t xml:space="preserve"> and 10 weeks or more (</w:t>
      </w:r>
      <w:r w:rsidRPr="006368A5">
        <w:rPr>
          <w:shd w:val="clear" w:color="auto" w:fill="FFFFFF"/>
        </w:rPr>
        <w:t>n=</w:t>
      </w:r>
      <w:r w:rsidRPr="006368A5">
        <w:rPr>
          <w:rFonts w:hint="eastAsia"/>
          <w:shd w:val="clear" w:color="auto" w:fill="FFFFFF"/>
        </w:rPr>
        <w:t>27, 29%)</w:t>
      </w:r>
      <w:r w:rsidRPr="006368A5">
        <w:rPr>
          <w:shd w:val="clear" w:color="auto" w:fill="FFFFFF"/>
        </w:rPr>
        <w:t>—</w:t>
      </w:r>
      <w:r w:rsidRPr="006368A5">
        <w:rPr>
          <w:rFonts w:hint="eastAsia"/>
          <w:shd w:val="clear" w:color="auto" w:fill="FFFFFF"/>
        </w:rPr>
        <w:t xml:space="preserve">reflecting </w:t>
      </w:r>
      <w:r w:rsidRPr="006368A5">
        <w:rPr>
          <w:shd w:val="clear" w:color="auto" w:fill="FFFFFF"/>
        </w:rPr>
        <w:t>the</w:t>
      </w:r>
      <w:r w:rsidRPr="006368A5">
        <w:rPr>
          <w:rFonts w:hint="eastAsia"/>
          <w:shd w:val="clear" w:color="auto" w:fill="FFFFFF"/>
        </w:rPr>
        <w:t xml:space="preserve"> trend </w:t>
      </w:r>
      <w:r w:rsidRPr="006368A5">
        <w:rPr>
          <w:shd w:val="clear" w:color="auto" w:fill="FFFFFF"/>
        </w:rPr>
        <w:t xml:space="preserve">of </w:t>
      </w:r>
      <w:r w:rsidRPr="006368A5">
        <w:rPr>
          <w:rFonts w:hint="eastAsia"/>
          <w:shd w:val="clear" w:color="auto" w:fill="FFFFFF"/>
        </w:rPr>
        <w:t>conducting studies with longer research duration</w:t>
      </w:r>
      <w:r w:rsidRPr="006368A5">
        <w:rPr>
          <w:shd w:val="clear" w:color="auto" w:fill="FFFFFF"/>
        </w:rPr>
        <w:t>.</w:t>
      </w:r>
    </w:p>
    <w:p w14:paraId="2D7AA1AD" w14:textId="77777777" w:rsidR="00E027AC" w:rsidRDefault="00E027AC" w:rsidP="00E027AC">
      <w:pPr>
        <w:pStyle w:val="L2JBody"/>
        <w:rPr>
          <w:shd w:val="clear" w:color="auto" w:fill="FFFFFF"/>
        </w:rPr>
      </w:pPr>
      <w:r w:rsidRPr="006368A5">
        <w:rPr>
          <w:rFonts w:hint="eastAsia"/>
          <w:shd w:val="clear" w:color="auto" w:fill="FFFFFF"/>
        </w:rPr>
        <w:t xml:space="preserve">In terms of data sources, the two most frequently adopted </w:t>
      </w:r>
      <w:r w:rsidRPr="006368A5">
        <w:rPr>
          <w:shd w:val="clear" w:color="auto" w:fill="FFFFFF"/>
        </w:rPr>
        <w:t>sources</w:t>
      </w:r>
      <w:r w:rsidRPr="006368A5">
        <w:rPr>
          <w:rFonts w:hint="eastAsia"/>
          <w:shd w:val="clear" w:color="auto" w:fill="FFFFFF"/>
        </w:rPr>
        <w:t xml:space="preserve"> </w:t>
      </w:r>
      <w:r w:rsidRPr="006368A5">
        <w:rPr>
          <w:shd w:val="clear" w:color="auto" w:fill="FFFFFF"/>
        </w:rPr>
        <w:t>(aside</w:t>
      </w:r>
      <w:r w:rsidRPr="006368A5">
        <w:rPr>
          <w:rFonts w:hint="eastAsia"/>
          <w:shd w:val="clear" w:color="auto" w:fill="FFFFFF"/>
        </w:rPr>
        <w:t xml:space="preserve"> from writing samples</w:t>
      </w:r>
      <w:r w:rsidRPr="006368A5">
        <w:rPr>
          <w:shd w:val="clear" w:color="auto" w:fill="FFFFFF"/>
        </w:rPr>
        <w:t>)</w:t>
      </w:r>
      <w:r w:rsidRPr="006368A5">
        <w:rPr>
          <w:rFonts w:hint="eastAsia"/>
          <w:shd w:val="clear" w:color="auto" w:fill="FFFFFF"/>
        </w:rPr>
        <w:t xml:space="preserve"> were interview and </w:t>
      </w:r>
      <w:r w:rsidRPr="006368A5">
        <w:rPr>
          <w:shd w:val="clear" w:color="auto" w:fill="FFFFFF"/>
        </w:rPr>
        <w:t>stimulated recall data</w:t>
      </w:r>
      <w:r w:rsidRPr="006368A5">
        <w:rPr>
          <w:rFonts w:hint="eastAsia"/>
          <w:shd w:val="clear" w:color="auto" w:fill="FFFFFF"/>
        </w:rPr>
        <w:t xml:space="preserve">, typically collected </w:t>
      </w:r>
      <w:r w:rsidRPr="006368A5">
        <w:rPr>
          <w:shd w:val="clear" w:color="auto" w:fill="FFFFFF"/>
        </w:rPr>
        <w:t>by</w:t>
      </w:r>
      <w:r w:rsidRPr="006368A5">
        <w:rPr>
          <w:rFonts w:hint="eastAsia"/>
          <w:shd w:val="clear" w:color="auto" w:fill="FFFFFF"/>
        </w:rPr>
        <w:t xml:space="preserve"> researchers </w:t>
      </w:r>
      <w:r w:rsidRPr="006368A5">
        <w:rPr>
          <w:shd w:val="clear" w:color="auto" w:fill="FFFFFF"/>
        </w:rPr>
        <w:t xml:space="preserve">asking questions of their participants to help them </w:t>
      </w:r>
      <w:r w:rsidRPr="006368A5">
        <w:rPr>
          <w:rFonts w:hint="eastAsia"/>
          <w:shd w:val="clear" w:color="auto" w:fill="FFFFFF"/>
        </w:rPr>
        <w:t>understand the writer</w:t>
      </w:r>
      <w:r w:rsidRPr="006368A5">
        <w:rPr>
          <w:shd w:val="clear" w:color="auto" w:fill="FFFFFF"/>
        </w:rPr>
        <w:t>’</w:t>
      </w:r>
      <w:r w:rsidRPr="006368A5">
        <w:rPr>
          <w:rFonts w:hint="eastAsia"/>
          <w:shd w:val="clear" w:color="auto" w:fill="FFFFFF"/>
        </w:rPr>
        <w:t xml:space="preserve">s underlying decision-making processes. Following these, </w:t>
      </w:r>
      <w:r w:rsidRPr="006368A5">
        <w:rPr>
          <w:shd w:val="clear" w:color="auto" w:fill="FFFFFF"/>
        </w:rPr>
        <w:t xml:space="preserve">researchers frequently used </w:t>
      </w:r>
      <w:r w:rsidRPr="006368A5">
        <w:rPr>
          <w:rFonts w:hint="eastAsia"/>
          <w:shd w:val="clear" w:color="auto" w:fill="FFFFFF"/>
        </w:rPr>
        <w:t xml:space="preserve">student logs </w:t>
      </w:r>
      <w:r w:rsidRPr="006368A5">
        <w:rPr>
          <w:shd w:val="clear" w:color="auto" w:fill="FFFFFF"/>
        </w:rPr>
        <w:fldChar w:fldCharType="begin"/>
      </w:r>
      <w:r w:rsidRPr="006368A5">
        <w:rPr>
          <w:shd w:val="clear" w:color="auto" w:fill="FFFFFF"/>
        </w:rPr>
        <w:instrText xml:space="preserve"> ADDIN ZOTERO_ITEM CSL_CITATION {"citationID":"Sxbfs1VN","properties":{"formattedCitation":"(Kessler, 2020; Y. Li, 2012, 2013; Overstreet et al., 2023; Stapleton, 2010)","plainCitation":"(Kessler, 2020; Y. Li, 2012, 2013; Overstreet et al., 2023; Stapleton, 2010)","dontUpdate":true,"noteIndex":0},"citationItems":[{"id":100,"uris":["http://zotero.org/users/9207091/items/R4GMMH96"],"itemData":{"id":100,"type":"article-journal","abstract":"Despite the sizable body of research investigating L2 learners’ technology use and/or digital composition practices, scholars have noted that such studies have been predominately researcher-led intervention studies as opposed to descriptive, qualitative accounts that investigate learner-initiated technology use. To better understand existing learner practices surrounding digital composition, this study uses a case study design to explore two, Chinese L2 English writers as they compose assignments during their ﬁrst semesters as doctoral students in an Applied Linguistics and Teacher Education program, respectively. An Activity Theory (Engeström, 1987, 1999) framework is utilized to investigate students’ writing strategies in general, but particular emphasis is given to writers’ personal, artifact/tool-mediated uses of technology to assist in their writing. Data sources consist of: artifacts such as course syllabi and students’ writings; process logs; screen-recordings of students’ real-time writing; and also, semi-structured interviews and stimulated recalls. Findings show that students’ writing processes were inﬂuenced by numerous factors, which were rule, community-, and artifact-mediated. The artifact-mediated strategies are discussed in relation to three categories that emerged from the data, including: (1) multimodal strategies; (2) tool-mediated strategies for content development; and (3) tool-mediated strategies for language development. Pedagogical implications of writersö artifact-mediated strategies involving technological tools are discussed.","container-title":"Computers and Composition","DOI":"10.1016/j.compcom.2020.102542","ISSN":"87554615","journalAbbreviation":"Computers and Composition","language":"en","page":"102542","source":"DOI.org (Crossref)","title":"Technology-mediated writing: Exploring incoming graduate students’ L2 writing strategies with Activity Theory","title-short":"Technology-Mediated Writing","volume":"55","author":[{"family":"Kessler","given":"Matt"}],"issued":{"date-parts":[["2020",3]]}}},{"id":1572,"uris":["http://zotero.org/users/9207091/items/RBKAH4BM"],"itemData":{"id":1572,"type":"article-journal","container-title":"Educational Media International","issue":"3","note":"ISBN: 0952-3987\npublisher: Taylor &amp; Francis","page":"201-215","title":"Undergraduate students searching and reading Web sources for writing","volume":"49","author":[{"family":"Li","given":"Yongyan"}],"issued":{"date-parts":[["2012"]]}}},{"id":1620,"uris":["http://zotero.org/users/9207091/items/J4G8S42A"],"itemData":{"id":1620,"type":"article-journal","container-title":"Journal of English for Academic Purposes","issue":"2","note":"ISBN: 1475-1585\npublisher: Elsevier","page":"73-86","title":"Three ESL students writing a policy paper assignment: An activity-analytic perspective","volume":"12","author":[{"family":"Li","given":"Yongyan"}],"issued":{"date-parts":[["2013"]]}}},{"id":3143,"uris":["http://zotero.org/users/9207091/items/782Z39CM"],"itemData":{"id":3143,"type":"article-journal","abstract":"This article responds to calls to better understand the digital literacy practices of second and foreign-language writers. Researchers followed two Arab undergraduates as they completed a research writing task in a first-year writing course, tracing how these students used common digital resources, particularly digital 1) research tools, 2) writing tools and 3) course materials. Via screen-capture and regular interview sessions the participants’ research and writing activity was observed over a period of five weeks. To understand the resulting data, Vygotskian notions of mediation were combined with writing as extended mind, a recently introduced theoretical program that emphasizes the distributed nature of cognition. Study participants were found to deploy a wide range of digital resources, often in complex and creative ways. We identify two distinct mediation profiles that we argue mark two distinct approaches to research writing: a relatively brain-bound approach, which uses external resources primarily to structure internal cognitive function, and a more extended approach, which offloads a higher degree of cognitive function to the writer’s environment. These findings offer unique insight into the digital literacy practices of an understudied student population. They also raise important questions about how best to teach writing in a digital age.","container-title":"Journal of Second Language Writing","DOI":"10.1016/j.jslw.2023.101019","ISSN":"10603743","journalAbbreviation":"Journal of Second Language Writing","language":"en","page":"101019","source":"DOI.org (Crossref)","title":"Brain-bound vs. extended: Contrasting approaches to second-language research writing in digital environments","title-short":"Brain-bound vs. extended","volume":"61","author":[{"family":"Overstreet","given":"Matthew"},{"family":"Akhmedjanova","given":"Diana"},{"family":"Vaccino-Salvadore","given":"Silvia"}],"issued":{"date-parts":[["2023",9]]}}},{"id":1604,"uris":["http://zotero.org/users/9207091/items/WE6APTYU"],"itemData":{"id":1604,"type":"article-journal","container-title":"Journal of English for Academic Purposes","issue":"4","note":"ISBN: 1475-1585\npublisher: Elsevier","page":"295-307","title":"Writing in an electronic age: A case study of L2 composing processes","volume":"9","author":[{"family":"Stapleton","given":"Paul"}],"issued":{"date-parts":[["2010"]]}}}],"schema":"https://github.com/citation-style-language/schema/raw/master/csl-citation.json"} </w:instrText>
      </w:r>
      <w:r w:rsidRPr="006368A5">
        <w:rPr>
          <w:shd w:val="clear" w:color="auto" w:fill="FFFFFF"/>
        </w:rPr>
        <w:fldChar w:fldCharType="separate"/>
      </w:r>
      <w:r w:rsidRPr="006368A5">
        <w:rPr>
          <w:rFonts w:cs="Times New Roman"/>
        </w:rPr>
        <w:t>(Kessler, 2020; Li, 2012; 2013; Overstreet et al., 2023; Stapleton, 2010)</w:t>
      </w:r>
      <w:r w:rsidRPr="006368A5">
        <w:rPr>
          <w:shd w:val="clear" w:color="auto" w:fill="FFFFFF"/>
        </w:rPr>
        <w:fldChar w:fldCharType="end"/>
      </w:r>
      <w:r w:rsidRPr="006368A5">
        <w:rPr>
          <w:rFonts w:hint="eastAsia"/>
          <w:shd w:val="clear" w:color="auto" w:fill="FFFFFF"/>
        </w:rPr>
        <w:t xml:space="preserve">, student reflection </w:t>
      </w:r>
      <w:r w:rsidRPr="006368A5">
        <w:rPr>
          <w:shd w:val="clear" w:color="auto" w:fill="FFFFFF"/>
        </w:rPr>
        <w:fldChar w:fldCharType="begin"/>
      </w:r>
      <w:r w:rsidRPr="006368A5">
        <w:rPr>
          <w:shd w:val="clear" w:color="auto" w:fill="FFFFFF"/>
        </w:rPr>
        <w:instrText xml:space="preserve"> ADDIN ZOTERO_ITEM CSL_CITATION {"citationID":"99ZXp2im","properties":{"formattedCitation":"(Kocatepe, 2021; Pomerantz &amp; Kearney, 2012; Wang, 2024; Yang, 2023)","plainCitation":"(Kocatepe, 2021; Pomerantz &amp; Kearney, 2012; Wang, 2024; Yang, 2023)","dontUpdate":true,"noteIndex":0},"citationItems":[{"id":1613,"uris":["http://zotero.org/users/9207091/items/8IFVDI8V"],"itemData":{"id":1613,"type":"article-journal","abstract":"This paper seeks to problematise the concept of finding information in EAP (English for Academic Purposes) writing programs. Drawing on the experiences of a group of female Emirati under­ graduate students in an academic writing class in the United Arab Emirates, the paper argues that the act of finding information is not straightforward or universal, but is a social construction. Through the theoretical lens of activity theory (Engestro¨m, 1987; Leont’ev, 1981/2009), the paper presents the view that information is constructed as a goal oriented, socially situated ac­ tivity mediated by physical and symbolic artefacts. The present study examined the types of mediating artefacts students used as they constructed information and the tensions and contra­ dictions they experienced as they did so. Data collected via screen capture recordings, student reflections and interviews suggested that students constructed information by drawing on Dis­ courses of being proficient Internet users, local Discourses of truth and the norms and assump­ tions underpinning the academic writing class they were enrolled in. The findings of the study are significant in shaping the reading-to-write processes and practices of EAP writing pedagogy.","container-title":"Journal of English for Academic Purposes","DOI":"10.1016/j.jeap.2021.101042","ISSN":"14751585","journalAbbreviation":"Journal of English for Academic Purposes","language":"en","page":"101042","source":"DOI.org (Crossref)","title":"Reconceptualising the notion of finding information: How undergraduate students construct information as they read-to-write in an academic writing class","title-short":"Reconceptualising the notion of finding information","volume":"54","author":[{"family":"Kocatepe","given":"Mehtap"}],"issued":{"date-parts":[["2021",11]]}}},{"id":3101,"uris":["http://zotero.org/users/9207091/items/WAAAFDSC"],"itemData":{"id":3101,"type":"article-journal","abstract":"This paper offers a narrative framework for understanding how multilingual graduate students make sense of the continuous and frequently contradictory talk they engage in as they write. It illustrates how attention to the telling, form, and content of the stories such students relate about their ongoing interactions around academic writing can reveal aspects of the relationship between speaking and composing/revising that are not foregrounded in other approaches to data collection and analysis. Advocating movement beyond a ‘write-talk-revise-(repeat)’ model of L2 writing, the paper draws on Ochs and Capps’ (2001) multidimensional approach, adapting its use to a multilingual context. It then exempliﬁes how this modiﬁed model can be used by analyzing the stories told by one Taiwanese student in a U.S. university about her interactions with teachers, tutors, and peers. Analysis demonstrates how, through the act of storytelling, this student attempts to work through her model of what counts as ‘‘good’’ writing in her English language academic discourse community and to develop a sense of who she is as a multilingual writer. The paper ends with discussion of how a narrative approach provokes several shifts in perspective that serve to complement and extend existing work in the ﬁeld.","container-title":"Journal of Second Language Writing","DOI":"10.1016/j.jslw.2012.05.013","ISSN":"10603743","issue":"3","journalAbbreviation":"Journal of Second Language Writing","language":"en","license":"https://www.elsevier.com/tdm/userlicense/1.0/","page":"221-238","source":"DOI.org (Crossref)","title":"Beyond ‘write-talk-revise-(repeat)’: Using narrative to understand one multilingual student's interactions around writing","title-short":"Beyond ‘write-talk-revise-(repeat)’","volume":"21","author":[{"family":"Pomerantz","given":"Anne"},{"family":"Kearney","given":"Erin"}],"issued":{"date-parts":[["2012",9]]}}},{"id":3232,"uris":["http://zotero.org/users/9207091/items/EJSE9RZH"],"itemData":{"id":3232,"type":"article-journal","abstract":"Abstract\n            Generative artificial intelligence (AI) can create sophisticated textual and multimodal content readily available to students. Writing intensive courses and disciplines that use writing as a major form of assessment are significantly impacted by advancements in generative AI, as the technology has the potential to revolutionize how students write and how they perceive writing as a fundamental literacy skill. However, educators are still at the beginning stage of understanding students’ integration of generative AI in their actual writing process. This study addresses the urgent need to uncover how students engage with ChatGPT throughout different components of their writing processes and their perceptions of the opportunities and challenges of generative AI. Adopting a phenomenological research design, the study explored the writing practices of six students, including both native and nonnative English speakers, in a first-year writing class at a higher education institution in the US. Thematic analysis of students’ written products, self-reflections, and interviews suggests that students utilized ChatGPT for brainstorming and organizing ideas as well as assisting with both global (e.g., argument, structure, coherence) and local issues of writing (e.g., syntax, diction, grammar), while they also had various ethical and practical concerns about the use of ChatGPT. The study brought to front two dilemmas encountered by students in their generative AI-assisted writing: (1) the challenging balance between incorporating AI to enhance writing and maintaining their authentic voice, and (2) the dilemma of weighing the potential loss of learning experiences against the emergence of new learning opportunities accompanying AI integration. These dilemmas highlight the need to rethink learning in an increasingly AI-mediated educational context, emphasizing the importance of fostering students’ critical AI literacy to promote their authorial voice and learning in AI-human collaboration.","container-title":"Technology, Knowledge and Learning","DOI":"10.1007/s10758-024-09744-3","ISSN":"2211-1662, 2211-1670","journalAbbreviation":"Tech Know Learn","language":"en","source":"DOI.org (Crossref)","title":"Exploring students’ generative AI-assisted writing processes: Perceptions and experiences from native and nonnative English speakers","title-short":"Exploring Students’ Generative AI-Assisted Writing Processes","URL":"https://link.springer.com/10.1007/s10758-024-09744-3","author":[{"family":"Wang","given":"Chaoran"}],"accessed":{"date-parts":[["2024",6,3]]},"issued":{"date-parts":[["2024",5,30]]}}},{"id":6,"uris":["http://zotero.org/users/9207091/items/FACQPSQB"],"itemData":{"id":6,"type":"article-journal","abstract":"In this qualitative case study, the researcher explored an early-stage L2 doctoral student’s reflective practice about her supervisor’s feedback on the drafts of her research article and the role of reflection in her academic discourse socialization (ADS) as a researcher and an English academic writer. Data was collected over one and a half year from semi-structured interviews with the student and her supervisor, the student’s drafts with supervisory feedback, informal conversations with the student, the student’s written self-reflection, and observation of the stu­ dent in academic activities. Qualitative and inductive analysis revealed that the supervisorstudent dyad had a shared goal of paper writing, which was to provide the student cognitive skill training for research and academic writing. They also had different goals of paper writing, which characterized the social and negotiated nature of the student’s ADS. Moreover, the student digested feedback through an interactive process of reflection-on-feedback, reflection-in-feedback, and reflection-for-feedback at different stages of writing, showing that reflective practice is indispensable for feedback to serve as useful and readily available resources for writing. Such reflective practice about feedback was found to contribute to the student’s ADS cognitively, emotionally, and socially. The findings provide implications for L2 doctoral supervision, learning and socialization.","container-title":"Journal of English for Academic Purposes","DOI":"10.1016/j.jeap.2023.101215","ISSN":"14751585","journalAbbreviation":"Journal of English for Academic Purposes","language":"en","page":"101215","source":"DOI.org (Crossref)","title":"Supervisory feedback, reflection, and academic discourse socialization: Insights from an L2 doctoral student's paper writing experience","title-short":"Supervisory feedback, reflection, and academic discourse socialization","volume":"62","author":[{"family":"Yang","given":"Min"}],"issued":{"date-parts":[["2023",3]]}}}],"schema":"https://github.com/citation-style-language/schema/raw/master/csl-citation.json"} </w:instrText>
      </w:r>
      <w:r w:rsidRPr="006368A5">
        <w:rPr>
          <w:shd w:val="clear" w:color="auto" w:fill="FFFFFF"/>
        </w:rPr>
        <w:fldChar w:fldCharType="separate"/>
      </w:r>
      <w:r w:rsidRPr="006368A5">
        <w:rPr>
          <w:rFonts w:cs="Times New Roman"/>
        </w:rPr>
        <w:t>(</w:t>
      </w:r>
      <w:proofErr w:type="spellStart"/>
      <w:r w:rsidRPr="006368A5">
        <w:rPr>
          <w:rFonts w:cs="Times New Roman"/>
        </w:rPr>
        <w:t>Kocatepe</w:t>
      </w:r>
      <w:proofErr w:type="spellEnd"/>
      <w:r w:rsidRPr="006368A5">
        <w:rPr>
          <w:rFonts w:cs="Times New Roman"/>
        </w:rPr>
        <w:t>, 2021; Pomerantz &amp; Kearney, 2012; Wang, 2024; Yang, 2023)</w:t>
      </w:r>
      <w:r w:rsidRPr="006368A5">
        <w:rPr>
          <w:shd w:val="clear" w:color="auto" w:fill="FFFFFF"/>
        </w:rPr>
        <w:fldChar w:fldCharType="end"/>
      </w:r>
      <w:r w:rsidRPr="006368A5">
        <w:rPr>
          <w:shd w:val="clear" w:color="auto" w:fill="FFFFFF"/>
        </w:rPr>
        <w:t>,</w:t>
      </w:r>
      <w:r w:rsidRPr="006368A5">
        <w:rPr>
          <w:rFonts w:hint="eastAsia"/>
          <w:shd w:val="clear" w:color="auto" w:fill="FFFFFF"/>
        </w:rPr>
        <w:t xml:space="preserve"> and supervisor or teacher</w:t>
      </w:r>
      <w:r w:rsidRPr="006368A5">
        <w:rPr>
          <w:shd w:val="clear" w:color="auto" w:fill="FFFFFF"/>
        </w:rPr>
        <w:t xml:space="preserve"> </w:t>
      </w:r>
      <w:r w:rsidRPr="006368A5">
        <w:rPr>
          <w:rFonts w:hint="eastAsia"/>
          <w:shd w:val="clear" w:color="auto" w:fill="FFFFFF"/>
        </w:rPr>
        <w:t xml:space="preserve">feedback </w:t>
      </w:r>
      <w:r w:rsidRPr="006368A5">
        <w:rPr>
          <w:shd w:val="clear" w:color="auto" w:fill="FFFFFF"/>
        </w:rPr>
        <w:fldChar w:fldCharType="begin"/>
      </w:r>
      <w:r w:rsidRPr="006368A5">
        <w:rPr>
          <w:shd w:val="clear" w:color="auto" w:fill="FFFFFF"/>
        </w:rPr>
        <w:instrText xml:space="preserve"> ADDIN ZOTERO_ITEM CSL_CITATION {"citationID":"m3U9xzpF","properties":{"formattedCitation":"(Yang, 2023; Y. O. Zhang, 2023)","plainCitation":"(Yang, 2023; Y. O. Zhang, 2023)","dontUpdate":true,"noteIndex":0},"citationItems":[{"id":6,"uris":["http://zotero.org/users/9207091/items/FACQPSQB"],"itemData":{"id":6,"type":"article-journal","abstract":"In this qualitative case study, the researcher explored an early-stage L2 doctoral student’s reflective practice about her supervisor’s feedback on the drafts of her research article and the role of reflection in her academic discourse socialization (ADS) as a researcher and an English academic writer. Data was collected over one and a half year from semi-structured interviews with the student and her supervisor, the student’s drafts with supervisory feedback, informal conversations with the student, the student’s written self-reflection, and observation of the stu­ dent in academic activities. Qualitative and inductive analysis revealed that the supervisorstudent dyad had a shared goal of paper writing, which was to provide the student cognitive skill training for research and academic writing. They also had different goals of paper writing, which characterized the social and negotiated nature of the student’s ADS. Moreover, the student digested feedback through an interactive process of reflection-on-feedback, reflection-in-feedback, and reflection-for-feedback at different stages of writing, showing that reflective practice is indispensable for feedback to serve as useful and readily available resources for writing. Such reflective practice about feedback was found to contribute to the student’s ADS cognitively, emotionally, and socially. The findings provide implications for L2 doctoral supervision, learning and socialization.","container-title":"Journal of English for Academic Purposes","DOI":"10.1016/j.jeap.2023.101215","ISSN":"14751585","journalAbbreviation":"Journal of English for Academic Purposes","language":"en","page":"101215","source":"DOI.org (Crossref)","title":"Supervisory feedback, reflection, and academic discourse socialization: Insights from an L2 doctoral student's paper writing experience","title-short":"Supervisory feedback, reflection, and academic discourse socialization","volume":"62","author":[{"family":"Yang","given":"Min"}],"issued":{"date-parts":[["2023",3]]}}},{"id":2698,"uris":["http://zotero.org/users/9207091/items/BJF53EYT"],"itemData":{"id":2698,"type":"article-journal","abstract":"Knowledge construction at graduate level discursively engages writers in building the connection between disciplinary literature and their authority of individual creation. Existing research often sees this construction as social and dialogic and has widely examined its rhetorical and interac­ tional features within its disciplinary local contexts. However, little attention seems to be drawn to the interplay between the expected presentation of knowledge and students’ actual knowledgemaking. Through detailed discourse and intertextual analyses, this study explores supervisory orientations offered through written feedback and their impact on two L2 students’ restructuring of knowledge in their master’s theses. Findings reveal these students’ incorporation of justifiable, interpretive and intertextually pertinent knowledge as concrete responses to these orientations. The ways they organized their conceptual and intertextual resources were shaped by explicit super­ visory scaffold and how they wished to present a refined self (critical, self-reflexive, credible, socially-grounded) in writing.","container-title":"Journal of English for Academic Purposes","DOI":"10.1016/j.jeap.2023.101246","ISSN":"14751585","journalAbbreviation":"Journal of English for Academic Purposes","language":"en","page":"101246","source":"DOI.org (Crossref)","title":"Tracing development: Feedback orientations and knowledge construction in master's theses","title-short":"Tracing development","volume":"63","author":[{"family":"Zhang","given":"Yan Olivia"}],"issued":{"date-parts":[["2023",5]]}}}],"schema":"https://github.com/citation-style-language/schema/raw/master/csl-citation.json"} </w:instrText>
      </w:r>
      <w:r w:rsidRPr="006368A5">
        <w:rPr>
          <w:shd w:val="clear" w:color="auto" w:fill="FFFFFF"/>
        </w:rPr>
        <w:fldChar w:fldCharType="separate"/>
      </w:r>
      <w:r w:rsidRPr="006368A5">
        <w:rPr>
          <w:rFonts w:cs="Times New Roman"/>
        </w:rPr>
        <w:t>(Yang, 2023; Zhang, 2023)</w:t>
      </w:r>
      <w:r w:rsidRPr="006368A5">
        <w:rPr>
          <w:shd w:val="clear" w:color="auto" w:fill="FFFFFF"/>
        </w:rPr>
        <w:fldChar w:fldCharType="end"/>
      </w:r>
      <w:r w:rsidRPr="006368A5">
        <w:rPr>
          <w:rFonts w:hint="eastAsia"/>
          <w:shd w:val="clear" w:color="auto" w:fill="FFFFFF"/>
        </w:rPr>
        <w:t xml:space="preserve">. Notably, </w:t>
      </w:r>
      <w:r w:rsidRPr="006368A5">
        <w:rPr>
          <w:shd w:val="clear" w:color="auto" w:fill="FFFFFF"/>
        </w:rPr>
        <w:t>the</w:t>
      </w:r>
      <w:r w:rsidRPr="006368A5">
        <w:rPr>
          <w:rFonts w:hint="eastAsia"/>
          <w:shd w:val="clear" w:color="auto" w:fill="FFFFFF"/>
        </w:rPr>
        <w:t xml:space="preserve"> prevalent use of videotaping or think-aloud protocols in the past has </w:t>
      </w:r>
      <w:r w:rsidRPr="006368A5">
        <w:rPr>
          <w:shd w:val="clear" w:color="auto" w:fill="FFFFFF"/>
        </w:rPr>
        <w:t>been</w:t>
      </w:r>
      <w:r w:rsidRPr="006368A5">
        <w:rPr>
          <w:rFonts w:hint="eastAsia"/>
          <w:shd w:val="clear" w:color="auto" w:fill="FFFFFF"/>
        </w:rPr>
        <w:t xml:space="preserve"> replaced by technologically advanced methods</w:t>
      </w:r>
      <w:r w:rsidRPr="006368A5">
        <w:rPr>
          <w:shd w:val="clear" w:color="auto" w:fill="FFFFFF"/>
        </w:rPr>
        <w:t>,</w:t>
      </w:r>
      <w:r w:rsidRPr="006368A5">
        <w:rPr>
          <w:rFonts w:hint="eastAsia"/>
          <w:shd w:val="clear" w:color="auto" w:fill="FFFFFF"/>
        </w:rPr>
        <w:t xml:space="preserve"> such as </w:t>
      </w:r>
      <w:r w:rsidRPr="006368A5">
        <w:rPr>
          <w:shd w:val="clear" w:color="auto" w:fill="FFFFFF"/>
        </w:rPr>
        <w:t>screen recordings</w:t>
      </w:r>
      <w:r w:rsidRPr="006368A5">
        <w:rPr>
          <w:rFonts w:hint="eastAsia"/>
          <w:shd w:val="clear" w:color="auto" w:fill="FFFFFF"/>
        </w:rPr>
        <w:t xml:space="preserve">, keystroke logging, and </w:t>
      </w:r>
      <w:r w:rsidRPr="006368A5">
        <w:rPr>
          <w:shd w:val="clear" w:color="auto" w:fill="FFFFFF"/>
        </w:rPr>
        <w:t>eye tracking</w:t>
      </w:r>
      <w:r w:rsidRPr="006368A5">
        <w:rPr>
          <w:rFonts w:hint="eastAsia"/>
          <w:shd w:val="clear" w:color="auto" w:fill="FFFFFF"/>
        </w:rPr>
        <w:t xml:space="preserve"> to observe writing processes in real time </w:t>
      </w:r>
      <w:r w:rsidRPr="006368A5">
        <w:rPr>
          <w:shd w:val="clear" w:color="auto" w:fill="FFFFFF"/>
        </w:rPr>
        <w:t>unobtrusively</w:t>
      </w:r>
      <w:r w:rsidRPr="006368A5">
        <w:rPr>
          <w:rFonts w:hint="eastAsia"/>
          <w:shd w:val="clear" w:color="auto" w:fill="FFFFFF"/>
        </w:rPr>
        <w:t xml:space="preserve"> </w:t>
      </w:r>
      <w:r w:rsidRPr="006368A5">
        <w:rPr>
          <w:shd w:val="clear" w:color="auto" w:fill="FFFFFF"/>
        </w:rPr>
        <w:fldChar w:fldCharType="begin"/>
      </w:r>
      <w:r w:rsidRPr="006368A5">
        <w:rPr>
          <w:shd w:val="clear" w:color="auto" w:fill="FFFFFF"/>
        </w:rPr>
        <w:instrText xml:space="preserve"> ADDIN ZOTERO_ITEM CSL_CITATION {"citationID":"5eMOCtjx","properties":{"formattedCitation":"(Kessler, 2020; Michel et al., 2020; Overstreet et al., 2023)","plainCitation":"(Kessler, 2020; Michel et al., 2020; Overstreet et al., 2023)","dontUpdate":true,"noteIndex":0},"citationItems":[{"id":100,"uris":["http://zotero.org/users/9207091/items/R4GMMH96"],"itemData":{"id":100,"type":"article-journal","abstract":"Despite the sizable body of research investigating L2 learners’ technology use and/or digital composition practices, scholars have noted that such studies have been predominately researcher-led intervention studies as opposed to descriptive, qualitative accounts that investigate learner-initiated technology use. To better understand existing learner practices surrounding digital composition, this study uses a case study design to explore two, Chinese L2 English writers as they compose assignments during their ﬁrst semesters as doctoral students in an Applied Linguistics and Teacher Education program, respectively. An Activity Theory (Engeström, 1987, 1999) framework is utilized to investigate students’ writing strategies in general, but particular emphasis is given to writers’ personal, artifact/tool-mediated uses of technology to assist in their writing. Data sources consist of: artifacts such as course syllabi and students’ writings; process logs; screen-recordings of students’ real-time writing; and also, semi-structured interviews and stimulated recalls. Findings show that students’ writing processes were inﬂuenced by numerous factors, which were rule, community-, and artifact-mediated. The artifact-mediated strategies are discussed in relation to three categories that emerged from the data, including: (1) multimodal strategies; (2) tool-mediated strategies for content development; and (3) tool-mediated strategies for language development. Pedagogical implications of writersö artifact-mediated strategies involving technological tools are discussed.","container-title":"Computers and Composition","DOI":"10.1016/j.compcom.2020.102542","ISSN":"87554615","journalAbbreviation":"Computers and Composition","language":"en","page":"102542","source":"DOI.org (Crossref)","title":"Technology-mediated writing: Exploring incoming graduate students’ L2 writing strategies with Activity Theory","title-short":"Technology-Mediated Writing","volume":"55","author":[{"family":"Kessler","given":"Matt"}],"issued":{"date-parts":[["2020",3]]}}},{"id":879,"uris":["http://zotero.org/users/9207091/items/3BDQRU73"],"itemData":{"id":879,"type":"article-journal","abstract":"Most research into second language (L2) writing has focused on the products of writing tasks; much less empirical work has examined the behaviours in which L2 writers engage and the cognitive processes that underlie writing behaviours. We aimed to fill this gap by investigating the extent to which writing speed fluency, pausing, eye-gaze behaviours and the cognitive processes associated with pausing may vary across independent and integrated tasks throughout the whole, and at five different stages, of the writing process. Sixty L2 writers performed two independent and two integrated TOEFL iBT writing tasks counterbalanced across participants. While writing, we logged participants’ keystrokes and captured their eye-movements. Participants took part in a stimulated recall interview based on the last task they had completed. Mixed effects regressions and qualitative analyses revealed that, apart from source use on the integrated task, L2 writers engaged in similar writing behaviours and cognitive processes during the independent and integrated tasks. The integrated task, however, elicited more dynamic and varied behaviours and cognitive processes across writing stages. Adopting a mixed-methods approach enabled us to gain more complete and specific insights than using a single method.","container-title":"Second Language Research","DOI":"10.1177/0267658320915501","ISSN":"0267-6583, 1477-0326","issue":"3","journalAbbreviation":"Second Language Research","language":"en","page":"307-334","source":"DOI.org (Crossref)","title":"Investigating L2 writing processes across independent and integrated tasks: A mixed-methods study","title-short":"Investigating L2 writing processes across independent and integrated tasks","volume":"36","author":[{"family":"Michel","given":"Marije"},{"family":"Révész","given":"Andrea"},{"family":"Lu","given":"Xiaojun"},{"family":"Kourtali","given":"Nektaria-Efstathia"},{"family":"Lee","given":"Minjin"},{"family":"Borges","given":"Lais"}],"issued":{"date-parts":[["2020",7]]}}},{"id":3143,"uris":["http://zotero.org/users/9207091/items/782Z39CM"],"itemData":{"id":3143,"type":"article-journal","abstract":"This article responds to calls to better understand the digital literacy practices of second and foreign-language writers. Researchers followed two Arab undergraduates as they completed a research writing task in a first-year writing course, tracing how these students used common digital resources, particularly digital 1) research tools, 2) writing tools and 3) course materials. Via screen-capture and regular interview sessions the participants’ research and writing activity was observed over a period of five weeks. To understand the resulting data, Vygotskian notions of mediation were combined with writing as extended mind, a recently introduced theoretical program that emphasizes the distributed nature of cognition. Study participants were found to deploy a wide range of digital resources, often in complex and creative ways. We identify two distinct mediation profiles that we argue mark two distinct approaches to research writing: a relatively brain-bound approach, which uses external resources primarily to structure internal cognitive function, and a more extended approach, which offloads a higher degree of cognitive function to the writer’s environment. These findings offer unique insight into the digital literacy practices of an understudied student population. They also raise important questions about how best to teach writing in a digital age.","container-title":"Journal of Second Language Writing","DOI":"10.1016/j.jslw.2023.101019","ISSN":"10603743","journalAbbreviation":"Journal of Second Language Writing","language":"en","page":"101019","source":"DOI.org (Crossref)","title":"Brain-bound vs. extended: Contrasting approaches to second-language research writing in digital environments","title-short":"Brain-bound vs. extended","volume":"61","author":[{"family":"Overstreet","given":"Matthew"},{"family":"Akhmedjanova","given":"Diana"},{"family":"Vaccino-Salvadore","given":"Silvia"}],"issued":{"date-parts":[["2023",9]]}}}],"schema":"https://github.com/citation-style-language/schema/raw/master/csl-citation.json"} </w:instrText>
      </w:r>
      <w:r w:rsidRPr="006368A5">
        <w:rPr>
          <w:shd w:val="clear" w:color="auto" w:fill="FFFFFF"/>
        </w:rPr>
        <w:fldChar w:fldCharType="separate"/>
      </w:r>
      <w:r w:rsidRPr="006368A5">
        <w:rPr>
          <w:rFonts w:cs="Times New Roman"/>
        </w:rPr>
        <w:t>(see Kessler, 2020; Michel et al., 2020; Overstreet et al., 2023)</w:t>
      </w:r>
      <w:r w:rsidRPr="006368A5">
        <w:rPr>
          <w:shd w:val="clear" w:color="auto" w:fill="FFFFFF"/>
        </w:rPr>
        <w:fldChar w:fldCharType="end"/>
      </w:r>
      <w:r w:rsidRPr="006368A5">
        <w:rPr>
          <w:rFonts w:hint="eastAsia"/>
          <w:shd w:val="clear" w:color="auto" w:fill="FFFFFF"/>
        </w:rPr>
        <w:t xml:space="preserve">. </w:t>
      </w:r>
    </w:p>
    <w:p w14:paraId="4E5325DE" w14:textId="77777777" w:rsidR="00E027AC" w:rsidRPr="006368A5" w:rsidRDefault="00E027AC" w:rsidP="00E027AC">
      <w:pPr>
        <w:pStyle w:val="L2JBody"/>
        <w:rPr>
          <w:shd w:val="clear" w:color="auto" w:fill="FFFFFF"/>
        </w:rPr>
      </w:pPr>
    </w:p>
    <w:p w14:paraId="5499245E" w14:textId="77777777" w:rsidR="00E027AC" w:rsidRDefault="00E027AC" w:rsidP="00E027AC">
      <w:pPr>
        <w:pStyle w:val="L2JH2"/>
        <w:rPr>
          <w:shd w:val="clear" w:color="auto" w:fill="FFFFFF"/>
        </w:rPr>
      </w:pPr>
      <w:r w:rsidRPr="006368A5">
        <w:rPr>
          <w:shd w:val="clear" w:color="auto" w:fill="FFFFFF"/>
        </w:rPr>
        <w:t xml:space="preserve">RQ 4: Key Thematized Research Findings on </w:t>
      </w:r>
      <w:r w:rsidRPr="006368A5">
        <w:rPr>
          <w:rFonts w:hint="eastAsia"/>
          <w:shd w:val="clear" w:color="auto" w:fill="FFFFFF"/>
        </w:rPr>
        <w:t xml:space="preserve">Synthesis </w:t>
      </w:r>
      <w:r w:rsidRPr="006368A5">
        <w:rPr>
          <w:shd w:val="clear" w:color="auto" w:fill="FFFFFF"/>
        </w:rPr>
        <w:t>W</w:t>
      </w:r>
      <w:r w:rsidRPr="006368A5">
        <w:rPr>
          <w:rFonts w:hint="eastAsia"/>
          <w:shd w:val="clear" w:color="auto" w:fill="FFFFFF"/>
        </w:rPr>
        <w:t>riting</w:t>
      </w:r>
    </w:p>
    <w:p w14:paraId="7C1B29F8" w14:textId="77777777" w:rsidR="00E027AC" w:rsidRPr="00E027AC" w:rsidRDefault="00E027AC" w:rsidP="00E027AC">
      <w:pPr>
        <w:pStyle w:val="L2JH3"/>
      </w:pPr>
    </w:p>
    <w:p w14:paraId="1214FEAC" w14:textId="0B9C093D" w:rsidR="00E027AC" w:rsidRPr="00E027AC" w:rsidRDefault="00E027AC" w:rsidP="00E027AC">
      <w:pPr>
        <w:pStyle w:val="L2JH3"/>
      </w:pPr>
      <w:r w:rsidRPr="00E027AC">
        <w:t>Source Use and Integration</w:t>
      </w:r>
      <w:bookmarkStart w:id="5" w:name="_Hlk108722377"/>
    </w:p>
    <w:p w14:paraId="2AC34368" w14:textId="77777777" w:rsidR="00E027AC" w:rsidRDefault="00E027AC" w:rsidP="00E027AC">
      <w:pPr>
        <w:pStyle w:val="L2JBody"/>
        <w:ind w:firstLine="0"/>
        <w:rPr>
          <w:shd w:val="clear" w:color="auto" w:fill="FFFFFF"/>
        </w:rPr>
      </w:pPr>
    </w:p>
    <w:p w14:paraId="4A7ABBC4" w14:textId="0DCA73A5" w:rsidR="00E027AC" w:rsidRDefault="00E027AC" w:rsidP="00E027AC">
      <w:pPr>
        <w:pStyle w:val="L2JBody"/>
        <w:ind w:firstLine="0"/>
      </w:pPr>
      <w:r w:rsidRPr="006368A5">
        <w:rPr>
          <w:rFonts w:hint="eastAsia"/>
          <w:shd w:val="clear" w:color="auto" w:fill="FFFFFF"/>
        </w:rPr>
        <w:t xml:space="preserve">The two most extensively researched areas in synthesis writing are </w:t>
      </w:r>
      <w:bookmarkStart w:id="6" w:name="_Hlk108722459"/>
      <w:bookmarkEnd w:id="5"/>
      <w:r w:rsidRPr="006368A5">
        <w:t>source use</w:t>
      </w:r>
      <w:r w:rsidRPr="006368A5">
        <w:rPr>
          <w:rFonts w:hint="eastAsia"/>
        </w:rPr>
        <w:t xml:space="preserve"> and integration. A significant number of studies </w:t>
      </w:r>
      <w:r w:rsidRPr="006368A5">
        <w:rPr>
          <w:rFonts w:hint="eastAsia"/>
          <w:shd w:val="clear" w:color="auto" w:fill="FFFFFF"/>
        </w:rPr>
        <w:t>(</w:t>
      </w:r>
      <w:r w:rsidRPr="006368A5">
        <w:rPr>
          <w:shd w:val="clear" w:color="auto" w:fill="FFFFFF"/>
        </w:rPr>
        <w:t>n=</w:t>
      </w:r>
      <w:r w:rsidRPr="006368A5">
        <w:rPr>
          <w:rFonts w:hint="eastAsia"/>
          <w:shd w:val="clear" w:color="auto" w:fill="FFFFFF"/>
        </w:rPr>
        <w:t xml:space="preserve">21, 23%) </w:t>
      </w:r>
      <w:r w:rsidRPr="006368A5">
        <w:t>were designed to examine</w:t>
      </w:r>
      <w:r w:rsidRPr="006368A5">
        <w:rPr>
          <w:rFonts w:hint="eastAsia"/>
        </w:rPr>
        <w:t xml:space="preserve"> </w:t>
      </w:r>
      <w:r w:rsidRPr="006368A5">
        <w:t xml:space="preserve">(a) </w:t>
      </w:r>
      <w:r w:rsidRPr="006368A5">
        <w:rPr>
          <w:rFonts w:hint="eastAsia"/>
        </w:rPr>
        <w:t xml:space="preserve">how writers </w:t>
      </w:r>
      <w:r w:rsidRPr="006368A5">
        <w:t xml:space="preserve">incorporate the research materials </w:t>
      </w:r>
      <w:r w:rsidRPr="006368A5">
        <w:rPr>
          <w:rFonts w:hint="eastAsia"/>
        </w:rPr>
        <w:t xml:space="preserve">that </w:t>
      </w:r>
      <w:r w:rsidRPr="006368A5">
        <w:t>they have gathered</w:t>
      </w:r>
      <w:r w:rsidRPr="006368A5">
        <w:rPr>
          <w:rFonts w:hint="eastAsia"/>
        </w:rPr>
        <w:t xml:space="preserve"> and (b) </w:t>
      </w:r>
      <w:r w:rsidRPr="006368A5">
        <w:t>how they merge, combine, or blend these materials</w:t>
      </w:r>
      <w:r w:rsidRPr="006368A5">
        <w:rPr>
          <w:rFonts w:hint="eastAsia"/>
        </w:rPr>
        <w:t xml:space="preserve"> into </w:t>
      </w:r>
      <w:r w:rsidRPr="006368A5">
        <w:t xml:space="preserve">the </w:t>
      </w:r>
      <w:r w:rsidRPr="006368A5">
        <w:rPr>
          <w:rFonts w:hint="eastAsia"/>
        </w:rPr>
        <w:t>text</w:t>
      </w:r>
      <w:r w:rsidRPr="006368A5">
        <w:t xml:space="preserve"> </w:t>
      </w:r>
      <w:bookmarkEnd w:id="6"/>
      <w:r w:rsidRPr="006368A5">
        <w:rPr>
          <w:rFonts w:hint="eastAsia"/>
        </w:rPr>
        <w:t xml:space="preserve">using citations (e.g., </w:t>
      </w:r>
      <w:r w:rsidRPr="006368A5">
        <w:t>paraphrasing, summarizing, and quoting</w:t>
      </w:r>
      <w:r w:rsidRPr="006368A5">
        <w:rPr>
          <w:rFonts w:hint="eastAsia"/>
        </w:rPr>
        <w:t>).</w:t>
      </w:r>
      <w:r w:rsidRPr="006368A5">
        <w:t xml:space="preserve"> </w:t>
      </w:r>
      <w:r w:rsidRPr="006368A5">
        <w:rPr>
          <w:rFonts w:hint="eastAsia"/>
        </w:rPr>
        <w:t xml:space="preserve">Brief summaries of four example studies </w:t>
      </w:r>
      <w:r w:rsidRPr="006368A5">
        <w:t>appear</w:t>
      </w:r>
      <w:r w:rsidRPr="006368A5">
        <w:rPr>
          <w:rFonts w:hint="eastAsia"/>
        </w:rPr>
        <w:t xml:space="preserve"> in Table </w:t>
      </w:r>
      <w:r w:rsidRPr="006368A5">
        <w:t>5</w:t>
      </w:r>
      <w:r w:rsidRPr="006368A5">
        <w:rPr>
          <w:rFonts w:hint="eastAsia"/>
        </w:rPr>
        <w:t xml:space="preserve">, </w:t>
      </w:r>
      <w:r w:rsidRPr="006368A5">
        <w:t xml:space="preserve">then </w:t>
      </w:r>
      <w:r w:rsidRPr="006368A5">
        <w:rPr>
          <w:rFonts w:hint="eastAsia"/>
        </w:rPr>
        <w:t>elaborated below.</w:t>
      </w:r>
    </w:p>
    <w:p w14:paraId="60A36E04" w14:textId="77777777" w:rsidR="00E027AC" w:rsidRPr="006368A5" w:rsidRDefault="00E027AC" w:rsidP="00E027AC">
      <w:pPr>
        <w:pStyle w:val="L2JBody"/>
        <w:ind w:firstLine="0"/>
      </w:pPr>
    </w:p>
    <w:p w14:paraId="61821948" w14:textId="77777777" w:rsidR="00E027AC" w:rsidRDefault="00E027AC" w:rsidP="00E027AC">
      <w:pPr>
        <w:pStyle w:val="L2JFigureCallOut"/>
        <w:rPr>
          <w:shd w:val="clear" w:color="auto" w:fill="FFFFFF"/>
        </w:rPr>
      </w:pPr>
      <w:r w:rsidRPr="006368A5">
        <w:rPr>
          <w:shd w:val="clear" w:color="auto" w:fill="FFFFFF"/>
        </w:rPr>
        <w:t>Table 5</w:t>
      </w:r>
    </w:p>
    <w:p w14:paraId="02FCDFAD" w14:textId="77777777" w:rsidR="00E027AC" w:rsidRPr="006368A5" w:rsidRDefault="00E027AC" w:rsidP="00E027AC">
      <w:pPr>
        <w:pStyle w:val="L2JFigureCallOut"/>
        <w:rPr>
          <w:shd w:val="clear" w:color="auto" w:fill="FFFFFF"/>
        </w:rPr>
      </w:pPr>
    </w:p>
    <w:p w14:paraId="5710B925" w14:textId="77777777" w:rsidR="00E027AC" w:rsidRDefault="00E027AC" w:rsidP="00E027AC">
      <w:pPr>
        <w:pStyle w:val="L2JFigureTitle"/>
        <w:rPr>
          <w:shd w:val="clear" w:color="auto" w:fill="FFFFFF"/>
        </w:rPr>
      </w:pPr>
      <w:r w:rsidRPr="006368A5">
        <w:rPr>
          <w:shd w:val="clear" w:color="auto" w:fill="FFFFFF"/>
        </w:rPr>
        <w:t xml:space="preserve">Example </w:t>
      </w:r>
      <w:r w:rsidRPr="006368A5">
        <w:rPr>
          <w:rFonts w:hint="eastAsia"/>
          <w:shd w:val="clear" w:color="auto" w:fill="FFFFFF"/>
        </w:rPr>
        <w:t>S</w:t>
      </w:r>
      <w:r w:rsidRPr="006368A5">
        <w:rPr>
          <w:shd w:val="clear" w:color="auto" w:fill="FFFFFF"/>
        </w:rPr>
        <w:t xml:space="preserve">tudies on </w:t>
      </w:r>
      <w:r w:rsidRPr="006368A5">
        <w:rPr>
          <w:rFonts w:hint="eastAsia"/>
          <w:shd w:val="clear" w:color="auto" w:fill="FFFFFF"/>
        </w:rPr>
        <w:t>S</w:t>
      </w:r>
      <w:r w:rsidRPr="006368A5">
        <w:rPr>
          <w:shd w:val="clear" w:color="auto" w:fill="FFFFFF"/>
        </w:rPr>
        <w:t>ource</w:t>
      </w:r>
      <w:r w:rsidRPr="006368A5">
        <w:rPr>
          <w:rFonts w:hint="eastAsia"/>
          <w:shd w:val="clear" w:color="auto" w:fill="FFFFFF"/>
        </w:rPr>
        <w:t xml:space="preserve"> U</w:t>
      </w:r>
      <w:r w:rsidRPr="006368A5">
        <w:rPr>
          <w:shd w:val="clear" w:color="auto" w:fill="FFFFFF"/>
        </w:rPr>
        <w:t xml:space="preserve">se and </w:t>
      </w:r>
      <w:r w:rsidRPr="006368A5">
        <w:rPr>
          <w:rFonts w:hint="eastAsia"/>
          <w:shd w:val="clear" w:color="auto" w:fill="FFFFFF"/>
        </w:rPr>
        <w:t>I</w:t>
      </w:r>
      <w:r w:rsidRPr="006368A5">
        <w:rPr>
          <w:shd w:val="clear" w:color="auto" w:fill="FFFFFF"/>
        </w:rPr>
        <w:t>ntegration</w:t>
      </w:r>
    </w:p>
    <w:p w14:paraId="7D796C23" w14:textId="77777777" w:rsidR="00E027AC" w:rsidRPr="00E027AC" w:rsidRDefault="00E027AC" w:rsidP="00E027AC">
      <w:pPr>
        <w:pStyle w:val="L2JFigureTitle"/>
        <w:rPr>
          <w:shd w:val="clear" w:color="auto" w:fill="FFFFFF"/>
        </w:rPr>
      </w:pPr>
    </w:p>
    <w:tbl>
      <w:tblPr>
        <w:tblStyle w:val="TableGrid"/>
        <w:tblW w:w="0" w:type="auto"/>
        <w:tblLook w:val="04A0" w:firstRow="1" w:lastRow="0" w:firstColumn="1" w:lastColumn="0" w:noHBand="0" w:noVBand="1"/>
      </w:tblPr>
      <w:tblGrid>
        <w:gridCol w:w="4319"/>
        <w:gridCol w:w="4321"/>
      </w:tblGrid>
      <w:tr w:rsidR="00E027AC" w:rsidRPr="00E027AC" w14:paraId="4CD102E4" w14:textId="77777777" w:rsidTr="00924822">
        <w:tc>
          <w:tcPr>
            <w:tcW w:w="4676" w:type="dxa"/>
            <w:tcBorders>
              <w:left w:val="nil"/>
              <w:right w:val="nil"/>
            </w:tcBorders>
          </w:tcPr>
          <w:p w14:paraId="379BA00D"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Study on source use and integration</w:t>
            </w:r>
          </w:p>
          <w:p w14:paraId="6857E3DE" w14:textId="77777777" w:rsidR="00E027AC" w:rsidRPr="00E027AC" w:rsidRDefault="00E027AC" w:rsidP="00924822">
            <w:pPr>
              <w:rPr>
                <w:rFonts w:ascii="Garamond" w:hAnsi="Garamond"/>
                <w:sz w:val="24"/>
                <w:szCs w:val="24"/>
                <w:shd w:val="clear" w:color="auto" w:fill="FFFFFF"/>
              </w:rPr>
            </w:pPr>
          </w:p>
        </w:tc>
        <w:tc>
          <w:tcPr>
            <w:tcW w:w="4676" w:type="dxa"/>
            <w:tcBorders>
              <w:left w:val="nil"/>
              <w:right w:val="nil"/>
            </w:tcBorders>
          </w:tcPr>
          <w:p w14:paraId="0ECDB0FD"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Specific focus</w:t>
            </w:r>
          </w:p>
          <w:p w14:paraId="040B9EA0" w14:textId="77777777" w:rsidR="00E027AC" w:rsidRPr="00E027AC" w:rsidRDefault="00E027AC" w:rsidP="00924822">
            <w:pPr>
              <w:rPr>
                <w:rFonts w:ascii="Garamond" w:hAnsi="Garamond"/>
                <w:sz w:val="24"/>
                <w:szCs w:val="24"/>
                <w:shd w:val="clear" w:color="auto" w:fill="FFFFFF"/>
              </w:rPr>
            </w:pPr>
          </w:p>
        </w:tc>
      </w:tr>
      <w:tr w:rsidR="00E027AC" w:rsidRPr="00E027AC" w14:paraId="600CAA23" w14:textId="77777777" w:rsidTr="00924822">
        <w:tc>
          <w:tcPr>
            <w:tcW w:w="4676" w:type="dxa"/>
            <w:tcBorders>
              <w:left w:val="nil"/>
              <w:bottom w:val="nil"/>
              <w:right w:val="nil"/>
            </w:tcBorders>
          </w:tcPr>
          <w:p w14:paraId="0968C976" w14:textId="77777777" w:rsidR="00E027AC" w:rsidRPr="00E027AC" w:rsidRDefault="00E027AC" w:rsidP="00924822">
            <w:pPr>
              <w:rPr>
                <w:rFonts w:ascii="Garamond" w:eastAsia="Malgun Gothic" w:hAnsi="Garamond" w:cs="Times New Roman"/>
                <w:sz w:val="24"/>
                <w:szCs w:val="24"/>
              </w:rPr>
            </w:pPr>
            <w:r w:rsidRPr="00E027AC">
              <w:rPr>
                <w:rFonts w:ascii="Garamond" w:eastAsia="Malgun Gothic" w:hAnsi="Garamond" w:cs="Times New Roman"/>
                <w:sz w:val="24"/>
                <w:szCs w:val="24"/>
              </w:rPr>
              <w:fldChar w:fldCharType="begin"/>
            </w:r>
            <w:r w:rsidRPr="00E027AC">
              <w:rPr>
                <w:rFonts w:ascii="Garamond" w:eastAsia="Malgun Gothic" w:hAnsi="Garamond" w:cs="Times New Roman"/>
                <w:sz w:val="24"/>
                <w:szCs w:val="24"/>
              </w:rPr>
              <w:instrText xml:space="preserve"> ADDIN ZOTERO_ITEM CSL_CITATION {"citationID":"GlVHUZCH","properties":{"formattedCitation":"(Doolan, 2021)","plainCitation":"(Doolan, 2021)","dontUpdate":true,"noteIndex":0},"citationItems":[{"id":169,"uris":["http://zotero.org/users/9207091/items/DI7W7GMP"],"itemData":{"id":169,"type":"article-journal","abstract":"Post-secondary students across the curriculum are commonly required to integrate source text material into their academic writing. While writing from multiple sources occurs frequently in higher education (Rosenfeld et al., 2001) and is a cognitively demanding task, few studies have investigated the types of source integration used by L1 and L2 writers entering post-secondary, ﬁrst-year composition (Cumming et al., 2016). This study compares L1 and L2 in-class writing from multiple sources to quantitatively investigate similarities and differences in (1) use of various types of source integration (e.g., citations, paraphrases, direct quotes), and (2) use of ideational units. The writing was also analyzed qualitatively to follow up on select patterns from the quantitative ﬁndings. Results indicated that despite lower holistic writing quality scores, the L2 writing, in certain respects, demonstrated more responsible use of various types of source integration compared to L1 writing. The analysis also revealed very low frequencies of synthesis writing for both L1 and L2 writing. Finally, the ﬁndings are discussed as they relate to simpliﬁed versus elaborative integration of source material in student writing.","container-title":"English for Specific Purposes","DOI":"10.1016/j.esp.2021.01.003","ISSN":"08894906","journalAbbreviation":"English for Specific Purposes","language":"en","page":"128-141","source":"DOI.org (Crossref)","title":"An exploratory analysis of source integration in post-secondary L1 and L2 source-based writing","volume":"62","author":[{"family":"Doolan","given":"Stephen M."}],"issued":{"date-parts":[["2021",4]]}}}],"schema":"https://github.com/citation-style-language/schema/raw/master/csl-citation.json"} </w:instrText>
            </w:r>
            <w:r w:rsidRPr="00E027AC">
              <w:rPr>
                <w:rFonts w:ascii="Garamond" w:eastAsia="Malgun Gothic" w:hAnsi="Garamond" w:cs="Times New Roman"/>
                <w:sz w:val="24"/>
                <w:szCs w:val="24"/>
              </w:rPr>
              <w:fldChar w:fldCharType="separate"/>
            </w:r>
            <w:r w:rsidRPr="00E027AC">
              <w:rPr>
                <w:rFonts w:ascii="Garamond" w:hAnsi="Garamond" w:cs="Times New Roman"/>
                <w:sz w:val="24"/>
              </w:rPr>
              <w:t>Doolan (2021)</w:t>
            </w:r>
            <w:r w:rsidRPr="00E027AC">
              <w:rPr>
                <w:rFonts w:ascii="Garamond" w:eastAsia="Malgun Gothic" w:hAnsi="Garamond" w:cs="Times New Roman"/>
                <w:sz w:val="24"/>
                <w:szCs w:val="24"/>
              </w:rPr>
              <w:fldChar w:fldCharType="end"/>
            </w:r>
          </w:p>
          <w:p w14:paraId="1405652C" w14:textId="77777777" w:rsidR="00E027AC" w:rsidRPr="00E027AC" w:rsidRDefault="00E027AC" w:rsidP="00924822">
            <w:pPr>
              <w:rPr>
                <w:rFonts w:ascii="Garamond" w:eastAsia="Malgun Gothic" w:hAnsi="Garamond" w:cs="Times New Roman"/>
                <w:sz w:val="24"/>
                <w:szCs w:val="24"/>
              </w:rPr>
            </w:pPr>
          </w:p>
        </w:tc>
        <w:tc>
          <w:tcPr>
            <w:tcW w:w="4676" w:type="dxa"/>
            <w:tcBorders>
              <w:left w:val="nil"/>
              <w:bottom w:val="nil"/>
              <w:right w:val="nil"/>
            </w:tcBorders>
          </w:tcPr>
          <w:p w14:paraId="2E071064"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L1 and L2 writers’ source integration</w:t>
            </w:r>
          </w:p>
        </w:tc>
      </w:tr>
      <w:tr w:rsidR="00E027AC" w:rsidRPr="00E027AC" w14:paraId="63AFDB5C" w14:textId="77777777" w:rsidTr="00924822">
        <w:tc>
          <w:tcPr>
            <w:tcW w:w="4676" w:type="dxa"/>
            <w:tcBorders>
              <w:top w:val="nil"/>
              <w:left w:val="nil"/>
              <w:bottom w:val="nil"/>
              <w:right w:val="nil"/>
            </w:tcBorders>
          </w:tcPr>
          <w:p w14:paraId="60E7EA70"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fldChar w:fldCharType="begin"/>
            </w:r>
            <w:r w:rsidRPr="00E027AC">
              <w:rPr>
                <w:rFonts w:ascii="Garamond" w:hAnsi="Garamond"/>
                <w:sz w:val="24"/>
                <w:szCs w:val="24"/>
                <w:shd w:val="clear" w:color="auto" w:fill="FFFFFF"/>
              </w:rPr>
              <w:instrText xml:space="preserve"> ADDIN ZOTERO_ITEM CSL_CITATION {"citationID":"gNae2Qk0","properties":{"formattedCitation":"(J. J. Lee et al., 2018)","plainCitation":"(J. J. Lee et al., 2018)","dontUpdate":true,"noteIndex":0},"citationItems":[{"id":939,"uris":["http://zotero.org/users/9207091/items/3DYSQAY4"],"itemData":{"id":939,"type":"article-journal","abstract":"This study reports ﬁndings of an analysis of the citation practices of L2 undergraduate students in the context of ﬁrst-year writing (FYW). Data consist of a corpus of 100 sourcebased research papers written by L2 students in a FYW course. Taking a multi-perspective analytical approach, we examine L2 undergraduate students' citation practices in terms of surface forms, rhetorical functions, and writer stance. Results indicate that L2 students use a restricted range of reporting structures, and they primarily use sources for attribution function to display their knowledge of the topics. Furthermore, as opposed to taking a strong positive or negative position, the ﬁndings show that L2 student writers mainly adopt a non-committal stance by merely acknowledging or distancing themselves from cited materials, suggesting that L2 students are inclined to show deference to the perceived authority of published sources. We conclude with pedagogical options for enhancing L2 university students' citation practices.","container-title":"Journal of English for Academic Purposes","DOI":"10.1016/j.jeap.2018.01.001","ISSN":"14751585","journalAbbreviation":"Journal of English for Academic Purposes","language":"en","page":"1-11","source":"DOI.org (Crossref)","title":"Citation practices of L2 university students in first-year writing: Form, function, and stance","title-short":"Citation practices of L2 university students in first-year writing","volume":"33","author":[{"family":"Lee","given":"Joseph J."},{"family":"Hitchcock","given":"Chris"},{"family":"Elliott Casal","given":"J."}],"issued":{"date-parts":[["2018",5]]}}}],"schema":"https://github.com/citation-style-language/schema/raw/master/csl-citation.json"} </w:instrText>
            </w:r>
            <w:r w:rsidRPr="00E027AC">
              <w:rPr>
                <w:rFonts w:ascii="Garamond" w:hAnsi="Garamond"/>
                <w:sz w:val="24"/>
                <w:szCs w:val="24"/>
                <w:shd w:val="clear" w:color="auto" w:fill="FFFFFF"/>
              </w:rPr>
              <w:fldChar w:fldCharType="separate"/>
            </w:r>
            <w:r w:rsidRPr="00E027AC">
              <w:rPr>
                <w:rFonts w:ascii="Garamond" w:hAnsi="Garamond" w:cs="Times New Roman"/>
                <w:sz w:val="24"/>
              </w:rPr>
              <w:t>Lee et al. (2018)</w:t>
            </w:r>
            <w:r w:rsidRPr="00E027AC">
              <w:rPr>
                <w:rFonts w:ascii="Garamond" w:hAnsi="Garamond"/>
                <w:sz w:val="24"/>
                <w:szCs w:val="24"/>
                <w:shd w:val="clear" w:color="auto" w:fill="FFFFFF"/>
              </w:rPr>
              <w:fldChar w:fldCharType="end"/>
            </w:r>
          </w:p>
          <w:p w14:paraId="3C19AFD7" w14:textId="77777777" w:rsidR="00E027AC" w:rsidRPr="00E027AC" w:rsidRDefault="00E027AC" w:rsidP="00924822">
            <w:pPr>
              <w:rPr>
                <w:rFonts w:ascii="Garamond" w:eastAsia="Malgun Gothic" w:hAnsi="Garamond" w:cs="Times New Roman"/>
                <w:sz w:val="24"/>
                <w:szCs w:val="24"/>
              </w:rPr>
            </w:pPr>
          </w:p>
        </w:tc>
        <w:tc>
          <w:tcPr>
            <w:tcW w:w="4676" w:type="dxa"/>
            <w:tcBorders>
              <w:top w:val="nil"/>
              <w:left w:val="nil"/>
              <w:bottom w:val="nil"/>
              <w:right w:val="nil"/>
            </w:tcBorders>
          </w:tcPr>
          <w:p w14:paraId="407BAD30"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lastRenderedPageBreak/>
              <w:t>Stance, form, and function of source use</w:t>
            </w:r>
          </w:p>
        </w:tc>
      </w:tr>
      <w:tr w:rsidR="00E027AC" w:rsidRPr="00E027AC" w14:paraId="076220C2" w14:textId="77777777" w:rsidTr="00924822">
        <w:tc>
          <w:tcPr>
            <w:tcW w:w="4676" w:type="dxa"/>
            <w:tcBorders>
              <w:top w:val="nil"/>
              <w:left w:val="nil"/>
              <w:bottom w:val="nil"/>
              <w:right w:val="nil"/>
            </w:tcBorders>
          </w:tcPr>
          <w:p w14:paraId="6C7F38DA" w14:textId="77777777" w:rsidR="00E027AC" w:rsidRPr="00E027AC" w:rsidRDefault="00E027AC" w:rsidP="00924822">
            <w:pPr>
              <w:rPr>
                <w:rFonts w:ascii="Garamond" w:hAnsi="Garamond"/>
                <w:sz w:val="24"/>
                <w:szCs w:val="24"/>
                <w:shd w:val="clear" w:color="auto" w:fill="FFFFFF"/>
              </w:rPr>
            </w:pPr>
            <w:r w:rsidRPr="00E027AC">
              <w:rPr>
                <w:rFonts w:ascii="Garamond" w:eastAsia="Malgun Gothic" w:hAnsi="Garamond" w:cs="Times New Roman"/>
                <w:sz w:val="24"/>
                <w:szCs w:val="24"/>
              </w:rPr>
              <w:fldChar w:fldCharType="begin"/>
            </w:r>
            <w:r w:rsidRPr="00E027AC">
              <w:rPr>
                <w:rFonts w:ascii="Garamond" w:eastAsia="Malgun Gothic" w:hAnsi="Garamond" w:cs="Times New Roman"/>
                <w:sz w:val="24"/>
                <w:szCs w:val="24"/>
              </w:rPr>
              <w:instrText xml:space="preserve"> ADDIN ZOTERO_ITEM CSL_CITATION {"citationID":"J5WFz7UC","properties":{"formattedCitation":"(Liard\\uc0\\u233{}t &amp; Black, 2019)","plainCitation":"(Liardét &amp; Black, 2019)","dontUpdate":true,"noteIndex":0},"citationItems":[{"id":3109,"uris":["http://zotero.org/users/9207091/items/NMLCGD2C"],"itemData":{"id":3109,"type":"article-journal","abstract":"A key feature of academic texts is the heteroglossic interaction that occurs between the writer and the experts he/she references. When integrating outside experts into their texts, writers often employ integral, author prominent reporting structures, selecting reporting verbs (RVs) to evaluate the veracity and merit of the propositions. This paper examines EAL and English L1 learners’ RV use and compares it with that of experts, providing a corpus-assisted, comparative analysis. It further explores how writers build intertextuality through these RV choices. Using the resources of Appraisal theory, and specifically, the Engagement system, we found that experts tend to favor dialogically contracting RVs (e.g., show and find) that endorse the proposition whereas learners rely heavily on expanding RVs that entertain the evidence as an option to consider (e.g., suggest) or simply attribute it to an outside expert (e.g., state). In particular, both the EAL and English L1 learners strongly rely upon more “neutral” attribute: acknowledge structures (e.g., state, according to), providing no overt indication as to their intersubjective stance on the evidence. These comparative findings provide a roadmap for novice writers to develop authorial stance and adapt to the expert conventions of their given fields.","container-title":"Journal of Second Language Writing","DOI":"10.1016/j.jslw.2019.02.001","ISSN":"10603743","journalAbbreviation":"Journal of Second Language Writing","language":"en","page":"37-50","source":"DOI.org (Crossref)","title":"“So and so” says, states and argues: A corpus-assisted engagement analysis of reporting verbs","title-short":"“So and so” says, states and argues","volume":"44","author":[{"family":"Liardét","given":"Cassi L."},{"family":"Black","given":"Sharyn"}],"issued":{"date-parts":[["2019",6]]}}}],"schema":"https://github.com/citation-style-language/schema/raw/master/csl-citation.json"} </w:instrText>
            </w:r>
            <w:r w:rsidRPr="00E027AC">
              <w:rPr>
                <w:rFonts w:ascii="Garamond" w:eastAsia="Malgun Gothic" w:hAnsi="Garamond" w:cs="Times New Roman"/>
                <w:sz w:val="24"/>
                <w:szCs w:val="24"/>
              </w:rPr>
              <w:fldChar w:fldCharType="separate"/>
            </w:r>
            <w:proofErr w:type="spellStart"/>
            <w:r w:rsidRPr="00E027AC">
              <w:rPr>
                <w:rFonts w:ascii="Garamond" w:hAnsi="Garamond" w:cs="Times New Roman"/>
                <w:sz w:val="24"/>
              </w:rPr>
              <w:t>Liardét</w:t>
            </w:r>
            <w:proofErr w:type="spellEnd"/>
            <w:r w:rsidRPr="00E027AC">
              <w:rPr>
                <w:rFonts w:ascii="Garamond" w:hAnsi="Garamond" w:cs="Times New Roman"/>
                <w:sz w:val="24"/>
              </w:rPr>
              <w:t xml:space="preserve"> and Black (2019)</w:t>
            </w:r>
            <w:r w:rsidRPr="00E027AC">
              <w:rPr>
                <w:rFonts w:ascii="Garamond" w:eastAsia="Malgun Gothic" w:hAnsi="Garamond" w:cs="Times New Roman"/>
                <w:sz w:val="24"/>
                <w:szCs w:val="24"/>
              </w:rPr>
              <w:fldChar w:fldCharType="end"/>
            </w:r>
          </w:p>
        </w:tc>
        <w:tc>
          <w:tcPr>
            <w:tcW w:w="4676" w:type="dxa"/>
            <w:tcBorders>
              <w:top w:val="nil"/>
              <w:left w:val="nil"/>
              <w:bottom w:val="nil"/>
              <w:right w:val="nil"/>
            </w:tcBorders>
          </w:tcPr>
          <w:p w14:paraId="67B4FAA1"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Writer stance and the use of reporting verbs</w:t>
            </w:r>
          </w:p>
          <w:p w14:paraId="24FFE0DC" w14:textId="77777777" w:rsidR="00E027AC" w:rsidRPr="00E027AC" w:rsidRDefault="00E027AC" w:rsidP="00924822">
            <w:pPr>
              <w:rPr>
                <w:rFonts w:ascii="Garamond" w:hAnsi="Garamond"/>
                <w:sz w:val="24"/>
                <w:szCs w:val="24"/>
                <w:shd w:val="clear" w:color="auto" w:fill="FFFFFF"/>
              </w:rPr>
            </w:pPr>
          </w:p>
        </w:tc>
      </w:tr>
      <w:tr w:rsidR="00E027AC" w:rsidRPr="00E027AC" w14:paraId="6D066E61" w14:textId="77777777" w:rsidTr="00924822">
        <w:trPr>
          <w:trHeight w:val="378"/>
        </w:trPr>
        <w:tc>
          <w:tcPr>
            <w:tcW w:w="4676" w:type="dxa"/>
            <w:tcBorders>
              <w:top w:val="nil"/>
              <w:left w:val="nil"/>
              <w:bottom w:val="single" w:sz="4" w:space="0" w:color="auto"/>
              <w:right w:val="nil"/>
            </w:tcBorders>
          </w:tcPr>
          <w:p w14:paraId="5A8F54DE" w14:textId="77777777" w:rsidR="00E027AC" w:rsidRPr="00E027AC" w:rsidRDefault="00E027AC" w:rsidP="00924822">
            <w:pPr>
              <w:rPr>
                <w:rFonts w:ascii="Garamond" w:eastAsia="Malgun Gothic" w:hAnsi="Garamond" w:cs="Times New Roman"/>
                <w:sz w:val="24"/>
                <w:szCs w:val="24"/>
              </w:rPr>
            </w:pPr>
            <w:r w:rsidRPr="00E027AC">
              <w:rPr>
                <w:rFonts w:ascii="Garamond" w:eastAsia="Malgun Gothic" w:hAnsi="Garamond" w:cs="Times New Roman"/>
                <w:sz w:val="24"/>
                <w:szCs w:val="24"/>
              </w:rPr>
              <w:fldChar w:fldCharType="begin"/>
            </w:r>
            <w:r w:rsidRPr="00E027AC">
              <w:rPr>
                <w:rFonts w:ascii="Garamond" w:eastAsia="Malgun Gothic" w:hAnsi="Garamond" w:cs="Times New Roman"/>
                <w:sz w:val="24"/>
                <w:szCs w:val="24"/>
              </w:rPr>
              <w:instrText xml:space="preserve"> ADDIN ZOTERO_ITEM CSL_CITATION {"citationID":"n3ufGog7","properties":{"formattedCitation":"(Neumann et al., 2019)","plainCitation":"(Neumann et al., 2019)","dontUpdate":true,"noteIndex":0},"citationItems":[{"id":10,"uris":["http://zotero.org/users/9207091/items/85EXDJ8T"],"itemData":{"id":10,"type":"article-journal","abstract":"Researchers have called for the development of new pedagogical strategies to help students learn how to integrate source information into their own texts effectively (Casanave, 2017; Hu, 2015). Since these strategies are tied to particular pedagogical contexts, their development has to be preceded by a careful examination of the context where they will be implemented. To that end, the current study examined how students use sources in their own writing at an English-medium university in Canada and what challenges they face in doing so. Notes and essays written by English for Academic Purposes (EAP) students (N ¼ 73) were analyzed in terms of how they used source text information. A subset of the students and ﬁve experienced instructors were interviewed to gain insight into students’ challenges with the source-based writing tasks required in the EAP program. The ﬁndings indicate that students face difﬁculty with both the reading and writing phases of sourcebased writing, which has implications for the development of pedagogical strategies to address these difﬁculties.","container-title":"Journal of English for Academic Purposes","DOI":"10.1016/j.jeap.2019.02.002","ISSN":"14751585","journalAbbreviation":"Journal of English for Academic Purposes","language":"en","page":"106-120","source":"DOI.org (Crossref)","title":"L2 writers’ use of outside sources and the related challenges","volume":"38","author":[{"family":"Neumann","given":"Heike"},{"family":"Leu","given":"Sarah"},{"family":"McDonough","given":"Kim"}],"issued":{"date-parts":[["2019",3]]}}}],"schema":"https://github.com/citation-style-language/schema/raw/master/csl-citation.json"} </w:instrText>
            </w:r>
            <w:r w:rsidRPr="00E027AC">
              <w:rPr>
                <w:rFonts w:ascii="Garamond" w:eastAsia="Malgun Gothic" w:hAnsi="Garamond" w:cs="Times New Roman"/>
                <w:sz w:val="24"/>
                <w:szCs w:val="24"/>
              </w:rPr>
              <w:fldChar w:fldCharType="separate"/>
            </w:r>
            <w:r w:rsidRPr="00E027AC">
              <w:rPr>
                <w:rFonts w:ascii="Garamond" w:hAnsi="Garamond" w:cs="Times New Roman"/>
                <w:sz w:val="24"/>
              </w:rPr>
              <w:t>Neumann et al. (2019)</w:t>
            </w:r>
            <w:r w:rsidRPr="00E027AC">
              <w:rPr>
                <w:rFonts w:ascii="Garamond" w:eastAsia="Malgun Gothic" w:hAnsi="Garamond" w:cs="Times New Roman"/>
                <w:sz w:val="24"/>
                <w:szCs w:val="24"/>
              </w:rPr>
              <w:fldChar w:fldCharType="end"/>
            </w:r>
          </w:p>
        </w:tc>
        <w:tc>
          <w:tcPr>
            <w:tcW w:w="4676" w:type="dxa"/>
            <w:tcBorders>
              <w:top w:val="nil"/>
              <w:left w:val="nil"/>
              <w:bottom w:val="single" w:sz="4" w:space="0" w:color="auto"/>
              <w:right w:val="nil"/>
            </w:tcBorders>
          </w:tcPr>
          <w:p w14:paraId="47B7B0CC"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Integrating outside sources</w:t>
            </w:r>
          </w:p>
        </w:tc>
      </w:tr>
    </w:tbl>
    <w:p w14:paraId="2AC56B23" w14:textId="77777777" w:rsidR="00E027AC" w:rsidRPr="00E027AC" w:rsidRDefault="00E027AC" w:rsidP="00E027AC">
      <w:pPr>
        <w:spacing w:line="480" w:lineRule="auto"/>
        <w:rPr>
          <w:rFonts w:ascii="Garamond" w:eastAsia="Malgun Gothic" w:hAnsi="Garamond" w:cs="Times New Roman"/>
          <w:sz w:val="24"/>
          <w:szCs w:val="24"/>
        </w:rPr>
      </w:pPr>
    </w:p>
    <w:p w14:paraId="72ABE6C4" w14:textId="77777777" w:rsidR="00E027AC" w:rsidRPr="006368A5" w:rsidRDefault="00E027AC" w:rsidP="00E027AC">
      <w:pPr>
        <w:pStyle w:val="L2JBody"/>
      </w:pPr>
      <w:r w:rsidRPr="006368A5">
        <w:fldChar w:fldCharType="begin"/>
      </w:r>
      <w:r w:rsidRPr="006368A5">
        <w:instrText xml:space="preserve"> ADDIN ZOTERO_ITEM CSL_CITATION {"citationID":"XzxGXk15","properties":{"formattedCitation":"(Neumann et al., 2019)","plainCitation":"(Neumann et al., 2019)","dontUpdate":true,"noteIndex":0},"citationItems":[{"id":10,"uris":["http://zotero.org/users/9207091/items/85EXDJ8T"],"itemData":{"id":10,"type":"article-journal","abstract":"Researchers have called for the development of new pedagogical strategies to help students learn how to integrate source information into their own texts effectively (Casanave, 2017; Hu, 2015). Since these strategies are tied to particular pedagogical contexts, their development has to be preceded by a careful examination of the context where they will be implemented. To that end, the current study examined how students use sources in their own writing at an English-medium university in Canada and what challenges they face in doing so. Notes and essays written by English for Academic Purposes (EAP) students (N ¼ 73) were analyzed in terms of how they used source text information. A subset of the students and ﬁve experienced instructors were interviewed to gain insight into students’ challenges with the source-based writing tasks required in the EAP program. The ﬁndings indicate that students face difﬁculty with both the reading and writing phases of sourcebased writing, which has implications for the development of pedagogical strategies to address these difﬁculties.","container-title":"Journal of English for Academic Purposes","DOI":"10.1016/j.jeap.2019.02.002","ISSN":"14751585","journalAbbreviation":"Journal of English for Academic Purposes","language":"en","page":"106-120","source":"DOI.org (Crossref)","title":"L2 writers’ use of outside sources and the related challenges","volume":"38","author":[{"family":"Neumann","given":"Heike"},{"family":"Leu","given":"Sarah"},{"family":"McDonough","given":"Kim"}],"issued":{"date-parts":[["2019",3]]}}}],"schema":"https://github.com/citation-style-language/schema/raw/master/csl-citation.json"} </w:instrText>
      </w:r>
      <w:r w:rsidRPr="006368A5">
        <w:fldChar w:fldCharType="separate"/>
      </w:r>
      <w:r w:rsidRPr="006368A5">
        <w:t xml:space="preserve">Neumann et al. </w:t>
      </w:r>
      <w:r w:rsidRPr="006368A5">
        <w:rPr>
          <w:rFonts w:hint="eastAsia"/>
        </w:rPr>
        <w:t>(</w:t>
      </w:r>
      <w:r w:rsidRPr="006368A5">
        <w:t>2019)</w:t>
      </w:r>
      <w:r w:rsidRPr="006368A5">
        <w:fldChar w:fldCharType="end"/>
      </w:r>
      <w:r w:rsidRPr="006368A5">
        <w:t>, who</w:t>
      </w:r>
      <w:r w:rsidRPr="006368A5">
        <w:rPr>
          <w:rFonts w:hint="eastAsia"/>
        </w:rPr>
        <w:t xml:space="preserve"> explored </w:t>
      </w:r>
      <w:r w:rsidRPr="006368A5">
        <w:t xml:space="preserve">the </w:t>
      </w:r>
      <w:r w:rsidRPr="006368A5">
        <w:rPr>
          <w:rFonts w:hint="eastAsia"/>
        </w:rPr>
        <w:t>source use practices of L2 undergraduate</w:t>
      </w:r>
      <w:r w:rsidRPr="006368A5">
        <w:t>s</w:t>
      </w:r>
      <w:r w:rsidRPr="006368A5">
        <w:rPr>
          <w:rFonts w:hint="eastAsia"/>
        </w:rPr>
        <w:t xml:space="preserve"> at a Canadian university</w:t>
      </w:r>
      <w:r w:rsidRPr="006368A5">
        <w:t xml:space="preserve">, </w:t>
      </w:r>
      <w:r w:rsidRPr="006368A5">
        <w:rPr>
          <w:rFonts w:hint="eastAsia"/>
        </w:rPr>
        <w:t xml:space="preserve">specifically how they integrated outside sources into </w:t>
      </w:r>
      <w:r w:rsidRPr="006368A5">
        <w:t>their</w:t>
      </w:r>
      <w:r w:rsidRPr="006368A5">
        <w:rPr>
          <w:rFonts w:hint="eastAsia"/>
        </w:rPr>
        <w:t xml:space="preserve"> writing</w:t>
      </w:r>
      <w:r w:rsidRPr="006368A5">
        <w:t>,</w:t>
      </w:r>
      <w:r w:rsidRPr="006368A5">
        <w:rPr>
          <w:rFonts w:hint="eastAsia"/>
        </w:rPr>
        <w:t xml:space="preserve"> discovered that students </w:t>
      </w:r>
      <w:proofErr w:type="gramStart"/>
      <w:r w:rsidRPr="006368A5">
        <w:rPr>
          <w:rFonts w:hint="eastAsia"/>
        </w:rPr>
        <w:t>had a tendency to</w:t>
      </w:r>
      <w:proofErr w:type="gramEnd"/>
      <w:r w:rsidRPr="006368A5">
        <w:rPr>
          <w:rFonts w:hint="eastAsia"/>
        </w:rPr>
        <w:t xml:space="preserve"> use more indirect citations (e.g., paraphrasing and summarizing) than direct quotations. This </w:t>
      </w:r>
      <w:r w:rsidRPr="006368A5">
        <w:t>aligned</w:t>
      </w:r>
      <w:r w:rsidRPr="006368A5">
        <w:rPr>
          <w:rFonts w:hint="eastAsia"/>
        </w:rPr>
        <w:t xml:space="preserve"> with </w:t>
      </w:r>
      <w:r w:rsidRPr="006368A5">
        <w:fldChar w:fldCharType="begin"/>
      </w:r>
      <w:r w:rsidRPr="006368A5">
        <w:instrText xml:space="preserve"> ADDIN ZOTERO_ITEM CSL_CITATION {"citationID":"HvwgW8Qd","properties":{"formattedCitation":"(Doolan, 2021)","plainCitation":"(Doolan, 2021)","dontUpdate":true,"noteIndex":0},"citationItems":[{"id":169,"uris":["http://zotero.org/users/9207091/items/DI7W7GMP"],"itemData":{"id":169,"type":"article-journal","abstract":"Post-secondary students across the curriculum are commonly required to integrate source text material into their academic writing. While writing from multiple sources occurs frequently in higher education (Rosenfeld et al., 2001) and is a cognitively demanding task, few studies have investigated the types of source integration used by L1 and L2 writers entering post-secondary, ﬁrst-year composition (Cumming et al., 2016). This study compares L1 and L2 in-class writing from multiple sources to quantitatively investigate similarities and differences in (1) use of various types of source integration (e.g., citations, paraphrases, direct quotes), and (2) use of ideational units. The writing was also analyzed qualitatively to follow up on select patterns from the quantitative ﬁndings. Results indicated that despite lower holistic writing quality scores, the L2 writing, in certain respects, demonstrated more responsible use of various types of source integration compared to L1 writing. The analysis also revealed very low frequencies of synthesis writing for both L1 and L2 writing. Finally, the ﬁndings are discussed as they relate to simpliﬁed versus elaborative integration of source material in student writing.","container-title":"English for Specific Purposes","DOI":"10.1016/j.esp.2021.01.003","ISSN":"08894906","journalAbbreviation":"English for Specific Purposes","language":"en","page":"128-141","source":"DOI.org (Crossref)","title":"An exploratory analysis of source integration in post-secondary L1 and L2 source-based writing","volume":"62","author":[{"family":"Doolan","given":"Stephen M."}],"issued":{"date-parts":[["2021",4]]}}}],"schema":"https://github.com/citation-style-language/schema/raw/master/csl-citation.json"} </w:instrText>
      </w:r>
      <w:r w:rsidRPr="006368A5">
        <w:fldChar w:fldCharType="separate"/>
      </w:r>
      <w:r w:rsidRPr="006368A5">
        <w:t>Doolan’</w:t>
      </w:r>
      <w:r w:rsidRPr="006368A5">
        <w:rPr>
          <w:rFonts w:hint="eastAsia"/>
        </w:rPr>
        <w:t>s</w:t>
      </w:r>
      <w:r w:rsidRPr="006368A5">
        <w:t xml:space="preserve"> </w:t>
      </w:r>
      <w:r w:rsidRPr="006368A5">
        <w:rPr>
          <w:rFonts w:hint="eastAsia"/>
        </w:rPr>
        <w:t>(</w:t>
      </w:r>
      <w:r w:rsidRPr="006368A5">
        <w:t>2021)</w:t>
      </w:r>
      <w:r w:rsidRPr="006368A5">
        <w:fldChar w:fldCharType="end"/>
      </w:r>
      <w:r w:rsidRPr="006368A5">
        <w:rPr>
          <w:rFonts w:hint="eastAsia"/>
        </w:rPr>
        <w:t xml:space="preserve"> findings on source use, which also showed that both L1 and L2 undergraduates (regardless of English proficiency) engaged in more paraphrasing than direct quotations. </w:t>
      </w:r>
      <w:r w:rsidRPr="006368A5">
        <w:t>T</w:t>
      </w:r>
      <w:r w:rsidRPr="006368A5">
        <w:rPr>
          <w:rFonts w:hint="eastAsia"/>
        </w:rPr>
        <w:t xml:space="preserve">his </w:t>
      </w:r>
      <w:r w:rsidRPr="006368A5">
        <w:t xml:space="preserve">point </w:t>
      </w:r>
      <w:r w:rsidRPr="006368A5">
        <w:rPr>
          <w:rFonts w:hint="eastAsia"/>
        </w:rPr>
        <w:t xml:space="preserve">was contradicted by </w:t>
      </w:r>
      <w:r w:rsidRPr="006368A5">
        <w:fldChar w:fldCharType="begin"/>
      </w:r>
      <w:r w:rsidRPr="006368A5">
        <w:instrText xml:space="preserve"> ADDIN ZOTERO_ITEM CSL_CITATION {"citationID":"1vZNLZ6G","properties":{"formattedCitation":"(Petri\\uc0\\u263{}, 2012)","plainCitation":"(Petrić, 2012)","dontUpdate":true,"noteIndex":0},"citationItems":[{"id":1561,"uris":["http://zotero.org/users/9207091/items/QIVJRQVH"],"itemData":{"id":1561,"type":"article-journal","container-title":"Journal of Second Language Writing","issue":"2","note":"ISBN: 1060-3743\npublisher: Elsevier","page":"102-117","title":"Legitimate textual borrowing: Direct quotation in L2 student writing","volume":"21","author":[{"family":"Petrić","given":"Bojana"}],"issued":{"date-parts":[["2012"]]}}}],"schema":"https://github.com/citation-style-language/schema/raw/master/csl-citation.json"} </w:instrText>
      </w:r>
      <w:r w:rsidRPr="006368A5">
        <w:fldChar w:fldCharType="separate"/>
      </w:r>
      <w:r w:rsidRPr="006368A5">
        <w:t xml:space="preserve">Petrić </w:t>
      </w:r>
      <w:r w:rsidRPr="006368A5">
        <w:rPr>
          <w:rFonts w:hint="eastAsia"/>
        </w:rPr>
        <w:t>(</w:t>
      </w:r>
      <w:r w:rsidRPr="006368A5">
        <w:t>2012)</w:t>
      </w:r>
      <w:r w:rsidRPr="006368A5">
        <w:fldChar w:fldCharType="end"/>
      </w:r>
      <w:r w:rsidRPr="006368A5">
        <w:rPr>
          <w:rFonts w:hint="eastAsia"/>
        </w:rPr>
        <w:t>, wh</w:t>
      </w:r>
      <w:r w:rsidRPr="006368A5">
        <w:t>o</w:t>
      </w:r>
      <w:r w:rsidRPr="006368A5">
        <w:rPr>
          <w:rFonts w:hint="eastAsia"/>
        </w:rPr>
        <w:t xml:space="preserve"> demonstrated that more proficient L2 English writers tend</w:t>
      </w:r>
      <w:r w:rsidRPr="006368A5">
        <w:t>ed</w:t>
      </w:r>
      <w:r w:rsidRPr="006368A5">
        <w:rPr>
          <w:rFonts w:hint="eastAsia"/>
        </w:rPr>
        <w:t xml:space="preserve"> to include more </w:t>
      </w:r>
      <w:r w:rsidRPr="006368A5">
        <w:t>direct</w:t>
      </w:r>
      <w:r w:rsidRPr="006368A5">
        <w:rPr>
          <w:rFonts w:hint="eastAsia"/>
        </w:rPr>
        <w:t xml:space="preserve"> </w:t>
      </w:r>
      <w:r w:rsidRPr="006368A5">
        <w:t>quotations</w:t>
      </w:r>
      <w:r w:rsidRPr="006368A5">
        <w:rPr>
          <w:rFonts w:hint="eastAsia"/>
        </w:rPr>
        <w:t xml:space="preserve"> in their </w:t>
      </w:r>
      <w:r w:rsidRPr="006368A5">
        <w:t xml:space="preserve">master’s </w:t>
      </w:r>
      <w:r w:rsidRPr="006368A5">
        <w:rPr>
          <w:rFonts w:hint="eastAsia"/>
        </w:rPr>
        <w:t>thes</w:t>
      </w:r>
      <w:r w:rsidRPr="006368A5">
        <w:t>es</w:t>
      </w:r>
      <w:r w:rsidRPr="006368A5">
        <w:rPr>
          <w:rFonts w:hint="eastAsia"/>
        </w:rPr>
        <w:t>. Such discrepancies might stem from participants</w:t>
      </w:r>
      <w:r w:rsidRPr="006368A5">
        <w:t>’</w:t>
      </w:r>
      <w:r w:rsidRPr="006368A5">
        <w:rPr>
          <w:rFonts w:hint="eastAsia"/>
        </w:rPr>
        <w:t xml:space="preserve"> differ</w:t>
      </w:r>
      <w:r w:rsidRPr="006368A5">
        <w:t>ing</w:t>
      </w:r>
      <w:r w:rsidRPr="006368A5">
        <w:rPr>
          <w:rFonts w:hint="eastAsia"/>
        </w:rPr>
        <w:t xml:space="preserve"> academic levels</w:t>
      </w:r>
      <w:r w:rsidRPr="006368A5">
        <w:t>: Graduate</w:t>
      </w:r>
      <w:r w:rsidRPr="006368A5">
        <w:rPr>
          <w:rFonts w:hint="eastAsia"/>
        </w:rPr>
        <w:t xml:space="preserve"> students </w:t>
      </w:r>
      <w:r w:rsidRPr="006368A5">
        <w:t>investigated by</w:t>
      </w:r>
      <w:r w:rsidRPr="006368A5">
        <w:rPr>
          <w:rFonts w:hint="eastAsia"/>
        </w:rPr>
        <w:t xml:space="preserve"> </w:t>
      </w:r>
      <w:r w:rsidRPr="006368A5">
        <w:fldChar w:fldCharType="begin"/>
      </w:r>
      <w:r w:rsidRPr="006368A5">
        <w:instrText xml:space="preserve"> ADDIN ZOTERO_ITEM CSL_CITATION {"citationID":"uDPYqHp0","properties":{"formattedCitation":"(Petri\\uc0\\u263{}, 2012)","plainCitation":"(Petrić, 2012)","dontUpdate":true,"noteIndex":0},"citationItems":[{"id":1561,"uris":["http://zotero.org/users/9207091/items/QIVJRQVH"],"itemData":{"id":1561,"type":"article-journal","container-title":"Journal of Second Language Writing","issue":"2","note":"ISBN: 1060-3743\npublisher: Elsevier","page":"102-117","title":"Legitimate textual borrowing: Direct quotation in L2 student writing","volume":"21","author":[{"family":"Petrić","given":"Bojana"}],"issued":{"date-parts":[["2012"]]}}}],"schema":"https://github.com/citation-style-language/schema/raw/master/csl-citation.json"} </w:instrText>
      </w:r>
      <w:r w:rsidRPr="006368A5">
        <w:fldChar w:fldCharType="separate"/>
      </w:r>
      <w:r w:rsidRPr="006368A5">
        <w:t xml:space="preserve">Petrić </w:t>
      </w:r>
      <w:r w:rsidRPr="006368A5">
        <w:rPr>
          <w:rFonts w:hint="eastAsia"/>
        </w:rPr>
        <w:t>(</w:t>
      </w:r>
      <w:r w:rsidRPr="006368A5">
        <w:t>2012)</w:t>
      </w:r>
      <w:r w:rsidRPr="006368A5">
        <w:fldChar w:fldCharType="end"/>
      </w:r>
      <w:r w:rsidRPr="006368A5">
        <w:rPr>
          <w:rFonts w:hint="eastAsia"/>
        </w:rPr>
        <w:t xml:space="preserve"> might have been more conscious </w:t>
      </w:r>
      <w:r w:rsidRPr="006368A5">
        <w:t>of</w:t>
      </w:r>
      <w:r w:rsidRPr="006368A5">
        <w:rPr>
          <w:rFonts w:hint="eastAsia"/>
        </w:rPr>
        <w:t xml:space="preserve"> conveying messages accurately in </w:t>
      </w:r>
      <w:r w:rsidRPr="006368A5">
        <w:t>their</w:t>
      </w:r>
      <w:r w:rsidRPr="006368A5">
        <w:rPr>
          <w:rFonts w:hint="eastAsia"/>
        </w:rPr>
        <w:t xml:space="preserve"> </w:t>
      </w:r>
      <w:r w:rsidRPr="006368A5">
        <w:t>master’s</w:t>
      </w:r>
      <w:r w:rsidRPr="006368A5">
        <w:rPr>
          <w:rFonts w:hint="eastAsia"/>
        </w:rPr>
        <w:t xml:space="preserve"> theses (a more high-stakes task), resulting in more direct </w:t>
      </w:r>
      <w:r w:rsidRPr="006368A5">
        <w:t>quotations</w:t>
      </w:r>
      <w:r w:rsidRPr="006368A5">
        <w:rPr>
          <w:rFonts w:hint="eastAsia"/>
        </w:rPr>
        <w:t xml:space="preserve">, compared to in-class exams and activities for </w:t>
      </w:r>
      <w:r w:rsidRPr="006368A5">
        <w:t>the undergraduates</w:t>
      </w:r>
      <w:r w:rsidRPr="006368A5">
        <w:rPr>
          <w:rFonts w:hint="eastAsia"/>
        </w:rPr>
        <w:t xml:space="preserve"> </w:t>
      </w:r>
      <w:r w:rsidRPr="006368A5">
        <w:t>studied</w:t>
      </w:r>
      <w:r w:rsidRPr="006368A5">
        <w:fldChar w:fldCharType="begin"/>
      </w:r>
      <w:r w:rsidRPr="006368A5">
        <w:instrText xml:space="preserve"> ADDIN ZOTERO_ITEM CSL_CITATION {"citationID":"2Ob6R2Ls","properties":{"formattedCitation":"(Doolan, 2021; Neumann et al., 2019)","plainCitation":"(Doolan, 2021; Neumann et al., 2019)","dontUpdate":true,"noteIndex":0},"citationItems":[{"id":169,"uris":["http://zotero.org/users/9207091/items/DI7W7GMP"],"itemData":{"id":169,"type":"article-journal","abstract":"Post-secondary students across the curriculum are commonly required to integrate source text material into their academic writing. While writing from multiple sources occurs frequently in higher education (Rosenfeld et al., 2001) and is a cognitively demanding task, few studies have investigated the types of source integration used by L1 and L2 writers entering post-secondary, ﬁrst-year composition (Cumming et al., 2016). This study compares L1 and L2 in-class writing from multiple sources to quantitatively investigate similarities and differences in (1) use of various types of source integration (e.g., citations, paraphrases, direct quotes), and (2) use of ideational units. The writing was also analyzed qualitatively to follow up on select patterns from the quantitative ﬁndings. Results indicated that despite lower holistic writing quality scores, the L2 writing, in certain respects, demonstrated more responsible use of various types of source integration compared to L1 writing. The analysis also revealed very low frequencies of synthesis writing for both L1 and L2 writing. Finally, the ﬁndings are discussed as they relate to simpliﬁed versus elaborative integration of source material in student writing.","container-title":"English for Specific Purposes","DOI":"10.1016/j.esp.2021.01.003","ISSN":"08894906","journalAbbreviation":"English for Specific Purposes","language":"en","page":"128-141","source":"DOI.org (Crossref)","title":"An exploratory analysis of source integration in post-secondary L1 and L2 source-based writing","volume":"62","author":[{"family":"Doolan","given":"Stephen M."}],"issued":{"date-parts":[["2021",4]]}}},{"id":10,"uris":["http://zotero.org/users/9207091/items/85EXDJ8T"],"itemData":{"id":10,"type":"article-journal","abstract":"Researchers have called for the development of new pedagogical strategies to help students learn how to integrate source information into their own texts effectively (Casanave, 2017; Hu, 2015). Since these strategies are tied to particular pedagogical contexts, their development has to be preceded by a careful examination of the context where they will be implemented. To that end, the current study examined how students use sources in their own writing at an English-medium university in Canada and what challenges they face in doing so. Notes and essays written by English for Academic Purposes (EAP) students (N ¼ 73) were analyzed in terms of how they used source text information. A subset of the students and ﬁve experienced instructors were interviewed to gain insight into students’ challenges with the source-based writing tasks required in the EAP program. The ﬁndings indicate that students face difﬁculty with both the reading and writing phases of sourcebased writing, which has implications for the development of pedagogical strategies to address these difﬁculties.","container-title":"Journal of English for Academic Purposes","DOI":"10.1016/j.jeap.2019.02.002","ISSN":"14751585","journalAbbreviation":"Journal of English for Academic Purposes","language":"en","page":"106-120","source":"DOI.org (Crossref)","title":"L2 writers’ use of outside sources and the related challenges","volume":"38","author":[{"family":"Neumann","given":"Heike"},{"family":"Leu","given":"Sarah"},{"family":"McDonough","given":"Kim"}],"issued":{"date-parts":[["2019",3]]}}}],"schema":"https://github.com/citation-style-language/schema/raw/master/csl-citation.json"} </w:instrText>
      </w:r>
      <w:r w:rsidRPr="006368A5">
        <w:fldChar w:fldCharType="separate"/>
      </w:r>
      <w:r w:rsidRPr="006368A5">
        <w:t xml:space="preserve"> by Doolan</w:t>
      </w:r>
      <w:r w:rsidRPr="006368A5">
        <w:rPr>
          <w:rFonts w:hint="eastAsia"/>
        </w:rPr>
        <w:t xml:space="preserve"> and </w:t>
      </w:r>
      <w:r w:rsidRPr="006368A5">
        <w:t>Neumann et al</w:t>
      </w:r>
      <w:r w:rsidRPr="006368A5">
        <w:rPr>
          <w:rFonts w:hint="eastAsia"/>
        </w:rPr>
        <w:t>.</w:t>
      </w:r>
      <w:r w:rsidRPr="006368A5">
        <w:t xml:space="preserve"> </w:t>
      </w:r>
      <w:r w:rsidRPr="006368A5">
        <w:fldChar w:fldCharType="end"/>
      </w:r>
      <w:r w:rsidRPr="006368A5">
        <w:rPr>
          <w:rFonts w:hint="eastAsia"/>
        </w:rPr>
        <w:t xml:space="preserve">The </w:t>
      </w:r>
      <w:r w:rsidRPr="006368A5">
        <w:t>divergent</w:t>
      </w:r>
      <w:r w:rsidRPr="006368A5">
        <w:rPr>
          <w:rFonts w:hint="eastAsia"/>
        </w:rPr>
        <w:t xml:space="preserve"> outcomes may also </w:t>
      </w:r>
      <w:r w:rsidRPr="006368A5">
        <w:t xml:space="preserve">derive </w:t>
      </w:r>
      <w:r w:rsidRPr="006368A5">
        <w:rPr>
          <w:rFonts w:hint="eastAsia"/>
        </w:rPr>
        <w:t xml:space="preserve">from </w:t>
      </w:r>
      <w:r w:rsidRPr="006368A5">
        <w:fldChar w:fldCharType="begin"/>
      </w:r>
      <w:r w:rsidRPr="006368A5">
        <w:instrText xml:space="preserve"> ADDIN ZOTERO_ITEM CSL_CITATION {"citationID":"OA9zsA4A","properties":{"formattedCitation":"(Petri\\uc0\\u263{}, 2012)","plainCitation":"(Petrić, 2012)","dontUpdate":true,"noteIndex":0},"citationItems":[{"id":1561,"uris":["http://zotero.org/users/9207091/items/QIVJRQVH"],"itemData":{"id":1561,"type":"article-journal","container-title":"Journal of Second Language Writing","issue":"2","note":"ISBN: 1060-3743\npublisher: Elsevier","page":"102-117","title":"Legitimate textual borrowing: Direct quotation in L2 student writing","volume":"21","author":[{"family":"Petrić","given":"Bojana"}],"issued":{"date-parts":[["2012"]]}}}],"schema":"https://github.com/citation-style-language/schema/raw/master/csl-citation.json"} </w:instrText>
      </w:r>
      <w:r w:rsidRPr="006368A5">
        <w:fldChar w:fldCharType="separate"/>
      </w:r>
      <w:r w:rsidRPr="006368A5">
        <w:t>Petrić’</w:t>
      </w:r>
      <w:r w:rsidRPr="006368A5">
        <w:rPr>
          <w:rFonts w:hint="eastAsia"/>
        </w:rPr>
        <w:t>s</w:t>
      </w:r>
      <w:r w:rsidRPr="006368A5">
        <w:t xml:space="preserve"> </w:t>
      </w:r>
      <w:r w:rsidRPr="006368A5">
        <w:rPr>
          <w:rFonts w:hint="eastAsia"/>
        </w:rPr>
        <w:t>(</w:t>
      </w:r>
      <w:r w:rsidRPr="006368A5">
        <w:t>2012)</w:t>
      </w:r>
      <w:r w:rsidRPr="006368A5">
        <w:fldChar w:fldCharType="end"/>
      </w:r>
      <w:r w:rsidRPr="006368A5">
        <w:rPr>
          <w:rFonts w:hint="eastAsia"/>
        </w:rPr>
        <w:t xml:space="preserve"> participants</w:t>
      </w:r>
      <w:r w:rsidRPr="006368A5">
        <w:t>’</w:t>
      </w:r>
      <w:r w:rsidRPr="006368A5">
        <w:rPr>
          <w:rFonts w:hint="eastAsia"/>
        </w:rPr>
        <w:t xml:space="preserve"> shared Eastern European background, </w:t>
      </w:r>
      <w:r w:rsidRPr="006368A5">
        <w:t>possibly</w:t>
      </w:r>
      <w:r w:rsidRPr="006368A5">
        <w:rPr>
          <w:rFonts w:hint="eastAsia"/>
        </w:rPr>
        <w:t xml:space="preserve"> shap</w:t>
      </w:r>
      <w:r w:rsidRPr="006368A5">
        <w:t>ing</w:t>
      </w:r>
      <w:r w:rsidRPr="006368A5">
        <w:rPr>
          <w:rFonts w:hint="eastAsia"/>
        </w:rPr>
        <w:t xml:space="preserve"> how they use</w:t>
      </w:r>
      <w:r w:rsidRPr="006368A5">
        <w:t>d</w:t>
      </w:r>
      <w:r w:rsidRPr="006368A5">
        <w:rPr>
          <w:rFonts w:hint="eastAsia"/>
        </w:rPr>
        <w:t xml:space="preserve"> sources in academic writing.</w:t>
      </w:r>
    </w:p>
    <w:p w14:paraId="47C0F13A" w14:textId="77777777" w:rsidR="00E027AC" w:rsidRPr="006368A5" w:rsidRDefault="00E027AC" w:rsidP="00E027AC">
      <w:pPr>
        <w:pStyle w:val="L2JBody"/>
      </w:pPr>
      <w:r w:rsidRPr="006368A5">
        <w:rPr>
          <w:rFonts w:hint="eastAsia"/>
        </w:rPr>
        <w:t xml:space="preserve">Other </w:t>
      </w:r>
      <w:r w:rsidRPr="006368A5">
        <w:t>researchers</w:t>
      </w:r>
      <w:r w:rsidRPr="006368A5">
        <w:rPr>
          <w:rFonts w:hint="eastAsia"/>
        </w:rPr>
        <w:t xml:space="preserve"> analyzed how writers express</w:t>
      </w:r>
      <w:r w:rsidRPr="006368A5">
        <w:t>ed</w:t>
      </w:r>
      <w:r w:rsidRPr="006368A5">
        <w:rPr>
          <w:rFonts w:hint="eastAsia"/>
        </w:rPr>
        <w:t xml:space="preserve"> their authorial stances in source-based writing. For </w:t>
      </w:r>
      <w:r w:rsidRPr="006368A5">
        <w:t>example</w:t>
      </w:r>
      <w:r w:rsidRPr="006368A5">
        <w:rPr>
          <w:rFonts w:hint="eastAsia"/>
        </w:rPr>
        <w:t xml:space="preserve">, </w:t>
      </w:r>
      <w:r w:rsidRPr="006368A5">
        <w:fldChar w:fldCharType="begin"/>
      </w:r>
      <w:r w:rsidRPr="006368A5">
        <w:instrText xml:space="preserve"> ADDIN ZOTERO_ITEM CSL_CITATION {"citationID":"zLmhVftT","properties":{"formattedCitation":"(Liard\\uc0\\u233{}t &amp; Black, 2019)","plainCitation":"(Liardét &amp; Black, 2019)","dontUpdate":true,"noteIndex":0},"citationItems":[{"id":3109,"uris":["http://zotero.org/users/9207091/items/NMLCGD2C"],"itemData":{"id":3109,"type":"article-journal","abstract":"A key feature of academic texts is the heteroglossic interaction that occurs between the writer and the experts he/she references. When integrating outside experts into their texts, writers often employ integral, author prominent reporting structures, selecting reporting verbs (RVs) to evaluate the veracity and merit of the propositions. This paper examines EAL and English L1 learners’ RV use and compares it with that of experts, providing a corpus-assisted, comparative analysis. It further explores how writers build intertextuality through these RV choices. Using the resources of Appraisal theory, and specifically, the Engagement system, we found that experts tend to favor dialogically contracting RVs (e.g., show and find) that endorse the proposition whereas learners rely heavily on expanding RVs that entertain the evidence as an option to consider (e.g., suggest) or simply attribute it to an outside expert (e.g., state). In particular, both the EAL and English L1 learners strongly rely upon more “neutral” attribute: acknowledge structures (e.g., state, according to), providing no overt indication as to their intersubjective stance on the evidence. These comparative findings provide a roadmap for novice writers to develop authorial stance and adapt to the expert conventions of their given fields.","container-title":"Journal of Second Language Writing","DOI":"10.1016/j.jslw.2019.02.001","ISSN":"10603743","journalAbbreviation":"Journal of Second Language Writing","language":"en","page":"37-50","source":"DOI.org (Crossref)","title":"“So and so” says, states and argues: A corpus-assisted engagement analysis of reporting verbs","title-short":"“So and so” says, states and argues","volume":"44","author":[{"family":"Liardét","given":"Cassi L."},{"family":"Black","given":"Sharyn"}],"issued":{"date-parts":[["2019",6]]}}}],"schema":"https://github.com/citation-style-language/schema/raw/master/csl-citation.json"} </w:instrText>
      </w:r>
      <w:r w:rsidRPr="006368A5">
        <w:fldChar w:fldCharType="separate"/>
      </w:r>
      <w:proofErr w:type="spellStart"/>
      <w:r w:rsidRPr="006368A5">
        <w:t>Liardét</w:t>
      </w:r>
      <w:proofErr w:type="spellEnd"/>
      <w:r w:rsidRPr="006368A5">
        <w:t xml:space="preserve"> </w:t>
      </w:r>
      <w:r w:rsidRPr="006368A5">
        <w:rPr>
          <w:rFonts w:hint="eastAsia"/>
        </w:rPr>
        <w:t>and</w:t>
      </w:r>
      <w:r w:rsidRPr="006368A5">
        <w:t xml:space="preserve"> Black </w:t>
      </w:r>
      <w:r w:rsidRPr="006368A5">
        <w:rPr>
          <w:rFonts w:hint="eastAsia"/>
        </w:rPr>
        <w:t>(</w:t>
      </w:r>
      <w:r w:rsidRPr="006368A5">
        <w:t>2019)</w:t>
      </w:r>
      <w:r w:rsidRPr="006368A5">
        <w:fldChar w:fldCharType="end"/>
      </w:r>
      <w:r w:rsidRPr="006368A5">
        <w:rPr>
          <w:rFonts w:hint="eastAsia"/>
        </w:rPr>
        <w:t xml:space="preserve"> found that both L1 and L2 student writers tend</w:t>
      </w:r>
      <w:r w:rsidRPr="006368A5">
        <w:t>ed</w:t>
      </w:r>
      <w:r w:rsidRPr="006368A5">
        <w:rPr>
          <w:rFonts w:hint="eastAsia"/>
        </w:rPr>
        <w:t xml:space="preserve"> to take a neutral stance by acknowledging author-referenced content rather than presenting their </w:t>
      </w:r>
      <w:r w:rsidRPr="006368A5">
        <w:t xml:space="preserve">own </w:t>
      </w:r>
      <w:r w:rsidRPr="006368A5">
        <w:rPr>
          <w:rFonts w:hint="eastAsia"/>
        </w:rPr>
        <w:t xml:space="preserve">stances directly. </w:t>
      </w:r>
      <w:r w:rsidRPr="006368A5">
        <w:t xml:space="preserve">J. J. </w:t>
      </w:r>
      <w:r w:rsidRPr="006368A5">
        <w:fldChar w:fldCharType="begin"/>
      </w:r>
      <w:r w:rsidRPr="006368A5">
        <w:instrText xml:space="preserve"> ADDIN ZOTERO_ITEM CSL_CITATION {"citationID":"YfyUkzOe","properties":{"formattedCitation":"(J. J. Lee et al., 2018)","plainCitation":"(J. J. Lee et al., 2018)","dontUpdate":true,"noteIndex":0},"citationItems":[{"id":939,"uris":["http://zotero.org/users/9207091/items/3DYSQAY4"],"itemData":{"id":939,"type":"article-journal","abstract":"This study reports ﬁndings of an analysis of the citation practices of L2 undergraduate students in the context of ﬁrst-year writing (FYW). Data consist of a corpus of 100 sourcebased research papers written by L2 students in a FYW course. Taking a multi-perspective analytical approach, we examine L2 undergraduate students' citation practices in terms of surface forms, rhetorical functions, and writer stance. Results indicate that L2 students use a restricted range of reporting structures, and they primarily use sources for attribution function to display their knowledge of the topics. Furthermore, as opposed to taking a strong positive or negative position, the ﬁndings show that L2 student writers mainly adopt a non-committal stance by merely acknowledging or distancing themselves from cited materials, suggesting that L2 students are inclined to show deference to the perceived authority of published sources. We conclude with pedagogical options for enhancing L2 university students' citation practices.","container-title":"Journal of English for Academic Purposes","DOI":"10.1016/j.jeap.2018.01.001","ISSN":"14751585","journalAbbreviation":"Journal of English for Academic Purposes","language":"en","page":"1-11","source":"DOI.org (Crossref)","title":"Citation practices of L2 university students in first-year writing: Form, function, and stance","title-short":"Citation practices of L2 university students in first-year writing","volume":"33","author":[{"family":"Lee","given":"Joseph J."},{"family":"Hitchcock","given":"Chris"},{"family":"Elliott Casal","given":"J."}],"issued":{"date-parts":[["2018",5]]}}}],"schema":"https://github.com/citation-style-language/schema/raw/master/csl-citation.json"} </w:instrText>
      </w:r>
      <w:r w:rsidRPr="006368A5">
        <w:fldChar w:fldCharType="separate"/>
      </w:r>
      <w:r w:rsidRPr="006368A5">
        <w:t xml:space="preserve">Lee et al. </w:t>
      </w:r>
      <w:r w:rsidRPr="006368A5">
        <w:rPr>
          <w:rFonts w:hint="eastAsia"/>
        </w:rPr>
        <w:t>(</w:t>
      </w:r>
      <w:r w:rsidRPr="006368A5">
        <w:t>2018)</w:t>
      </w:r>
      <w:r w:rsidRPr="006368A5">
        <w:fldChar w:fldCharType="end"/>
      </w:r>
      <w:r w:rsidRPr="006368A5">
        <w:rPr>
          <w:rFonts w:hint="eastAsia"/>
        </w:rPr>
        <w:t xml:space="preserve"> also confirmed this by demonstrating that many L2 undergraduat</w:t>
      </w:r>
      <w:r w:rsidRPr="006368A5">
        <w:t>e</w:t>
      </w:r>
      <w:r w:rsidRPr="006368A5">
        <w:rPr>
          <w:rFonts w:hint="eastAsia"/>
        </w:rPr>
        <w:t>s</w:t>
      </w:r>
      <w:r w:rsidRPr="006368A5">
        <w:t xml:space="preserve"> </w:t>
      </w:r>
      <w:r w:rsidRPr="006368A5">
        <w:rPr>
          <w:rFonts w:hint="eastAsia"/>
        </w:rPr>
        <w:t>used more</w:t>
      </w:r>
      <w:r w:rsidRPr="006368A5">
        <w:t xml:space="preserve"> noncommittal stance</w:t>
      </w:r>
      <w:r w:rsidRPr="006368A5">
        <w:rPr>
          <w:rFonts w:hint="eastAsia"/>
        </w:rPr>
        <w:t>s</w:t>
      </w:r>
      <w:r w:rsidRPr="006368A5">
        <w:t xml:space="preserve">, favoring the </w:t>
      </w:r>
      <w:r w:rsidRPr="006368A5">
        <w:rPr>
          <w:rFonts w:hint="eastAsia"/>
        </w:rPr>
        <w:t>creati</w:t>
      </w:r>
      <w:r w:rsidRPr="006368A5">
        <w:t>on of</w:t>
      </w:r>
      <w:r w:rsidRPr="006368A5">
        <w:rPr>
          <w:rFonts w:hint="eastAsia"/>
        </w:rPr>
        <w:t xml:space="preserve"> distance from</w:t>
      </w:r>
      <w:r w:rsidRPr="006368A5">
        <w:t xml:space="preserve"> the </w:t>
      </w:r>
      <w:r w:rsidRPr="006368A5">
        <w:rPr>
          <w:rFonts w:hint="eastAsia"/>
        </w:rPr>
        <w:t xml:space="preserve">cited sources </w:t>
      </w:r>
      <w:r w:rsidRPr="006368A5">
        <w:t>over</w:t>
      </w:r>
      <w:r w:rsidRPr="006368A5">
        <w:rPr>
          <w:rFonts w:hint="eastAsia"/>
        </w:rPr>
        <w:t xml:space="preserve"> evaluating the</w:t>
      </w:r>
      <w:r w:rsidRPr="006368A5">
        <w:t>m</w:t>
      </w:r>
      <w:r w:rsidRPr="006368A5">
        <w:rPr>
          <w:rFonts w:hint="eastAsia"/>
        </w:rPr>
        <w:t xml:space="preserve"> overtly. L2 students</w:t>
      </w:r>
      <w:r w:rsidRPr="006368A5">
        <w:t>’</w:t>
      </w:r>
      <w:r w:rsidRPr="006368A5">
        <w:rPr>
          <w:rFonts w:hint="eastAsia"/>
        </w:rPr>
        <w:t xml:space="preserve"> avoidance may be related to their self-positioning as a figure of lower authority compared to published authors, prompting them to use more </w:t>
      </w:r>
      <w:r w:rsidRPr="006368A5">
        <w:t>respectful</w:t>
      </w:r>
      <w:r w:rsidRPr="006368A5">
        <w:rPr>
          <w:rFonts w:hint="eastAsia"/>
        </w:rPr>
        <w:t xml:space="preserve"> language toward the cited authors.</w:t>
      </w:r>
    </w:p>
    <w:p w14:paraId="4FF319DB" w14:textId="77777777" w:rsidR="00E027AC" w:rsidRDefault="00E027AC" w:rsidP="00E027AC">
      <w:pPr>
        <w:pStyle w:val="L2JBody"/>
      </w:pPr>
      <w:r w:rsidRPr="006368A5">
        <w:rPr>
          <w:rFonts w:hint="eastAsia"/>
        </w:rPr>
        <w:t>Overall, s</w:t>
      </w:r>
      <w:r w:rsidRPr="006368A5">
        <w:t>ource</w:t>
      </w:r>
      <w:r w:rsidRPr="006368A5">
        <w:rPr>
          <w:rFonts w:hint="eastAsia"/>
        </w:rPr>
        <w:t xml:space="preserve"> use and integration have been a primary </w:t>
      </w:r>
      <w:r w:rsidRPr="006368A5">
        <w:t>interest</w:t>
      </w:r>
      <w:r w:rsidRPr="006368A5">
        <w:rPr>
          <w:rFonts w:hint="eastAsia"/>
        </w:rPr>
        <w:t xml:space="preserve"> in synthesis writing </w:t>
      </w:r>
      <w:r w:rsidRPr="006368A5">
        <w:t>because effective</w:t>
      </w:r>
      <w:r w:rsidRPr="006368A5">
        <w:rPr>
          <w:rFonts w:hint="eastAsia"/>
        </w:rPr>
        <w:t xml:space="preserve"> deployment of source </w:t>
      </w:r>
      <w:r w:rsidRPr="006368A5">
        <w:t>material</w:t>
      </w:r>
      <w:r w:rsidRPr="006368A5">
        <w:rPr>
          <w:rFonts w:hint="eastAsia"/>
        </w:rPr>
        <w:t xml:space="preserve"> is an </w:t>
      </w:r>
      <w:r w:rsidRPr="006368A5">
        <w:t>indispensable</w:t>
      </w:r>
      <w:r w:rsidRPr="006368A5">
        <w:rPr>
          <w:rFonts w:hint="eastAsia"/>
        </w:rPr>
        <w:t xml:space="preserve"> part of success in synthesis writing. In addition to the studies </w:t>
      </w:r>
      <w:r w:rsidRPr="006368A5">
        <w:t xml:space="preserve">noted </w:t>
      </w:r>
      <w:r w:rsidRPr="006368A5">
        <w:rPr>
          <w:rFonts w:hint="eastAsia"/>
        </w:rPr>
        <w:t xml:space="preserve">above, other studies </w:t>
      </w:r>
      <w:r w:rsidRPr="006368A5">
        <w:t xml:space="preserve">were designed to </w:t>
      </w:r>
      <w:r w:rsidRPr="006368A5">
        <w:rPr>
          <w:rFonts w:hint="eastAsia"/>
        </w:rPr>
        <w:t xml:space="preserve">investigate topics </w:t>
      </w:r>
      <w:r w:rsidRPr="006368A5">
        <w:t>like</w:t>
      </w:r>
      <w:r w:rsidRPr="006368A5">
        <w:rPr>
          <w:rFonts w:hint="eastAsia"/>
        </w:rPr>
        <w:t xml:space="preserve"> forms and functions of source use, plagiarism issues, and reporting verbs.</w:t>
      </w:r>
    </w:p>
    <w:p w14:paraId="4BB280A2" w14:textId="77777777" w:rsidR="00E027AC" w:rsidRPr="006368A5" w:rsidRDefault="00E027AC" w:rsidP="00E027AC">
      <w:pPr>
        <w:pStyle w:val="L2JBody"/>
      </w:pPr>
    </w:p>
    <w:p w14:paraId="3C33D3F4" w14:textId="77777777" w:rsidR="00E027AC" w:rsidRDefault="00E027AC" w:rsidP="00E027AC">
      <w:pPr>
        <w:pStyle w:val="L2JH3"/>
        <w:rPr>
          <w:shd w:val="clear" w:color="auto" w:fill="FFFFFF"/>
        </w:rPr>
      </w:pPr>
      <w:r w:rsidRPr="006368A5">
        <w:rPr>
          <w:shd w:val="clear" w:color="auto" w:fill="FFFFFF"/>
        </w:rPr>
        <w:t xml:space="preserve">Predictors of Writing </w:t>
      </w:r>
      <w:bookmarkStart w:id="7" w:name="_Hlk108722428"/>
      <w:r w:rsidRPr="006368A5">
        <w:rPr>
          <w:shd w:val="clear" w:color="auto" w:fill="FFFFFF"/>
        </w:rPr>
        <w:t>Performance</w:t>
      </w:r>
    </w:p>
    <w:p w14:paraId="0384D884" w14:textId="77777777" w:rsidR="00E027AC" w:rsidRPr="006368A5" w:rsidRDefault="00E027AC" w:rsidP="00E027AC">
      <w:pPr>
        <w:pStyle w:val="L2JH3"/>
        <w:rPr>
          <w:shd w:val="clear" w:color="auto" w:fill="FFFFFF"/>
        </w:rPr>
      </w:pPr>
    </w:p>
    <w:p w14:paraId="2B5718F9" w14:textId="77777777" w:rsidR="00E027AC" w:rsidRPr="006368A5" w:rsidRDefault="00E027AC" w:rsidP="00E027AC">
      <w:pPr>
        <w:pStyle w:val="L2JBody"/>
        <w:ind w:firstLine="0"/>
        <w:rPr>
          <w:i/>
          <w:iCs/>
          <w:shd w:val="clear" w:color="auto" w:fill="FFFFFF"/>
        </w:rPr>
      </w:pPr>
      <w:r w:rsidRPr="006368A5">
        <w:rPr>
          <w:rFonts w:hint="eastAsia"/>
        </w:rPr>
        <w:t xml:space="preserve">The topic of predicting writing performance has also been part of </w:t>
      </w:r>
      <w:r w:rsidRPr="006368A5">
        <w:t xml:space="preserve">the </w:t>
      </w:r>
      <w:r w:rsidRPr="006368A5">
        <w:rPr>
          <w:rFonts w:hint="eastAsia"/>
        </w:rPr>
        <w:t xml:space="preserve">central discussion </w:t>
      </w:r>
      <w:r w:rsidRPr="006368A5">
        <w:t>of</w:t>
      </w:r>
      <w:r w:rsidRPr="006368A5">
        <w:rPr>
          <w:rFonts w:hint="eastAsia"/>
        </w:rPr>
        <w:t xml:space="preserve"> synthesis writing. Many scholars (</w:t>
      </w:r>
      <w:r w:rsidRPr="006368A5">
        <w:t>e.g.,</w:t>
      </w:r>
      <w:r w:rsidRPr="006368A5">
        <w:rPr>
          <w:rFonts w:hint="eastAsia"/>
        </w:rPr>
        <w:t xml:space="preserve"> L</w:t>
      </w:r>
      <w:r w:rsidRPr="006368A5">
        <w:t xml:space="preserve">ia </w:t>
      </w:r>
      <w:proofErr w:type="spellStart"/>
      <w:r w:rsidRPr="006368A5">
        <w:rPr>
          <w:rFonts w:hint="eastAsia"/>
        </w:rPr>
        <w:t>P</w:t>
      </w:r>
      <w:r w:rsidRPr="006368A5">
        <w:t>lakans</w:t>
      </w:r>
      <w:proofErr w:type="spellEnd"/>
      <w:r w:rsidRPr="006368A5">
        <w:rPr>
          <w:rFonts w:hint="eastAsia"/>
        </w:rPr>
        <w:t xml:space="preserve">, </w:t>
      </w:r>
      <w:r w:rsidRPr="006368A5">
        <w:t>Atta Gebril</w:t>
      </w:r>
      <w:r w:rsidRPr="006368A5">
        <w:rPr>
          <w:rFonts w:hint="eastAsia"/>
        </w:rPr>
        <w:t xml:space="preserve">, and </w:t>
      </w:r>
      <w:r w:rsidRPr="006368A5">
        <w:rPr>
          <w:rFonts w:ascii="Times New Roman" w:hAnsi="Times New Roman" w:cs="Times New Roman"/>
        </w:rPr>
        <w:t>​</w:t>
      </w:r>
      <w:r w:rsidRPr="006368A5">
        <w:t>Kristopher</w:t>
      </w:r>
      <w:r w:rsidRPr="006368A5">
        <w:rPr>
          <w:rFonts w:hint="eastAsia"/>
        </w:rPr>
        <w:t xml:space="preserve"> Kyle) in the </w:t>
      </w:r>
      <w:r w:rsidRPr="006368A5">
        <w:t>assessment</w:t>
      </w:r>
      <w:r w:rsidRPr="006368A5">
        <w:rPr>
          <w:rFonts w:hint="eastAsia"/>
        </w:rPr>
        <w:t xml:space="preserve"> sector have scrutinized linguistic features that could anticipate overall writing scores. Table </w:t>
      </w:r>
      <w:r w:rsidRPr="006368A5">
        <w:t xml:space="preserve">6 shows </w:t>
      </w:r>
      <w:r w:rsidRPr="006368A5">
        <w:rPr>
          <w:rFonts w:hint="eastAsia"/>
        </w:rPr>
        <w:t xml:space="preserve">some example studies connected to assessment. </w:t>
      </w:r>
    </w:p>
    <w:p w14:paraId="7BC62917" w14:textId="77777777" w:rsidR="00E027AC" w:rsidRDefault="00E027AC" w:rsidP="00E027AC">
      <w:pPr>
        <w:pStyle w:val="L2JFigureCallOut"/>
        <w:rPr>
          <w:shd w:val="clear" w:color="auto" w:fill="FFFFFF"/>
        </w:rPr>
      </w:pPr>
    </w:p>
    <w:p w14:paraId="72981E0E" w14:textId="50C5FDF0" w:rsidR="00E027AC" w:rsidRDefault="00E027AC" w:rsidP="00E027AC">
      <w:pPr>
        <w:pStyle w:val="L2JFigureCallOut"/>
        <w:rPr>
          <w:shd w:val="clear" w:color="auto" w:fill="FFFFFF"/>
        </w:rPr>
      </w:pPr>
      <w:r w:rsidRPr="006368A5">
        <w:rPr>
          <w:shd w:val="clear" w:color="auto" w:fill="FFFFFF"/>
        </w:rPr>
        <w:t>Table 6</w:t>
      </w:r>
    </w:p>
    <w:p w14:paraId="18090DD1" w14:textId="77777777" w:rsidR="00E027AC" w:rsidRPr="00E027AC" w:rsidRDefault="00E027AC" w:rsidP="00E027AC">
      <w:pPr>
        <w:pStyle w:val="L2JFigureCallOut"/>
        <w:rPr>
          <w:shd w:val="clear" w:color="auto" w:fill="FFFFFF"/>
        </w:rPr>
      </w:pPr>
    </w:p>
    <w:p w14:paraId="2A5F7284" w14:textId="7C23559B" w:rsidR="00E027AC" w:rsidRDefault="00E027AC" w:rsidP="00E027AC">
      <w:pPr>
        <w:pStyle w:val="L2JFigureTitle"/>
      </w:pPr>
      <w:r w:rsidRPr="00E027AC">
        <w:t xml:space="preserve">Example </w:t>
      </w:r>
      <w:r w:rsidRPr="00E027AC">
        <w:rPr>
          <w:rFonts w:hint="eastAsia"/>
        </w:rPr>
        <w:t>S</w:t>
      </w:r>
      <w:r w:rsidRPr="00E027AC">
        <w:t xml:space="preserve">tudies on </w:t>
      </w:r>
      <w:r w:rsidRPr="00E027AC">
        <w:rPr>
          <w:rFonts w:hint="eastAsia"/>
        </w:rPr>
        <w:t>P</w:t>
      </w:r>
      <w:r w:rsidRPr="00E027AC">
        <w:t xml:space="preserve">redictors of </w:t>
      </w:r>
      <w:r w:rsidRPr="00E027AC">
        <w:rPr>
          <w:rFonts w:hint="eastAsia"/>
        </w:rPr>
        <w:t>Writing Performance</w:t>
      </w:r>
    </w:p>
    <w:p w14:paraId="207DEDFA" w14:textId="77777777" w:rsidR="00E027AC" w:rsidRPr="00E027AC" w:rsidRDefault="00E027AC" w:rsidP="00E027AC">
      <w:pPr>
        <w:pStyle w:val="L2JFigureTitle"/>
      </w:pPr>
    </w:p>
    <w:tbl>
      <w:tblPr>
        <w:tblStyle w:val="TableGrid"/>
        <w:tblW w:w="0" w:type="auto"/>
        <w:tblLook w:val="04A0" w:firstRow="1" w:lastRow="0" w:firstColumn="1" w:lastColumn="0" w:noHBand="0" w:noVBand="1"/>
      </w:tblPr>
      <w:tblGrid>
        <w:gridCol w:w="4311"/>
        <w:gridCol w:w="4329"/>
      </w:tblGrid>
      <w:tr w:rsidR="00E027AC" w:rsidRPr="00E027AC" w14:paraId="09191DCF" w14:textId="77777777" w:rsidTr="00924822">
        <w:tc>
          <w:tcPr>
            <w:tcW w:w="4676" w:type="dxa"/>
            <w:tcBorders>
              <w:left w:val="nil"/>
              <w:bottom w:val="single" w:sz="4" w:space="0" w:color="auto"/>
              <w:right w:val="nil"/>
            </w:tcBorders>
          </w:tcPr>
          <w:p w14:paraId="2AB8FF48"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 xml:space="preserve">Study on predictors of success </w:t>
            </w:r>
          </w:p>
          <w:p w14:paraId="16263205"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and assessment tools</w:t>
            </w:r>
          </w:p>
        </w:tc>
        <w:tc>
          <w:tcPr>
            <w:tcW w:w="4676" w:type="dxa"/>
            <w:tcBorders>
              <w:left w:val="nil"/>
              <w:bottom w:val="single" w:sz="4" w:space="0" w:color="auto"/>
              <w:right w:val="nil"/>
            </w:tcBorders>
          </w:tcPr>
          <w:p w14:paraId="52599A85"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Specific focus</w:t>
            </w:r>
          </w:p>
          <w:p w14:paraId="5289BCB4" w14:textId="77777777" w:rsidR="00E027AC" w:rsidRPr="00E027AC" w:rsidRDefault="00E027AC" w:rsidP="00924822">
            <w:pPr>
              <w:rPr>
                <w:rFonts w:ascii="Garamond" w:hAnsi="Garamond"/>
                <w:sz w:val="24"/>
                <w:szCs w:val="24"/>
                <w:shd w:val="clear" w:color="auto" w:fill="FFFFFF"/>
              </w:rPr>
            </w:pPr>
          </w:p>
        </w:tc>
      </w:tr>
      <w:tr w:rsidR="00E027AC" w:rsidRPr="00E027AC" w14:paraId="13C3C213" w14:textId="77777777" w:rsidTr="00924822">
        <w:tc>
          <w:tcPr>
            <w:tcW w:w="4676" w:type="dxa"/>
            <w:tcBorders>
              <w:top w:val="single" w:sz="4" w:space="0" w:color="auto"/>
              <w:left w:val="nil"/>
              <w:bottom w:val="nil"/>
              <w:right w:val="nil"/>
            </w:tcBorders>
          </w:tcPr>
          <w:p w14:paraId="23994E91" w14:textId="77777777" w:rsidR="00E027AC" w:rsidRPr="00E027AC" w:rsidRDefault="00E027AC" w:rsidP="00924822">
            <w:pPr>
              <w:rPr>
                <w:rFonts w:ascii="Garamond" w:eastAsia="Malgun Gothic" w:hAnsi="Garamond" w:cs="Times New Roman"/>
                <w:sz w:val="24"/>
                <w:szCs w:val="24"/>
                <w:lang w:val="es-ES"/>
              </w:rPr>
            </w:pPr>
            <w:r w:rsidRPr="00E027AC">
              <w:rPr>
                <w:rFonts w:ascii="Garamond" w:eastAsia="Malgun Gothic" w:hAnsi="Garamond" w:cs="Times New Roman"/>
                <w:sz w:val="24"/>
                <w:szCs w:val="24"/>
              </w:rPr>
              <w:lastRenderedPageBreak/>
              <w:fldChar w:fldCharType="begin"/>
            </w:r>
            <w:r w:rsidRPr="00E027AC">
              <w:rPr>
                <w:rFonts w:ascii="Garamond" w:eastAsia="Malgun Gothic" w:hAnsi="Garamond" w:cs="Times New Roman"/>
                <w:sz w:val="24"/>
                <w:szCs w:val="24"/>
                <w:lang w:val="es-ES"/>
              </w:rPr>
              <w:instrText xml:space="preserve"> ADDIN ZOTERO_ITEM CSL_CITATION {"citationID":"j4wcpuaB","properties":{"formattedCitation":"(Guo et al., 2013)","plainCitation":"(Guo et al., 2013)","dontUpdate":true,"noteIndex":0},"citationItems":[{"id":3033,"uris":["http://zotero.org/users/9207091/items/XGXFHBLT"],"itemData":{"id":3033,"type":"article-journal","container-title":"Assessing Writing","DOI":"10.1016/j.asw.2013.05.002","ISSN":"10752935","issue":"3","journalAbbreviation":"Assessing Writing","language":"en","page":"218-238","source":"DOI.org (Crossref)","title":"Predicting human judgments of essay quality in both integrated and independent second language writing samples: A comparison study","title-short":"Predicting human judgments of essay quality in both integrated and independent second language writing samples","volume":"18","author":[{"family":"Guo","given":"Liang"},{"family":"Crossley","given":"Scott A."},{"family":"McNamara","given":"Danielle S."}],"issued":{"date-parts":[["2013",7]]}}}],"schema":"https://github.com/citation-style-language/schema/raw/master/csl-citation.json"} </w:instrText>
            </w:r>
            <w:r w:rsidRPr="00E027AC">
              <w:rPr>
                <w:rFonts w:ascii="Garamond" w:eastAsia="Malgun Gothic" w:hAnsi="Garamond" w:cs="Times New Roman"/>
                <w:sz w:val="24"/>
                <w:szCs w:val="24"/>
              </w:rPr>
              <w:fldChar w:fldCharType="separate"/>
            </w:r>
            <w:proofErr w:type="spellStart"/>
            <w:r w:rsidRPr="00E027AC">
              <w:rPr>
                <w:rFonts w:ascii="Garamond" w:hAnsi="Garamond" w:cs="Times New Roman"/>
                <w:sz w:val="24"/>
                <w:lang w:val="es-ES"/>
              </w:rPr>
              <w:t>Guo</w:t>
            </w:r>
            <w:proofErr w:type="spellEnd"/>
            <w:r w:rsidRPr="00E027AC">
              <w:rPr>
                <w:rFonts w:ascii="Garamond" w:hAnsi="Garamond" w:cs="Times New Roman"/>
                <w:sz w:val="24"/>
                <w:lang w:val="es-ES"/>
              </w:rPr>
              <w:t xml:space="preserve"> et al. (2013)</w:t>
            </w:r>
            <w:r w:rsidRPr="00E027AC">
              <w:rPr>
                <w:rFonts w:ascii="Garamond" w:eastAsia="Malgun Gothic" w:hAnsi="Garamond" w:cs="Times New Roman"/>
                <w:sz w:val="24"/>
                <w:szCs w:val="24"/>
              </w:rPr>
              <w:fldChar w:fldCharType="end"/>
            </w:r>
          </w:p>
          <w:p w14:paraId="4B67C546" w14:textId="77777777" w:rsidR="00E027AC" w:rsidRPr="00E027AC" w:rsidRDefault="00E027AC" w:rsidP="00924822">
            <w:pPr>
              <w:rPr>
                <w:rFonts w:ascii="Garamond" w:eastAsia="Malgun Gothic" w:hAnsi="Garamond" w:cs="Times New Roman"/>
                <w:sz w:val="24"/>
                <w:szCs w:val="24"/>
                <w:lang w:val="es-ES"/>
              </w:rPr>
            </w:pPr>
            <w:r w:rsidRPr="00E027AC">
              <w:rPr>
                <w:rFonts w:ascii="Garamond" w:eastAsia="Malgun Gothic" w:hAnsi="Garamond" w:cs="Times New Roman"/>
                <w:sz w:val="24"/>
                <w:szCs w:val="24"/>
              </w:rPr>
              <w:fldChar w:fldCharType="begin"/>
            </w:r>
            <w:r w:rsidRPr="00E027AC">
              <w:rPr>
                <w:rFonts w:ascii="Garamond" w:eastAsia="Malgun Gothic" w:hAnsi="Garamond" w:cs="Times New Roman"/>
                <w:sz w:val="24"/>
                <w:szCs w:val="24"/>
                <w:lang w:val="es-ES"/>
              </w:rPr>
              <w:instrText xml:space="preserve"> ADDIN ZOTERO_ITEM CSL_CITATION {"citationID":"AnZM78N3","properties":{"formattedCitation":"(Mostafa &amp; Crossley, 2020)","plainCitation":"(Mostafa &amp; Crossley, 2020)","dontUpdate":true,"noteIndex":0},"citationItems":[{"id":3083,"uris":["http://zotero.org/users/9207091/items/N9MYYEVM"],"itemData":{"id":3083,"type":"article-journal","abstract":"The purpose of the study is to investigate whether verb argument construction (VAC) based indices of syntactic complexity significantly vary in different second language (L2) writing tasks and whether such complexity measures vary in their relationship to writing quality. The present study used data from three different L2 writing tasks: descriptive, independent, and integrated. Descriptive essays (N = 70) were taken from the Michigan State University corpus (ConnorLinton &amp; Polio, 2014). Independent (N = 70) and integrated (N = 70) essays were selected from TOEFL public use dataset. Each corpus contained an equal number of essays written on two prompts (for a total of six prompts). Each essay was rated by two trained raters using TOEFL independent or integrated writing rubrics. The selected essays were stratified by writing scores, and it was made sure that the scores were normally distributed. The Tool for the Automatic Analysis of Syntactic Sophistication and Complexity (Kyle, 2016) was used to calculate the VACbased indices. Multinomial logistic regression and linear models were used to analyze the data. The findings indicate that VAC-based complexity measures vary by L2 writing tasks and that the relationship between VAC measures and L2 writing quality is also task-dependent with few prompt-based effects.","container-title":"Journal of Second Language Writing","DOI":"10.1016/j.jslw.2020.100730","ISSN":"10603743","journalAbbreviation":"Journal of Second Language Writing","language":"en","page":"100730","source":"DOI.org (Crossref)","title":"Verb argument construction complexity indices and L2 writing quality: Effects of writing tasks and prompts","title-short":"Verb argument construction complexity indices and L2 writing quality","volume":"49","author":[{"family":"Mostafa","given":"Tamanna"},{"family":"Crossley","given":"Scott A."}],"issued":{"date-parts":[["2020",9]]}}}],"schema":"https://github.com/citation-style-language/schema/raw/master/csl-citation.json"} </w:instrText>
            </w:r>
            <w:r w:rsidRPr="00E027AC">
              <w:rPr>
                <w:rFonts w:ascii="Garamond" w:eastAsia="Malgun Gothic" w:hAnsi="Garamond" w:cs="Times New Roman"/>
                <w:sz w:val="24"/>
                <w:szCs w:val="24"/>
              </w:rPr>
              <w:fldChar w:fldCharType="separate"/>
            </w:r>
            <w:proofErr w:type="spellStart"/>
            <w:r w:rsidRPr="00E027AC">
              <w:rPr>
                <w:rFonts w:ascii="Garamond" w:hAnsi="Garamond" w:cs="Times New Roman"/>
                <w:sz w:val="24"/>
                <w:lang w:val="es-ES"/>
              </w:rPr>
              <w:t>Mostafa</w:t>
            </w:r>
            <w:proofErr w:type="spellEnd"/>
            <w:r w:rsidRPr="00E027AC">
              <w:rPr>
                <w:rFonts w:ascii="Garamond" w:hAnsi="Garamond" w:cs="Times New Roman"/>
                <w:sz w:val="24"/>
                <w:lang w:val="es-ES"/>
              </w:rPr>
              <w:t xml:space="preserve"> and </w:t>
            </w:r>
            <w:proofErr w:type="spellStart"/>
            <w:r w:rsidRPr="00E027AC">
              <w:rPr>
                <w:rFonts w:ascii="Garamond" w:hAnsi="Garamond" w:cs="Times New Roman"/>
                <w:sz w:val="24"/>
                <w:lang w:val="es-ES"/>
              </w:rPr>
              <w:t>Crossley</w:t>
            </w:r>
            <w:proofErr w:type="spellEnd"/>
            <w:r w:rsidRPr="00E027AC">
              <w:rPr>
                <w:rFonts w:ascii="Garamond" w:hAnsi="Garamond" w:cs="Times New Roman"/>
                <w:sz w:val="24"/>
                <w:lang w:val="es-ES"/>
              </w:rPr>
              <w:t xml:space="preserve"> (2020)</w:t>
            </w:r>
            <w:r w:rsidRPr="00E027AC">
              <w:rPr>
                <w:rFonts w:ascii="Garamond" w:eastAsia="Malgun Gothic" w:hAnsi="Garamond" w:cs="Times New Roman"/>
                <w:sz w:val="24"/>
                <w:szCs w:val="24"/>
              </w:rPr>
              <w:fldChar w:fldCharType="end"/>
            </w:r>
          </w:p>
          <w:p w14:paraId="6707FBE6" w14:textId="77777777" w:rsidR="00E027AC" w:rsidRPr="00E027AC" w:rsidRDefault="00E027AC" w:rsidP="00924822">
            <w:pPr>
              <w:rPr>
                <w:rFonts w:ascii="Garamond" w:hAnsi="Garamond"/>
                <w:sz w:val="24"/>
                <w:szCs w:val="24"/>
                <w:shd w:val="clear" w:color="auto" w:fill="FFFFFF"/>
                <w:lang w:val="es-ES"/>
              </w:rPr>
            </w:pPr>
          </w:p>
        </w:tc>
        <w:tc>
          <w:tcPr>
            <w:tcW w:w="4676" w:type="dxa"/>
            <w:tcBorders>
              <w:top w:val="single" w:sz="4" w:space="0" w:color="auto"/>
              <w:left w:val="nil"/>
              <w:bottom w:val="nil"/>
              <w:right w:val="nil"/>
            </w:tcBorders>
            <w:vAlign w:val="center"/>
          </w:tcPr>
          <w:p w14:paraId="38578EDB" w14:textId="77777777" w:rsidR="00E027AC" w:rsidRPr="00E027AC" w:rsidRDefault="00E027AC" w:rsidP="00924822">
            <w:pPr>
              <w:rPr>
                <w:rFonts w:ascii="Garamond" w:eastAsia="Malgun Gothic" w:hAnsi="Garamond" w:cs="Times New Roman"/>
                <w:sz w:val="24"/>
                <w:szCs w:val="24"/>
              </w:rPr>
            </w:pPr>
            <w:r w:rsidRPr="00E027AC">
              <w:rPr>
                <w:rFonts w:ascii="Garamond" w:eastAsia="Malgun Gothic" w:hAnsi="Garamond" w:cs="Times New Roman"/>
                <w:sz w:val="24"/>
                <w:szCs w:val="24"/>
              </w:rPr>
              <w:t>Predictors of independent and integrated writing performance</w:t>
            </w:r>
          </w:p>
          <w:p w14:paraId="12103B68" w14:textId="77777777" w:rsidR="00E027AC" w:rsidRPr="00E027AC" w:rsidRDefault="00E027AC" w:rsidP="00924822">
            <w:pPr>
              <w:rPr>
                <w:rFonts w:ascii="Garamond" w:hAnsi="Garamond"/>
                <w:sz w:val="24"/>
                <w:szCs w:val="24"/>
                <w:shd w:val="clear" w:color="auto" w:fill="FFFFFF"/>
              </w:rPr>
            </w:pPr>
          </w:p>
        </w:tc>
      </w:tr>
      <w:tr w:rsidR="00E027AC" w:rsidRPr="00E027AC" w14:paraId="6D8DFAEC" w14:textId="77777777" w:rsidTr="00924822">
        <w:tc>
          <w:tcPr>
            <w:tcW w:w="4676" w:type="dxa"/>
            <w:tcBorders>
              <w:top w:val="nil"/>
              <w:left w:val="nil"/>
              <w:bottom w:val="nil"/>
              <w:right w:val="nil"/>
            </w:tcBorders>
          </w:tcPr>
          <w:p w14:paraId="57F91CB5" w14:textId="77777777" w:rsidR="00E027AC" w:rsidRPr="00E027AC" w:rsidRDefault="00E027AC" w:rsidP="00924822">
            <w:pPr>
              <w:rPr>
                <w:rFonts w:ascii="Garamond" w:eastAsia="Malgun Gothic" w:hAnsi="Garamond" w:cs="Times New Roman"/>
                <w:sz w:val="24"/>
                <w:szCs w:val="24"/>
              </w:rPr>
            </w:pPr>
            <w:r w:rsidRPr="00E027AC">
              <w:rPr>
                <w:rFonts w:ascii="Garamond" w:eastAsia="Malgun Gothic" w:hAnsi="Garamond" w:cs="Times New Roman"/>
                <w:sz w:val="24"/>
                <w:szCs w:val="24"/>
              </w:rPr>
              <w:fldChar w:fldCharType="begin"/>
            </w:r>
            <w:r w:rsidRPr="00E027AC">
              <w:rPr>
                <w:rFonts w:ascii="Garamond" w:eastAsia="Malgun Gothic" w:hAnsi="Garamond" w:cs="Times New Roman"/>
                <w:sz w:val="24"/>
                <w:szCs w:val="24"/>
              </w:rPr>
              <w:instrText xml:space="preserve"> ADDIN ZOTERO_ITEM CSL_CITATION {"citationID":"W4HBgq1i","properties":{"formattedCitation":"(Kyle, 2020)","plainCitation":"(Kyle, 2020)","dontUpdate":true,"noteIndex":0},"citationItems":[{"id":708,"uris":["http://zotero.org/users/9207091/items/39AVE3A3"],"itemData":{"id":708,"type":"article-journal","abstract":"Academic writing ability is an important aspect of success in higher education. Recently, standardized academic language proﬁciency tests (such as the TOEFL) have begun to include integrated writing tasks, which ask test-takers to read and/or listen to a passage and construct a response that reﬂects the information in the passage(s). Arguably, integrated tasks more closely resemble authentic academic tasks than independent tasks, and therefore increase the construct validity of assessment tools that include them (Cumming et al., 2005; Taylor &amp; Angelis, 2008). A number of recent studies have investigated diﬀerences between the products and processes of responding to independent and integrated tasks (Guo et al., 2013; Kyle &amp; Crossley, 2016; Plakans, 2009a; Plakans &amp; Gebril, 2013). In this study, the relationship between automated indices of source text use and holistic quality scores is investigated, building on Plakans and Gebril (2013). The results indicate that a number of indices related to content word overlap and n-gram overlap explained a substantial portion of the variance in holistic scores. These results generally align with the ﬁndings of Plakans and Gebril (2013), and provide important implications for increasing the construct coverage of automated scoring models (such as e-rater).","container-title":"Assessing Writing","DOI":"10.1016/j.asw.2020.100467","ISSN":"10752935","journalAbbreviation":"Assessing Writing","language":"en","page":"100467","source":"DOI.org (Crossref)","title":"The relationship between features of source text use and integrated writing quality","volume":"45","author":[{"family":"Kyle","given":"Kristopher"}],"issued":{"date-parts":[["2020",7]]}}}],"schema":"https://github.com/citation-style-language/schema/raw/master/csl-citation.json"} </w:instrText>
            </w:r>
            <w:r w:rsidRPr="00E027AC">
              <w:rPr>
                <w:rFonts w:ascii="Garamond" w:eastAsia="Malgun Gothic" w:hAnsi="Garamond" w:cs="Times New Roman"/>
                <w:sz w:val="24"/>
                <w:szCs w:val="24"/>
              </w:rPr>
              <w:fldChar w:fldCharType="separate"/>
            </w:r>
            <w:r w:rsidRPr="00E027AC">
              <w:rPr>
                <w:rFonts w:ascii="Garamond" w:hAnsi="Garamond" w:cs="Times New Roman"/>
                <w:sz w:val="24"/>
              </w:rPr>
              <w:t>Kyle (2020)</w:t>
            </w:r>
            <w:r w:rsidRPr="00E027AC">
              <w:rPr>
                <w:rFonts w:ascii="Garamond" w:eastAsia="Malgun Gothic" w:hAnsi="Garamond" w:cs="Times New Roman"/>
                <w:sz w:val="24"/>
                <w:szCs w:val="24"/>
              </w:rPr>
              <w:fldChar w:fldCharType="end"/>
            </w:r>
          </w:p>
          <w:p w14:paraId="0ACF2260" w14:textId="77777777" w:rsidR="00E027AC" w:rsidRPr="00E027AC" w:rsidRDefault="00E027AC" w:rsidP="00924822">
            <w:pPr>
              <w:rPr>
                <w:rFonts w:ascii="Garamond" w:eastAsia="Malgun Gothic" w:hAnsi="Garamond" w:cs="Times New Roman"/>
                <w:sz w:val="24"/>
                <w:szCs w:val="24"/>
              </w:rPr>
            </w:pPr>
            <w:r w:rsidRPr="00E027AC">
              <w:rPr>
                <w:rFonts w:ascii="Garamond" w:eastAsia="Malgun Gothic" w:hAnsi="Garamond" w:cs="Times New Roman"/>
                <w:sz w:val="24"/>
                <w:szCs w:val="24"/>
              </w:rPr>
              <w:fldChar w:fldCharType="begin"/>
            </w:r>
            <w:r w:rsidRPr="00E027AC">
              <w:rPr>
                <w:rFonts w:ascii="Garamond" w:eastAsia="Malgun Gothic" w:hAnsi="Garamond" w:cs="Times New Roman"/>
                <w:sz w:val="24"/>
                <w:szCs w:val="24"/>
              </w:rPr>
              <w:instrText xml:space="preserve"> ADDIN ZOTERO_ITEM CSL_CITATION {"citationID":"v3hqgCAV","properties":{"formattedCitation":"(Payant et al., 2019)","plainCitation":"(Payant et al., 2019)","dontUpdate":true,"noteIndex":0},"citationItems":[{"id":646,"uris":["http://zotero.org/users/9207091/items/CRJY8SKN"],"itemData":{"id":646,"type":"article-journal","abstract":"Integrated writing tasks are widely used in L2 academic proﬁciency tests (Cohen, 2009) even though L2 writers experience challenges with the comprehension and integration of source ideas (Plakans &amp; Gebril, 2013). Relatively few studies have examined whether prewriting planning helps mitigate these challenges (Hayes, 1996) or whether L2 writers' individual differences affect any potential beneﬁts for prewriting planning. Therefore, this study explores the contribution of source comprehension, individual differences, and prewriting planning to English L2 writers' performance on a Canadian Academic English Language (CAEL) Assessment integrated writing task. English for academic purposes students (N ¼ 111) carried out reading comprehension, listening comprehension and integrated writing sections of a CAEL test, writing anxiety and self-efﬁcacy questionnaires, and a semi-structured interview. CAEL writing band scores along with reading and listening comprehension scores were obtained and participants' prewriting planning notes were analyzed in terms of their strategies and degree of elaboration. Multiple regression models indicated that anxiety and reading scores were signiﬁcant predictors of CAEL writing band scores, and the interview data provided greater insights into the L2 writers' reading-toplan strategies and challenges. Pedagogical implications are discussed to increase students' understanding of the connections between reading comprehension and prewriting planning.","container-title":"Journal of English for Academic Purposes","DOI":"10.1016/j.jeap.2019.06.001","ISSN":"14751585","journalAbbreviation":"Journal of English for Academic Purposes","language":"en","page":"87-97","source":"DOI.org (Crossref)","title":"Predicting integrated writing task performance: Source comprehension, prewriting planning, and individual differences","title-short":"Predicting integrated writing task performance","volume":"40","author":[{"family":"Payant","given":"Caroline"},{"family":"McDonough","given":"Kim"},{"family":"Uludag","given":"Pakize"},{"family":"Lindberg","given":"Rachael"}],"issued":{"date-parts":[["2019",7]]}}}],"schema":"https://github.com/citation-style-language/schema/raw/master/csl-citation.json"} </w:instrText>
            </w:r>
            <w:r w:rsidRPr="00E027AC">
              <w:rPr>
                <w:rFonts w:ascii="Garamond" w:eastAsia="Malgun Gothic" w:hAnsi="Garamond" w:cs="Times New Roman"/>
                <w:sz w:val="24"/>
                <w:szCs w:val="24"/>
              </w:rPr>
              <w:fldChar w:fldCharType="separate"/>
            </w:r>
            <w:r w:rsidRPr="00E027AC">
              <w:rPr>
                <w:rFonts w:ascii="Garamond" w:hAnsi="Garamond" w:cs="Times New Roman"/>
                <w:sz w:val="24"/>
              </w:rPr>
              <w:t>Payant et al. (2019)</w:t>
            </w:r>
            <w:r w:rsidRPr="00E027AC">
              <w:rPr>
                <w:rFonts w:ascii="Garamond" w:eastAsia="Malgun Gothic" w:hAnsi="Garamond" w:cs="Times New Roman"/>
                <w:sz w:val="24"/>
                <w:szCs w:val="24"/>
              </w:rPr>
              <w:fldChar w:fldCharType="end"/>
            </w:r>
          </w:p>
          <w:p w14:paraId="47666F74" w14:textId="77777777" w:rsidR="00E027AC" w:rsidRPr="00E027AC" w:rsidRDefault="00E027AC" w:rsidP="00924822">
            <w:pPr>
              <w:rPr>
                <w:rFonts w:ascii="Garamond" w:eastAsia="Malgun Gothic" w:hAnsi="Garamond" w:cs="Times New Roman"/>
                <w:sz w:val="24"/>
                <w:szCs w:val="24"/>
              </w:rPr>
            </w:pPr>
            <w:r w:rsidRPr="00E027AC">
              <w:rPr>
                <w:rFonts w:ascii="Garamond" w:eastAsia="Malgun Gothic" w:hAnsi="Garamond" w:cs="Times New Roman"/>
                <w:sz w:val="24"/>
                <w:szCs w:val="24"/>
              </w:rPr>
              <w:fldChar w:fldCharType="begin"/>
            </w:r>
            <w:r w:rsidRPr="00E027AC">
              <w:rPr>
                <w:rFonts w:ascii="Garamond" w:eastAsia="Malgun Gothic" w:hAnsi="Garamond" w:cs="Times New Roman"/>
                <w:sz w:val="24"/>
                <w:szCs w:val="24"/>
              </w:rPr>
              <w:instrText xml:space="preserve"> ADDIN ZOTERO_ITEM CSL_CITATION {"citationID":"XZtnpSIF","properties":{"formattedCitation":"(Plakans &amp; Gebril, 2013)","plainCitation":"(Plakans &amp; Gebril, 2013)","dontUpdate":true,"noteIndex":0},"citationItems":[{"id":851,"uris":["http://zotero.org/users/9207091/items/G6GKWAF7"],"itemData":{"id":851,"type":"article-journal","abstract":"Interest in integrated tasks is increasing in second language writing, accompanied by a concern for appropriate interpretation of performances and scores from these tasks. Integrated writing adds an element not found in traditional independent writing: the use of source text material. This study investigates how source text use appears in performances on an integrated writing task, and how it differs across score levels and task topics. Educational Testing Service (ETS) supplied 480 performances on the writing section of the Internet-based Test of English as a Foreign Language (TOEFL iBT) to explore these questions. The integrated TOEFL task involves a comparative summary of listening and reading texts that present differing views on a topic. In this study, multiple regression analysis was used to consider three areas of source text use: (1) the importance of source text ideas that writers included in their summary, (2) the use of ideas from a reading source text and from a listening text, and (3) the borrowing of exact wording from the source texts (verbatim source use). These three areas were analyzed across nine score levels and indicated that score and source use are related. Overall, these features of source text use explained over 50% of the variance in scores on the reading–listening–writing task. The use of the listening text and the inclusion of important ideas from source texts explained the most variance, while use of the reading text and verbatim source use were less predictive. The latter two held a negative correlation with score, indicating that the lower scoring essays had more of these features. These ﬁndings support the claim that integrated writing assessment elicits academic writing processes, which is reﬂected by score. High-scoring writers selected important ideas from the source texts and used the listening text as the task prompt instructed. Low scoring writers depended heavily on the reading texts for content and direct copying of words and phrases. These ﬁndings support the validity of interpreting integrated task scores as a measure of academic writing but provide a nuanced look at the contribution of certain source use features.","container-title":"Journal of Second Language Writing","DOI":"10.1016/j.jslw.2013.02.003","ISSN":"10603743","issue":"3","journalAbbreviation":"Journal of Second Language Writing","language":"en","page":"217-230","source":"DOI.org (Crossref)","title":"Using multiple texts in an integrated writing assessment: Source text use as a predictor of score","title-short":"Using multiple texts in an integrated writing assessment","volume":"22","author":[{"family":"Plakans","given":"Lia"},{"family":"Gebril","given":"Atta"}],"issued":{"date-parts":[["2013",9]]}}}],"schema":"https://github.com/citation-style-language/schema/raw/master/csl-citation.json"} </w:instrText>
            </w:r>
            <w:r w:rsidRPr="00E027AC">
              <w:rPr>
                <w:rFonts w:ascii="Garamond" w:eastAsia="Malgun Gothic" w:hAnsi="Garamond" w:cs="Times New Roman"/>
                <w:sz w:val="24"/>
                <w:szCs w:val="24"/>
              </w:rPr>
              <w:fldChar w:fldCharType="separate"/>
            </w:r>
            <w:proofErr w:type="spellStart"/>
            <w:r w:rsidRPr="00E027AC">
              <w:rPr>
                <w:rFonts w:ascii="Garamond" w:hAnsi="Garamond" w:cs="Times New Roman"/>
                <w:sz w:val="24"/>
              </w:rPr>
              <w:t>Plakans</w:t>
            </w:r>
            <w:proofErr w:type="spellEnd"/>
            <w:r w:rsidRPr="00E027AC">
              <w:rPr>
                <w:rFonts w:ascii="Garamond" w:hAnsi="Garamond" w:cs="Times New Roman"/>
                <w:sz w:val="24"/>
              </w:rPr>
              <w:t xml:space="preserve"> and Gebril (2013)</w:t>
            </w:r>
            <w:r w:rsidRPr="00E027AC">
              <w:rPr>
                <w:rFonts w:ascii="Garamond" w:eastAsia="Malgun Gothic" w:hAnsi="Garamond" w:cs="Times New Roman"/>
                <w:sz w:val="24"/>
                <w:szCs w:val="24"/>
              </w:rPr>
              <w:fldChar w:fldCharType="end"/>
            </w:r>
          </w:p>
          <w:p w14:paraId="3FCE7FEB" w14:textId="77777777" w:rsidR="00E027AC" w:rsidRPr="00E027AC" w:rsidRDefault="00E027AC" w:rsidP="00924822">
            <w:pPr>
              <w:rPr>
                <w:rFonts w:ascii="Garamond" w:eastAsia="Malgun Gothic" w:hAnsi="Garamond" w:cs="Times New Roman"/>
                <w:sz w:val="24"/>
                <w:szCs w:val="24"/>
              </w:rPr>
            </w:pPr>
            <w:r w:rsidRPr="00E027AC">
              <w:rPr>
                <w:rFonts w:ascii="Garamond" w:eastAsia="Malgun Gothic" w:hAnsi="Garamond" w:cs="Times New Roman"/>
                <w:sz w:val="24"/>
                <w:szCs w:val="24"/>
              </w:rPr>
              <w:fldChar w:fldCharType="begin"/>
            </w:r>
            <w:r w:rsidRPr="00E027AC">
              <w:rPr>
                <w:rFonts w:ascii="Garamond" w:eastAsia="Malgun Gothic" w:hAnsi="Garamond" w:cs="Times New Roman"/>
                <w:sz w:val="24"/>
                <w:szCs w:val="24"/>
              </w:rPr>
              <w:instrText xml:space="preserve"> ADDIN ZOTERO_ITEM CSL_CITATION {"citationID":"I8rHxTWk","properties":{"formattedCitation":"(Uludag et al., 2019)","plainCitation":"(Uludag et al., 2019)","dontUpdate":true,"noteIndex":0},"citationItems":[{"id":659,"uris":["http://zotero.org/users/9207091/items/3GPU44I9"],"itemData":{"id":659,"type":"article-journal","abstract":"The current trend in second language writing assessment has been toward the integration of multiple competencies in one task, specifically by incorporating reading and listening sources into integrated writing tasks. However, research has shown that novice writers may have difficulty understanding source text information, paraphrasing and summarizing source information, and incorporating that information into a coherent piece of writing. To shed further light on the relationship between source text use and integrated writing task performance, this short communication reports the findings of a larger study that explored EAP students’ (N = 111) performance on the Canadian Assessment of English Language (CAEL) integrated writing task. Their written texts were analyzed in terms of the number of source-text ideas used, linguistic modifications to source information, and content accuracy of source information. Results indicated that both the number of source ideas and content accuracy predicted participants’ CAEL writing band scores.","container-title":"Journal of Second Language Writing","DOI":"10.1016/j.jslw.2019.100670","ISSN":"10603743","journalAbbreviation":"Journal of Second Language Writing","language":"en","page":"100670","source":"DOI.org (Crossref)","title":"Exploring L2 writers’ source-text use in an integrated writing assessment","volume":"46","author":[{"family":"Uludag","given":"Pakize"},{"family":"Lindberg","given":"Rachael"},{"family":"McDonough","given":"Kim"},{"family":"Payant","given":"Caroline"}],"issued":{"date-parts":[["2019",12]]}}}],"schema":"https://github.com/citation-style-language/schema/raw/master/csl-citation.json"} </w:instrText>
            </w:r>
            <w:r w:rsidRPr="00E027AC">
              <w:rPr>
                <w:rFonts w:ascii="Garamond" w:eastAsia="Malgun Gothic" w:hAnsi="Garamond" w:cs="Times New Roman"/>
                <w:sz w:val="24"/>
                <w:szCs w:val="24"/>
              </w:rPr>
              <w:fldChar w:fldCharType="separate"/>
            </w:r>
            <w:proofErr w:type="spellStart"/>
            <w:r w:rsidRPr="00E027AC">
              <w:rPr>
                <w:rFonts w:ascii="Garamond" w:hAnsi="Garamond" w:cs="Times New Roman"/>
                <w:sz w:val="24"/>
              </w:rPr>
              <w:t>Uludag</w:t>
            </w:r>
            <w:proofErr w:type="spellEnd"/>
            <w:r w:rsidRPr="00E027AC">
              <w:rPr>
                <w:rFonts w:ascii="Garamond" w:hAnsi="Garamond" w:cs="Times New Roman"/>
                <w:sz w:val="24"/>
              </w:rPr>
              <w:t xml:space="preserve"> et al. (2019)</w:t>
            </w:r>
            <w:r w:rsidRPr="00E027AC">
              <w:rPr>
                <w:rFonts w:ascii="Garamond" w:eastAsia="Malgun Gothic" w:hAnsi="Garamond" w:cs="Times New Roman"/>
                <w:sz w:val="24"/>
                <w:szCs w:val="24"/>
              </w:rPr>
              <w:fldChar w:fldCharType="end"/>
            </w:r>
          </w:p>
        </w:tc>
        <w:tc>
          <w:tcPr>
            <w:tcW w:w="4676" w:type="dxa"/>
            <w:tcBorders>
              <w:top w:val="nil"/>
              <w:left w:val="nil"/>
              <w:bottom w:val="nil"/>
              <w:right w:val="nil"/>
            </w:tcBorders>
            <w:vAlign w:val="center"/>
          </w:tcPr>
          <w:p w14:paraId="700E3ED9" w14:textId="77777777" w:rsidR="00E027AC" w:rsidRPr="00E027AC" w:rsidRDefault="00E027AC" w:rsidP="00924822">
            <w:pPr>
              <w:rPr>
                <w:rFonts w:ascii="Garamond" w:eastAsia="Malgun Gothic" w:hAnsi="Garamond" w:cs="Times New Roman"/>
                <w:sz w:val="24"/>
                <w:szCs w:val="24"/>
              </w:rPr>
            </w:pPr>
            <w:r w:rsidRPr="00E027AC">
              <w:rPr>
                <w:rFonts w:ascii="Garamond" w:eastAsia="Malgun Gothic" w:hAnsi="Garamond" w:cs="Times New Roman"/>
                <w:sz w:val="24"/>
                <w:szCs w:val="24"/>
              </w:rPr>
              <w:t>Source use features and overall text quality</w:t>
            </w:r>
          </w:p>
        </w:tc>
      </w:tr>
      <w:tr w:rsidR="00E027AC" w:rsidRPr="00E027AC" w14:paraId="31E8FF21" w14:textId="77777777" w:rsidTr="00924822">
        <w:tc>
          <w:tcPr>
            <w:tcW w:w="4676" w:type="dxa"/>
            <w:tcBorders>
              <w:top w:val="nil"/>
              <w:left w:val="nil"/>
              <w:bottom w:val="single" w:sz="4" w:space="0" w:color="auto"/>
              <w:right w:val="nil"/>
            </w:tcBorders>
          </w:tcPr>
          <w:p w14:paraId="7AE025BE" w14:textId="77777777" w:rsidR="00E027AC" w:rsidRPr="00E027AC" w:rsidRDefault="00E027AC" w:rsidP="00924822">
            <w:pPr>
              <w:rPr>
                <w:rFonts w:ascii="Garamond" w:hAnsi="Garamond"/>
                <w:sz w:val="24"/>
                <w:szCs w:val="24"/>
                <w:shd w:val="clear" w:color="auto" w:fill="FFFFFF"/>
              </w:rPr>
            </w:pPr>
          </w:p>
        </w:tc>
        <w:tc>
          <w:tcPr>
            <w:tcW w:w="4676" w:type="dxa"/>
            <w:tcBorders>
              <w:top w:val="nil"/>
              <w:left w:val="nil"/>
              <w:bottom w:val="single" w:sz="4" w:space="0" w:color="auto"/>
              <w:right w:val="nil"/>
            </w:tcBorders>
            <w:vAlign w:val="center"/>
          </w:tcPr>
          <w:p w14:paraId="0414ED87" w14:textId="77777777" w:rsidR="00E027AC" w:rsidRPr="00E027AC" w:rsidRDefault="00E027AC" w:rsidP="00924822">
            <w:pPr>
              <w:rPr>
                <w:rFonts w:ascii="Garamond" w:hAnsi="Garamond"/>
                <w:sz w:val="24"/>
                <w:szCs w:val="24"/>
                <w:shd w:val="clear" w:color="auto" w:fill="FFFFFF"/>
              </w:rPr>
            </w:pPr>
          </w:p>
        </w:tc>
      </w:tr>
    </w:tbl>
    <w:p w14:paraId="52905979" w14:textId="77777777" w:rsidR="00E027AC" w:rsidRPr="00E027AC" w:rsidRDefault="00E027AC" w:rsidP="00E027AC">
      <w:pPr>
        <w:spacing w:line="480" w:lineRule="auto"/>
        <w:ind w:firstLine="720"/>
        <w:rPr>
          <w:rFonts w:ascii="Garamond" w:eastAsia="Malgun Gothic" w:hAnsi="Garamond" w:cs="Times New Roman"/>
          <w:sz w:val="24"/>
          <w:szCs w:val="24"/>
        </w:rPr>
      </w:pPr>
    </w:p>
    <w:p w14:paraId="06C5518D" w14:textId="77777777" w:rsidR="00E027AC" w:rsidRPr="006368A5" w:rsidRDefault="00E027AC" w:rsidP="00E027AC">
      <w:pPr>
        <w:pStyle w:val="L2JBody"/>
      </w:pPr>
      <w:r w:rsidRPr="006368A5">
        <w:rPr>
          <w:rFonts w:hint="eastAsia"/>
        </w:rPr>
        <w:t xml:space="preserve">First of all, scholars looked closely into </w:t>
      </w:r>
      <w:r w:rsidRPr="006368A5">
        <w:t>students’ source</w:t>
      </w:r>
      <w:r w:rsidRPr="006368A5">
        <w:rPr>
          <w:rFonts w:hint="eastAsia"/>
        </w:rPr>
        <w:t xml:space="preserve"> use practices and their relations</w:t>
      </w:r>
      <w:r w:rsidRPr="006368A5">
        <w:t xml:space="preserve">hip with </w:t>
      </w:r>
      <w:r w:rsidRPr="006368A5">
        <w:rPr>
          <w:rFonts w:hint="eastAsia"/>
        </w:rPr>
        <w:t xml:space="preserve">the overall text quality </w:t>
      </w:r>
      <w:r w:rsidRPr="006368A5">
        <w:fldChar w:fldCharType="begin"/>
      </w:r>
      <w:r w:rsidRPr="006368A5">
        <w:instrText xml:space="preserve"> ADDIN ZOTERO_ITEM CSL_CITATION {"citationID":"wqyOd43T","properties":{"formattedCitation":"(Kyle, 2020; Neumann et al., 2020; Payant et al., 2019; Plakans &amp; Gebril, 2013; Uludag et al., 2019)","plainCitation":"(Kyle, 2020; Neumann et al., 2020; Payant et al., 2019; Plakans &amp; Gebril, 2013; Uludag et al., 2019)","noteIndex":0},"citationItems":[{"id":708,"uris":["http://zotero.org/users/9207091/items/39AVE3A3"],"itemData":{"id":708,"type":"article-journal","abstract":"Academic writing ability is an important aspect of success in higher education. Recently, standardized academic language proﬁciency tests (such as the TOEFL) have begun to include integrated writing tasks, which ask test-takers to read and/or listen to a passage and construct a response that reﬂects the information in the passage(s). Arguably, integrated tasks more closely resemble authentic academic tasks than independent tasks, and therefore increase the construct validity of assessment tools that include them (Cumming et al., 2005; Taylor &amp; Angelis, 2008). A number of recent studies have investigated diﬀerences between the products and processes of responding to independent and integrated tasks (Guo et al., 2013; Kyle &amp; Crossley, 2016; Plakans, 2009a; Plakans &amp; Gebril, 2013). In this study, the relationship between automated indices of source text use and holistic quality scores is investigated, building on Plakans and Gebril (2013). The results indicate that a number of indices related to content word overlap and n-gram overlap explained a substantial portion of the variance in holistic scores. These results generally align with the ﬁndings of Plakans and Gebril (2013), and provide important implications for increasing the construct coverage of automated scoring models (such as e-rater).","container-title":"Assessing Writing","DOI":"10.1016/j.asw.2020.100467","ISSN":"10752935","journalAbbreviation":"Assessing Writing","language":"en","page":"100467","source":"DOI.org (Crossref)","title":"The relationship between features of source text use and integrated writing quality","volume":"45","author":[{"family":"Kyle","given":"Kristopher"}],"issued":{"date-parts":[["2020",7]]}},"label":"page"},{"id":1502,"uris":["http://zotero.org/users/9207091/items/MVWX4B4M"],"itemData":{"id":1502,"type":"article-journal","container-title":"TESL Canada Journal","issue":"1","note":"ISBN: 1925-8917","page":"1-21","title":"Does the quality of source notes matter? An exploratory study of source-based academic writing","volume":"37","author":[{"family":"Neumann","given":"Heike"},{"family":"Leu","given":"Sarah"},{"family":"McDonough","given":"Kim"},{"family":"Gil","given":"Leslie"},{"family":"Crawford","given":"Bonnie"}],"issued":{"date-parts":[["2020"]]}},"label":"page"},{"id":646,"uris":["http://zotero.org/users/9207091/items/CRJY8SKN"],"itemData":{"id":646,"type":"article-journal","abstract":"Integrated writing tasks are widely used in L2 academic proﬁciency tests (Cohen, 2009) even though L2 writers experience challenges with the comprehension and integration of source ideas (Plakans &amp; Gebril, 2013). Relatively few studies have examined whether prewriting planning helps mitigate these challenges (Hayes, 1996) or whether L2 writers' individual differences affect any potential beneﬁts for prewriting planning. Therefore, this study explores the contribution of source comprehension, individual differences, and prewriting planning to English L2 writers' performance on a Canadian Academic English Language (CAEL) Assessment integrated writing task. English for academic purposes students (N ¼ 111) carried out reading comprehension, listening comprehension and integrated writing sections of a CAEL test, writing anxiety and self-efﬁcacy questionnaires, and a semi-structured interview. CAEL writing band scores along with reading and listening comprehension scores were obtained and participants' prewriting planning notes were analyzed in terms of their strategies and degree of elaboration. Multiple regression models indicated that anxiety and reading scores were signiﬁcant predictors of CAEL writing band scores, and the interview data provided greater insights into the L2 writers' reading-toplan strategies and challenges. Pedagogical implications are discussed to increase students' understanding of the connections between reading comprehension and prewriting planning.","container-title":"Journal of English for Academic Purposes","DOI":"10.1016/j.jeap.2019.06.001","ISSN":"14751585","journalAbbreviation":"Journal of English for Academic Purposes","language":"en","page":"87-97","source":"DOI.org (Crossref)","title":"Predicting integrated writing task performance: Source comprehension, prewriting planning, and individual differences","title-short":"Predicting integrated writing task performance","volume":"40","author":[{"family":"Payant","given":"Caroline"},{"family":"McDonough","given":"Kim"},{"family":"Uludag","given":"Pakize"},{"family":"Lindberg","given":"Rachael"}],"issued":{"date-parts":[["2019",7]]}},"label":"page"},{"id":851,"uris":["http://zotero.org/users/9207091/items/G6GKWAF7"],"itemData":{"id":851,"type":"article-journal","abstract":"Interest in integrated tasks is increasing in second language writing, accompanied by a concern for appropriate interpretation of performances and scores from these tasks. Integrated writing adds an element not found in traditional independent writing: the use of source text material. This study investigates how source text use appears in performances on an integrated writing task, and how it differs across score levels and task topics. Educational Testing Service (ETS) supplied 480 performances on the writing section of the Internet-based Test of English as a Foreign Language (TOEFL iBT) to explore these questions. The integrated TOEFL task involves a comparative summary of listening and reading texts that present differing views on a topic. In this study, multiple regression analysis was used to consider three areas of source text use: (1) the importance of source text ideas that writers included in their summary, (2) the use of ideas from a reading source text and from a listening text, and (3) the borrowing of exact wording from the source texts (verbatim source use). These three areas were analyzed across nine score levels and indicated that score and source use are related. Overall, these features of source text use explained over 50% of the variance in scores on the reading–listening–writing task. The use of the listening text and the inclusion of important ideas from source texts explained the most variance, while use of the reading text and verbatim source use were less predictive. The latter two held a negative correlation with score, indicating that the lower scoring essays had more of these features. These ﬁndings support the claim that integrated writing assessment elicits academic writing processes, which is reﬂected by score. High-scoring writers selected important ideas from the source texts and used the listening text as the task prompt instructed. Low scoring writers depended heavily on the reading texts for content and direct copying of words and phrases. These ﬁndings support the validity of interpreting integrated task scores as a measure of academic writing but provide a nuanced look at the contribution of certain source use features.","container-title":"Journal of Second Language Writing","DOI":"10.1016/j.jslw.2013.02.003","ISSN":"10603743","issue":"3","journalAbbreviation":"Journal of Second Language Writing","language":"en","page":"217-230","source":"DOI.org (Crossref)","title":"Using multiple texts in an integrated writing assessment: Source text use as a predictor of score","title-short":"Using multiple texts in an integrated writing assessment","volume":"22","author":[{"family":"Plakans","given":"Lia"},{"family":"Gebril","given":"Atta"}],"issued":{"date-parts":[["2013",9]]}},"label":"page"},{"id":659,"uris":["http://zotero.org/users/9207091/items/3GPU44I9"],"itemData":{"id":659,"type":"article-journal","abstract":"The current trend in second language writing assessment has been toward the integration of multiple competencies in one task, specifically by incorporating reading and listening sources into integrated writing tasks. However, research has shown that novice writers may have difficulty understanding source text information, paraphrasing and summarizing source information, and incorporating that information into a coherent piece of writing. To shed further light on the relationship between source text use and integrated writing task performance, this short communication reports the findings of a larger study that explored EAP students’ (N = 111) performance on the Canadian Assessment of English Language (CAEL) integrated writing task. Their written texts were analyzed in terms of the number of source-text ideas used, linguistic modifications to source information, and content accuracy of source information. Results indicated that both the number of source ideas and content accuracy predicted participants’ CAEL writing band scores.","container-title":"Journal of Second Language Writing","DOI":"10.1016/j.jslw.2019.100670","ISSN":"10603743","journalAbbreviation":"Journal of Second Language Writing","language":"en","page":"100670","source":"DOI.org (Crossref)","title":"Exploring L2 writers’ source-text use in an integrated writing assessment","volume":"46","author":[{"family":"Uludag","given":"Pakize"},{"family":"Lindberg","given":"Rachael"},{"family":"McDonough","given":"Kim"},{"family":"Payant","given":"Caroline"}],"issued":{"date-parts":[["2019",12]]}},"label":"page"}],"schema":"https://github.com/citation-style-language/schema/raw/master/csl-citation.json"} </w:instrText>
      </w:r>
      <w:r w:rsidRPr="006368A5">
        <w:fldChar w:fldCharType="separate"/>
      </w:r>
      <w:r w:rsidRPr="006368A5">
        <w:t xml:space="preserve">(Kyle, 2020; Neumann et al., 2020; Payant et al., 2019; </w:t>
      </w:r>
      <w:proofErr w:type="spellStart"/>
      <w:r w:rsidRPr="006368A5">
        <w:t>Plakans</w:t>
      </w:r>
      <w:proofErr w:type="spellEnd"/>
      <w:r w:rsidRPr="006368A5">
        <w:t xml:space="preserve"> &amp; Gebril, 2013; </w:t>
      </w:r>
      <w:proofErr w:type="spellStart"/>
      <w:r w:rsidRPr="006368A5">
        <w:t>Uludag</w:t>
      </w:r>
      <w:proofErr w:type="spellEnd"/>
      <w:r w:rsidRPr="006368A5">
        <w:t xml:space="preserve"> et al., 2019)</w:t>
      </w:r>
      <w:r w:rsidRPr="006368A5">
        <w:fldChar w:fldCharType="end"/>
      </w:r>
      <w:r w:rsidRPr="006368A5">
        <w:rPr>
          <w:rFonts w:hint="eastAsia"/>
        </w:rPr>
        <w:t>. Overall, source use skills were found to be</w:t>
      </w:r>
      <w:r w:rsidRPr="006368A5">
        <w:t xml:space="preserve"> </w:t>
      </w:r>
      <w:r w:rsidRPr="006368A5">
        <w:rPr>
          <w:rFonts w:hint="eastAsia"/>
        </w:rPr>
        <w:t>a prominent</w:t>
      </w:r>
      <w:r w:rsidRPr="006368A5">
        <w:t xml:space="preserve"> predictor of success in synthesis</w:t>
      </w:r>
      <w:r w:rsidRPr="006368A5">
        <w:rPr>
          <w:rFonts w:hint="eastAsia"/>
        </w:rPr>
        <w:t xml:space="preserve"> </w:t>
      </w:r>
      <w:r w:rsidRPr="006368A5">
        <w:t>writing</w:t>
      </w:r>
      <w:r w:rsidRPr="006368A5">
        <w:rPr>
          <w:rFonts w:hint="eastAsia"/>
        </w:rPr>
        <w:t xml:space="preserve">. This was corroborated by </w:t>
      </w:r>
      <w:r w:rsidRPr="006368A5">
        <w:fldChar w:fldCharType="begin"/>
      </w:r>
      <w:r w:rsidRPr="006368A5">
        <w:instrText xml:space="preserve"> ADDIN ZOTERO_ITEM CSL_CITATION {"citationID":"b7SKDzQu","properties":{"formattedCitation":"(Plakans &amp; Gebril, 2013)","plainCitation":"(Plakans &amp; Gebril, 2013)","dontUpdate":true,"noteIndex":0},"citationItems":[{"id":851,"uris":["http://zotero.org/users/9207091/items/G6GKWAF7"],"itemData":{"id":851,"type":"article-journal","abstract":"Interest in integrated tasks is increasing in second language writing, accompanied by a concern for appropriate interpretation of performances and scores from these tasks. Integrated writing adds an element not found in traditional independent writing: the use of source text material. This study investigates how source text use appears in performances on an integrated writing task, and how it differs across score levels and task topics. Educational Testing Service (ETS) supplied 480 performances on the writing section of the Internet-based Test of English as a Foreign Language (TOEFL iBT) to explore these questions. The integrated TOEFL task involves a comparative summary of listening and reading texts that present differing views on a topic. In this study, multiple regression analysis was used to consider three areas of source text use: (1) the importance of source text ideas that writers included in their summary, (2) the use of ideas from a reading source text and from a listening text, and (3) the borrowing of exact wording from the source texts (verbatim source use). These three areas were analyzed across nine score levels and indicated that score and source use are related. Overall, these features of source text use explained over 50% of the variance in scores on the reading–listening–writing task. The use of the listening text and the inclusion of important ideas from source texts explained the most variance, while use of the reading text and verbatim source use were less predictive. The latter two held a negative correlation with score, indicating that the lower scoring essays had more of these features. These ﬁndings support the claim that integrated writing assessment elicits academic writing processes, which is reﬂected by score. High-scoring writers selected important ideas from the source texts and used the listening text as the task prompt instructed. Low scoring writers depended heavily on the reading texts for content and direct copying of words and phrases. These ﬁndings support the validity of interpreting integrated task scores as a measure of academic writing but provide a nuanced look at the contribution of certain source use features.","container-title":"Journal of Second Language Writing","DOI":"10.1016/j.jslw.2013.02.003","ISSN":"10603743","issue":"3","journalAbbreviation":"Journal of Second Language Writing","language":"en","page":"217-230","source":"DOI.org (Crossref)","title":"Using multiple texts in an integrated writing assessment: Source text use as a predictor of score","title-short":"Using multiple texts in an integrated writing assessment","volume":"22","author":[{"family":"Plakans","given":"Lia"},{"family":"Gebril","given":"Atta"}],"issued":{"date-parts":[["2013",9]]}}}],"schema":"https://github.com/citation-style-language/schema/raw/master/csl-citation.json"} </w:instrText>
      </w:r>
      <w:r w:rsidRPr="006368A5">
        <w:fldChar w:fldCharType="separate"/>
      </w:r>
      <w:proofErr w:type="spellStart"/>
      <w:r w:rsidRPr="006368A5">
        <w:t>Plakans</w:t>
      </w:r>
      <w:proofErr w:type="spellEnd"/>
      <w:r w:rsidRPr="006368A5">
        <w:t xml:space="preserve"> and Gebril (2013)</w:t>
      </w:r>
      <w:r w:rsidRPr="006368A5">
        <w:fldChar w:fldCharType="end"/>
      </w:r>
      <w:r w:rsidRPr="006368A5">
        <w:rPr>
          <w:rFonts w:hint="eastAsia"/>
        </w:rPr>
        <w:t>,</w:t>
      </w:r>
      <w:r w:rsidRPr="006368A5">
        <w:t xml:space="preserve"> </w:t>
      </w:r>
      <w:r w:rsidRPr="006368A5">
        <w:rPr>
          <w:rFonts w:hint="eastAsia"/>
        </w:rPr>
        <w:t>wh</w:t>
      </w:r>
      <w:r w:rsidRPr="006368A5">
        <w:t>o</w:t>
      </w:r>
      <w:r w:rsidRPr="006368A5">
        <w:rPr>
          <w:rFonts w:hint="eastAsia"/>
        </w:rPr>
        <w:t xml:space="preserve"> analyzed 480 TOEFL iBT writing samples through multiple regression. They found</w:t>
      </w:r>
      <w:r w:rsidRPr="006368A5">
        <w:t xml:space="preserve"> a</w:t>
      </w:r>
      <w:r w:rsidRPr="006368A5">
        <w:rPr>
          <w:rFonts w:hint="eastAsia"/>
        </w:rPr>
        <w:t xml:space="preserve"> </w:t>
      </w:r>
      <w:r w:rsidRPr="006368A5">
        <w:t>substantial</w:t>
      </w:r>
      <w:r w:rsidRPr="006368A5">
        <w:rPr>
          <w:rFonts w:hint="eastAsia"/>
        </w:rPr>
        <w:t xml:space="preserve"> influence of </w:t>
      </w:r>
      <w:r w:rsidRPr="006368A5">
        <w:t>source</w:t>
      </w:r>
      <w:r w:rsidRPr="006368A5">
        <w:rPr>
          <w:rFonts w:hint="eastAsia"/>
        </w:rPr>
        <w:t xml:space="preserve"> </w:t>
      </w:r>
      <w:r w:rsidRPr="006368A5">
        <w:t>use skills</w:t>
      </w:r>
      <w:r w:rsidRPr="006368A5">
        <w:rPr>
          <w:rFonts w:hint="eastAsia"/>
        </w:rPr>
        <w:t>, account</w:t>
      </w:r>
      <w:r w:rsidRPr="006368A5">
        <w:t>ing</w:t>
      </w:r>
      <w:r w:rsidRPr="006368A5">
        <w:rPr>
          <w:rFonts w:hint="eastAsia"/>
        </w:rPr>
        <w:t xml:space="preserve"> for greater than half (55%) the overall writing score for the TOEFL integrated task.</w:t>
      </w:r>
      <w:r w:rsidRPr="006368A5">
        <w:t xml:space="preserve"> </w:t>
      </w:r>
      <w:r w:rsidRPr="006368A5">
        <w:rPr>
          <w:rFonts w:hint="eastAsia"/>
        </w:rPr>
        <w:t xml:space="preserve">This finding was </w:t>
      </w:r>
      <w:r w:rsidRPr="006368A5">
        <w:t>highly</w:t>
      </w:r>
      <w:r w:rsidRPr="006368A5">
        <w:rPr>
          <w:rFonts w:hint="eastAsia"/>
        </w:rPr>
        <w:t xml:space="preserve"> insightful </w:t>
      </w:r>
      <w:r w:rsidRPr="006368A5">
        <w:t>because</w:t>
      </w:r>
      <w:r w:rsidRPr="006368A5">
        <w:rPr>
          <w:rFonts w:hint="eastAsia"/>
        </w:rPr>
        <w:t xml:space="preserve"> the precise impact of source use was reported clearly, </w:t>
      </w:r>
      <w:r w:rsidRPr="006368A5">
        <w:t>unlike</w:t>
      </w:r>
      <w:r w:rsidRPr="006368A5">
        <w:rPr>
          <w:rFonts w:hint="eastAsia"/>
        </w:rPr>
        <w:t xml:space="preserve"> </w:t>
      </w:r>
      <w:r w:rsidRPr="006368A5">
        <w:t xml:space="preserve">in </w:t>
      </w:r>
      <w:r w:rsidRPr="006368A5">
        <w:rPr>
          <w:rFonts w:hint="eastAsia"/>
        </w:rPr>
        <w:t>previous studies.</w:t>
      </w:r>
    </w:p>
    <w:p w14:paraId="5AD6327D" w14:textId="77777777" w:rsidR="00E027AC" w:rsidRDefault="00E027AC" w:rsidP="00E027AC">
      <w:pPr>
        <w:pStyle w:val="L2JBody"/>
      </w:pPr>
      <w:r w:rsidRPr="006368A5">
        <w:rPr>
          <w:rFonts w:hint="eastAsia"/>
        </w:rPr>
        <w:t xml:space="preserve">Other </w:t>
      </w:r>
      <w:r w:rsidRPr="006368A5">
        <w:t>scholars, such as</w:t>
      </w:r>
      <w:r w:rsidRPr="006368A5">
        <w:rPr>
          <w:rFonts w:hint="eastAsia"/>
        </w:rPr>
        <w:t xml:space="preserve"> </w:t>
      </w:r>
      <w:r w:rsidRPr="006368A5">
        <w:fldChar w:fldCharType="begin"/>
      </w:r>
      <w:r w:rsidRPr="006368A5">
        <w:instrText xml:space="preserve"> ADDIN ZOTERO_ITEM CSL_CITATION {"citationID":"Lko0adL8","properties":{"formattedCitation":"(Guo et al., 2013)","plainCitation":"(Guo et al., 2013)","dontUpdate":true,"noteIndex":0},"citationItems":[{"id":3033,"uris":["http://zotero.org/users/9207091/items/XGXFHBLT"],"itemData":{"id":3033,"type":"article-journal","container-title":"Assessing Writing","DOI":"10.1016/j.asw.2013.05.002","ISSN":"10752935","issue":"3","journalAbbreviation":"Assessing Writing","language":"en","page":"218-238","source":"DOI.org (Crossref)","title":"Predicting human judgments of essay quality in both integrated and independent second language writing samples: A comparison study","title-short":"Predicting human judgments of essay quality in both integrated and independent second language writing samples","volume":"18","author":[{"family":"Guo","given":"Liang"},{"family":"Crossley","given":"Scott A."},{"family":"McNamara","given":"Danielle S."}],"issued":{"date-parts":[["2013",7]]}}}],"schema":"https://github.com/citation-style-language/schema/raw/master/csl-citation.json"} </w:instrText>
      </w:r>
      <w:r w:rsidRPr="006368A5">
        <w:fldChar w:fldCharType="separate"/>
      </w:r>
      <w:r w:rsidRPr="006368A5">
        <w:t xml:space="preserve">Guo et al. </w:t>
      </w:r>
      <w:r w:rsidRPr="006368A5">
        <w:rPr>
          <w:rFonts w:hint="eastAsia"/>
        </w:rPr>
        <w:t>(</w:t>
      </w:r>
      <w:r w:rsidRPr="006368A5">
        <w:t>2013)</w:t>
      </w:r>
      <w:r w:rsidRPr="006368A5">
        <w:fldChar w:fldCharType="end"/>
      </w:r>
      <w:r w:rsidRPr="006368A5">
        <w:rPr>
          <w:rFonts w:hint="eastAsia"/>
        </w:rPr>
        <w:t xml:space="preserve"> and </w:t>
      </w:r>
      <w:r w:rsidRPr="006368A5">
        <w:fldChar w:fldCharType="begin"/>
      </w:r>
      <w:r w:rsidRPr="006368A5">
        <w:instrText xml:space="preserve"> ADDIN ZOTERO_ITEM CSL_CITATION {"citationID":"Jhxme3nD","properties":{"formattedCitation":"(Mostafa &amp; Crossley, 2020)","plainCitation":"(Mostafa &amp; Crossley, 2020)","dontUpdate":true,"noteIndex":0},"citationItems":[{"id":3083,"uris":["http://zotero.org/users/9207091/items/N9MYYEVM"],"itemData":{"id":3083,"type":"article-journal","abstract":"The purpose of the study is to investigate whether verb argument construction (VAC) based indices of syntactic complexity significantly vary in different second language (L2) writing tasks and whether such complexity measures vary in their relationship to writing quality. The present study used data from three different L2 writing tasks: descriptive, independent, and integrated. Descriptive essays (N = 70) were taken from the Michigan State University corpus (ConnorLinton &amp; Polio, 2014). Independent (N = 70) and integrated (N = 70) essays were selected from TOEFL public use dataset. Each corpus contained an equal number of essays written on two prompts (for a total of six prompts). Each essay was rated by two trained raters using TOEFL independent or integrated writing rubrics. The selected essays were stratified by writing scores, and it was made sure that the scores were normally distributed. The Tool for the Automatic Analysis of Syntactic Sophistication and Complexity (Kyle, 2016) was used to calculate the VACbased indices. Multinomial logistic regression and linear models were used to analyze the data. The findings indicate that VAC-based complexity measures vary by L2 writing tasks and that the relationship between VAC measures and L2 writing quality is also task-dependent with few prompt-based effects.","container-title":"Journal of Second Language Writing","DOI":"10.1016/j.jslw.2020.100730","ISSN":"10603743","journalAbbreviation":"Journal of Second Language Writing","language":"en","page":"100730","source":"DOI.org (Crossref)","title":"Verb argument construction complexity indices and L2 writing quality: Effects of writing tasks and prompts","title-short":"Verb argument construction complexity indices and L2 writing quality","volume":"49","author":[{"family":"Mostafa","given":"Tamanna"},{"family":"Crossley","given":"Scott A."}],"issued":{"date-parts":[["2020",9]]}}}],"schema":"https://github.com/citation-style-language/schema/raw/master/csl-citation.json"} </w:instrText>
      </w:r>
      <w:r w:rsidRPr="006368A5">
        <w:fldChar w:fldCharType="separate"/>
      </w:r>
      <w:r w:rsidRPr="006368A5">
        <w:t xml:space="preserve">Mostafa </w:t>
      </w:r>
      <w:r w:rsidRPr="006368A5">
        <w:rPr>
          <w:rFonts w:hint="eastAsia"/>
        </w:rPr>
        <w:t>and</w:t>
      </w:r>
      <w:r w:rsidRPr="006368A5">
        <w:t xml:space="preserve"> Crossley </w:t>
      </w:r>
      <w:r w:rsidRPr="006368A5">
        <w:rPr>
          <w:rFonts w:hint="eastAsia"/>
        </w:rPr>
        <w:t>(</w:t>
      </w:r>
      <w:r w:rsidRPr="006368A5">
        <w:t>2020)</w:t>
      </w:r>
      <w:r w:rsidRPr="006368A5">
        <w:fldChar w:fldCharType="end"/>
      </w:r>
      <w:r w:rsidRPr="006368A5">
        <w:t>,</w:t>
      </w:r>
      <w:r w:rsidRPr="006368A5">
        <w:rPr>
          <w:rFonts w:hint="eastAsia"/>
        </w:rPr>
        <w:t xml:space="preserve"> explored the predictive power of linguistic indices (lexical sophistication and syntactic complexity) in the TOEFL iBT integrated writing score. </w:t>
      </w:r>
      <w:r w:rsidRPr="006368A5">
        <w:fldChar w:fldCharType="begin"/>
      </w:r>
      <w:r w:rsidRPr="006368A5">
        <w:instrText xml:space="preserve"> ADDIN ZOTERO_ITEM CSL_CITATION {"citationID":"aud2DOJ1","properties":{"formattedCitation":"(Guo et al., 2013)","plainCitation":"(Guo et al., 2013)","dontUpdate":true,"noteIndex":0},"citationItems":[{"id":3033,"uris":["http://zotero.org/users/9207091/items/XGXFHBLT"],"itemData":{"id":3033,"type":"article-journal","container-title":"Assessing Writing","DOI":"10.1016/j.asw.2013.05.002","ISSN":"10752935","issue":"3","journalAbbreviation":"Assessing Writing","language":"en","page":"218-238","source":"DOI.org (Crossref)","title":"Predicting human judgments of essay quality in both integrated and independent second language writing samples: A comparison study","title-short":"Predicting human judgments of essay quality in both integrated and independent second language writing samples","volume":"18","author":[{"family":"Guo","given":"Liang"},{"family":"Crossley","given":"Scott A."},{"family":"McNamara","given":"Danielle S."}],"issued":{"date-parts":[["2013",7]]}}}],"schema":"https://github.com/citation-style-language/schema/raw/master/csl-citation.json"} </w:instrText>
      </w:r>
      <w:r w:rsidRPr="006368A5">
        <w:fldChar w:fldCharType="separate"/>
      </w:r>
      <w:r w:rsidRPr="006368A5">
        <w:t xml:space="preserve">Guo et al. </w:t>
      </w:r>
      <w:r w:rsidRPr="006368A5">
        <w:rPr>
          <w:rFonts w:hint="eastAsia"/>
        </w:rPr>
        <w:t>(</w:t>
      </w:r>
      <w:r w:rsidRPr="006368A5">
        <w:t>2013)</w:t>
      </w:r>
      <w:r w:rsidRPr="006368A5">
        <w:fldChar w:fldCharType="end"/>
      </w:r>
      <w:r w:rsidRPr="006368A5">
        <w:rPr>
          <w:rFonts w:hint="eastAsia"/>
        </w:rPr>
        <w:t xml:space="preserve"> found that both </w:t>
      </w:r>
      <w:r w:rsidRPr="006368A5">
        <w:t>lexical</w:t>
      </w:r>
      <w:r w:rsidRPr="006368A5">
        <w:rPr>
          <w:rFonts w:hint="eastAsia"/>
        </w:rPr>
        <w:t xml:space="preserve"> sophistication and </w:t>
      </w:r>
      <w:r w:rsidRPr="006368A5">
        <w:t>third-person singular verb forms</w:t>
      </w:r>
      <w:r w:rsidRPr="006368A5">
        <w:rPr>
          <w:rFonts w:hint="eastAsia"/>
        </w:rPr>
        <w:t xml:space="preserve"> were highly correlated with TOEFL integrated writing performance </w:t>
      </w:r>
      <w:r w:rsidRPr="006368A5">
        <w:t>because</w:t>
      </w:r>
      <w:r w:rsidRPr="006368A5">
        <w:rPr>
          <w:rFonts w:hint="eastAsia"/>
        </w:rPr>
        <w:t xml:space="preserve"> they were associated with skillful source use </w:t>
      </w:r>
      <w:r w:rsidRPr="006368A5">
        <w:t>(</w:t>
      </w:r>
      <w:r w:rsidRPr="006368A5">
        <w:rPr>
          <w:rFonts w:hint="eastAsia"/>
        </w:rPr>
        <w:t xml:space="preserve">e.g., selecting useful lexis from sources and referencing the cited studies). </w:t>
      </w:r>
      <w:r w:rsidRPr="006368A5">
        <w:fldChar w:fldCharType="begin"/>
      </w:r>
      <w:r w:rsidRPr="006368A5">
        <w:instrText xml:space="preserve"> ADDIN ZOTERO_ITEM CSL_CITATION {"citationID":"INfMB94c","properties":{"formattedCitation":"(Mostafa &amp; Crossley, 2020)","plainCitation":"(Mostafa &amp; Crossley, 2020)","dontUpdate":true,"noteIndex":0},"citationItems":[{"id":3083,"uris":["http://zotero.org/users/9207091/items/N9MYYEVM"],"itemData":{"id":3083,"type":"article-journal","abstract":"The purpose of the study is to investigate whether verb argument construction (VAC) based indices of syntactic complexity significantly vary in different second language (L2) writing tasks and whether such complexity measures vary in their relationship to writing quality. The present study used data from three different L2 writing tasks: descriptive, independent, and integrated. Descriptive essays (N = 70) were taken from the Michigan State University corpus (ConnorLinton &amp; Polio, 2014). Independent (N = 70) and integrated (N = 70) essays were selected from TOEFL public use dataset. Each corpus contained an equal number of essays written on two prompts (for a total of six prompts). Each essay was rated by two trained raters using TOEFL independent or integrated writing rubrics. The selected essays were stratified by writing scores, and it was made sure that the scores were normally distributed. The Tool for the Automatic Analysis of Syntactic Sophistication and Complexity (Kyle, 2016) was used to calculate the VACbased indices. Multinomial logistic regression and linear models were used to analyze the data. The findings indicate that VAC-based complexity measures vary by L2 writing tasks and that the relationship between VAC measures and L2 writing quality is also task-dependent with few prompt-based effects.","container-title":"Journal of Second Language Writing","DOI":"10.1016/j.jslw.2020.100730","ISSN":"10603743","journalAbbreviation":"Journal of Second Language Writing","language":"en","page":"100730","source":"DOI.org (Crossref)","title":"Verb argument construction complexity indices and L2 writing quality: Effects of writing tasks and prompts","title-short":"Verb argument construction complexity indices and L2 writing quality","volume":"49","author":[{"family":"Mostafa","given":"Tamanna"},{"family":"Crossley","given":"Scott A."}],"issued":{"date-parts":[["2020",9]]}}}],"schema":"https://github.com/citation-style-language/schema/raw/master/csl-citation.json"} </w:instrText>
      </w:r>
      <w:r w:rsidRPr="006368A5">
        <w:fldChar w:fldCharType="separate"/>
      </w:r>
      <w:r w:rsidRPr="006368A5">
        <w:t xml:space="preserve">Mostafa </w:t>
      </w:r>
      <w:r w:rsidRPr="006368A5">
        <w:rPr>
          <w:rFonts w:hint="eastAsia"/>
        </w:rPr>
        <w:t>and</w:t>
      </w:r>
      <w:r w:rsidRPr="006368A5">
        <w:t xml:space="preserve"> Crossley </w:t>
      </w:r>
      <w:r w:rsidRPr="006368A5">
        <w:rPr>
          <w:rFonts w:hint="eastAsia"/>
        </w:rPr>
        <w:t>(</w:t>
      </w:r>
      <w:r w:rsidRPr="006368A5">
        <w:t>2020)</w:t>
      </w:r>
      <w:r w:rsidRPr="006368A5">
        <w:fldChar w:fldCharType="end"/>
      </w:r>
      <w:r w:rsidRPr="006368A5">
        <w:rPr>
          <w:rFonts w:hint="eastAsia"/>
        </w:rPr>
        <w:t xml:space="preserve"> also shared similar findings, suggest</w:t>
      </w:r>
      <w:r w:rsidRPr="006368A5">
        <w:t>ing</w:t>
      </w:r>
      <w:r w:rsidRPr="006368A5">
        <w:rPr>
          <w:rFonts w:hint="eastAsia"/>
        </w:rPr>
        <w:t xml:space="preserve"> that using less frequent (but more complex) verb-argument was associated with higher TOEFL integrated writing scores. These findings </w:t>
      </w:r>
      <w:r w:rsidRPr="006368A5">
        <w:t>provide</w:t>
      </w:r>
      <w:r w:rsidRPr="006368A5">
        <w:rPr>
          <w:rFonts w:hint="eastAsia"/>
        </w:rPr>
        <w:t xml:space="preserve"> crucial </w:t>
      </w:r>
      <w:r w:rsidRPr="006368A5">
        <w:t>pedagogical</w:t>
      </w:r>
      <w:r w:rsidRPr="006368A5">
        <w:rPr>
          <w:rFonts w:hint="eastAsia"/>
        </w:rPr>
        <w:t xml:space="preserve"> implications for EAP practitioners</w:t>
      </w:r>
      <w:r w:rsidRPr="006368A5">
        <w:t xml:space="preserve">; in fact, they should </w:t>
      </w:r>
      <w:r w:rsidRPr="006368A5">
        <w:rPr>
          <w:rFonts w:hint="eastAsia"/>
        </w:rPr>
        <w:t xml:space="preserve">consider prioritizing their instruction </w:t>
      </w:r>
      <w:r w:rsidRPr="006368A5">
        <w:t>to</w:t>
      </w:r>
      <w:r w:rsidRPr="006368A5">
        <w:rPr>
          <w:rFonts w:hint="eastAsia"/>
        </w:rPr>
        <w:t xml:space="preserve"> broaden and deepen students</w:t>
      </w:r>
      <w:r w:rsidRPr="006368A5">
        <w:t>’</w:t>
      </w:r>
      <w:r w:rsidRPr="006368A5">
        <w:rPr>
          <w:rFonts w:hint="eastAsia"/>
        </w:rPr>
        <w:t xml:space="preserve"> lexical and syntactic knowledge to </w:t>
      </w:r>
      <w:r w:rsidRPr="006368A5">
        <w:t>enhanc</w:t>
      </w:r>
      <w:r w:rsidRPr="006368A5">
        <w:rPr>
          <w:rFonts w:hint="eastAsia"/>
        </w:rPr>
        <w:t xml:space="preserve">e </w:t>
      </w:r>
      <w:r w:rsidRPr="006368A5">
        <w:t>their synthesis</w:t>
      </w:r>
      <w:r w:rsidRPr="006368A5">
        <w:rPr>
          <w:rFonts w:hint="eastAsia"/>
        </w:rPr>
        <w:t xml:space="preserve"> writing performance.</w:t>
      </w:r>
    </w:p>
    <w:p w14:paraId="40D78ADC" w14:textId="77777777" w:rsidR="00E027AC" w:rsidRPr="006368A5" w:rsidRDefault="00E027AC" w:rsidP="00E027AC">
      <w:pPr>
        <w:pStyle w:val="L2JBody"/>
      </w:pPr>
    </w:p>
    <w:bookmarkEnd w:id="7"/>
    <w:p w14:paraId="665BBBF3" w14:textId="77777777" w:rsidR="00E027AC" w:rsidRPr="006368A5" w:rsidRDefault="00E027AC" w:rsidP="00E027AC">
      <w:pPr>
        <w:pStyle w:val="L2JH3"/>
        <w:rPr>
          <w:shd w:val="clear" w:color="auto" w:fill="FFFFFF"/>
        </w:rPr>
      </w:pPr>
      <w:r w:rsidRPr="006368A5">
        <w:rPr>
          <w:shd w:val="clear" w:color="auto" w:fill="FFFFFF"/>
        </w:rPr>
        <w:t>Task Representation and Writing Processes</w:t>
      </w:r>
    </w:p>
    <w:p w14:paraId="153584DA" w14:textId="77777777" w:rsidR="00E027AC" w:rsidRDefault="00E027AC" w:rsidP="00E027AC">
      <w:pPr>
        <w:pStyle w:val="L2JBody"/>
        <w:ind w:firstLine="0"/>
      </w:pPr>
    </w:p>
    <w:p w14:paraId="5B92C7B7" w14:textId="32C5C03E" w:rsidR="00E027AC" w:rsidRDefault="00E027AC" w:rsidP="00E027AC">
      <w:pPr>
        <w:pStyle w:val="L2JBody"/>
        <w:ind w:firstLine="0"/>
      </w:pPr>
      <w:r w:rsidRPr="006368A5">
        <w:t>Task representation</w:t>
      </w:r>
      <w:r w:rsidRPr="006368A5">
        <w:rPr>
          <w:rFonts w:hint="eastAsia"/>
        </w:rPr>
        <w:t xml:space="preserve"> </w:t>
      </w:r>
      <w:r w:rsidRPr="006368A5">
        <w:t xml:space="preserve">(i.e., understanding </w:t>
      </w:r>
      <w:r w:rsidRPr="006368A5">
        <w:rPr>
          <w:rFonts w:hint="eastAsia"/>
        </w:rPr>
        <w:t>of the nature and</w:t>
      </w:r>
      <w:r w:rsidRPr="006368A5">
        <w:t xml:space="preserve"> requirements of an assignment)</w:t>
      </w:r>
      <w:r w:rsidRPr="006368A5">
        <w:rPr>
          <w:rFonts w:hint="eastAsia"/>
        </w:rPr>
        <w:t xml:space="preserve"> and writing processes are two other areas</w:t>
      </w:r>
      <w:r w:rsidRPr="006368A5">
        <w:t xml:space="preserve"> receiving significant attention in synthesis</w:t>
      </w:r>
      <w:r w:rsidRPr="006368A5">
        <w:rPr>
          <w:rFonts w:hint="eastAsia"/>
        </w:rPr>
        <w:t xml:space="preserve"> </w:t>
      </w:r>
      <w:r w:rsidRPr="006368A5">
        <w:t xml:space="preserve">writing; </w:t>
      </w:r>
      <w:r w:rsidRPr="006368A5">
        <w:rPr>
          <w:rFonts w:hint="eastAsia"/>
        </w:rPr>
        <w:t xml:space="preserve">example studies are outlined in </w:t>
      </w:r>
      <w:r w:rsidRPr="006368A5">
        <w:t xml:space="preserve">Table 7. </w:t>
      </w:r>
      <w:r w:rsidRPr="006368A5">
        <w:rPr>
          <w:rFonts w:hint="eastAsia"/>
        </w:rPr>
        <w:t xml:space="preserve">Generally, </w:t>
      </w:r>
      <w:r w:rsidRPr="006368A5">
        <w:t>students’</w:t>
      </w:r>
      <w:r w:rsidRPr="006368A5">
        <w:rPr>
          <w:rFonts w:hint="eastAsia"/>
        </w:rPr>
        <w:t xml:space="preserve"> task representation is an integral part of success in academic writing </w:t>
      </w:r>
      <w:r w:rsidRPr="006368A5">
        <w:t>because</w:t>
      </w:r>
      <w:r w:rsidRPr="006368A5">
        <w:rPr>
          <w:rFonts w:hint="eastAsia"/>
        </w:rPr>
        <w:t xml:space="preserve"> it </w:t>
      </w:r>
      <w:r w:rsidRPr="006368A5">
        <w:t>plays a vital role in</w:t>
      </w:r>
      <w:r w:rsidRPr="006368A5">
        <w:rPr>
          <w:rFonts w:hint="eastAsia"/>
        </w:rPr>
        <w:t xml:space="preserve"> shap</w:t>
      </w:r>
      <w:r w:rsidRPr="006368A5">
        <w:t>ing</w:t>
      </w:r>
      <w:r w:rsidRPr="006368A5">
        <w:rPr>
          <w:rFonts w:hint="eastAsia"/>
        </w:rPr>
        <w:t xml:space="preserve"> the form, process</w:t>
      </w:r>
      <w:r w:rsidRPr="006368A5">
        <w:t>,</w:t>
      </w:r>
      <w:r w:rsidRPr="006368A5">
        <w:rPr>
          <w:rFonts w:hint="eastAsia"/>
        </w:rPr>
        <w:t xml:space="preserve"> and content of their writing </w:t>
      </w:r>
      <w:r w:rsidRPr="006368A5">
        <w:fldChar w:fldCharType="begin"/>
      </w:r>
      <w:r w:rsidRPr="006368A5">
        <w:instrText xml:space="preserve"> ADDIN ZOTERO_ITEM CSL_CITATION {"citationID":"Tw1BqBvZ","properties":{"formattedCitation":"(Wolfersberger, 2013)","plainCitation":"(Wolfersberger, 2013)","noteIndex":0},"citationItems":[{"id":155,"uris":["http://zotero.org/users/9207091/items/5Y9UIBHL"],"itemData":{"id":155,"type":"article-journal","container-title":"Language Assessment Quarterly","DOI":"10.1080/15434303.2012.750661","ISSN":"1543-4303, 1543-4311","issue":"1","journalAbbreviation":"Language Assessment Quarterly","language":"en","page":"49-72","source":"DOI.org (Crossref)","title":"Refining the construct of classroom-based writing-from-readings assessment: The role of task representation","title-short":"Refining the Construct of Classroom-Based Writing-From-Readings Assessment","volume":"10","author":[{"family":"Wolfersberger","given":"Mark"}],"issued":{"date-parts":[["2013",1]]}}}],"schema":"https://github.com/citation-style-language/schema/raw/master/csl-citation.json"} </w:instrText>
      </w:r>
      <w:r w:rsidRPr="006368A5">
        <w:fldChar w:fldCharType="separate"/>
      </w:r>
      <w:r w:rsidRPr="006368A5">
        <w:t>(Wolfersberger, 2013)</w:t>
      </w:r>
      <w:r w:rsidRPr="006368A5">
        <w:fldChar w:fldCharType="end"/>
      </w:r>
      <w:r w:rsidRPr="006368A5">
        <w:rPr>
          <w:rFonts w:hint="eastAsia"/>
        </w:rPr>
        <w:t xml:space="preserve">. My review </w:t>
      </w:r>
      <w:r w:rsidRPr="006368A5">
        <w:t>shows</w:t>
      </w:r>
      <w:r w:rsidRPr="006368A5">
        <w:rPr>
          <w:rFonts w:hint="eastAsia"/>
        </w:rPr>
        <w:t xml:space="preserve"> far more studies conducted on</w:t>
      </w:r>
      <w:r w:rsidRPr="006368A5">
        <w:t xml:space="preserve"> </w:t>
      </w:r>
      <w:r w:rsidRPr="006368A5">
        <w:rPr>
          <w:i/>
          <w:iCs/>
        </w:rPr>
        <w:t xml:space="preserve">students’ </w:t>
      </w:r>
      <w:r w:rsidRPr="006368A5">
        <w:t>task representation</w:t>
      </w:r>
      <w:r w:rsidRPr="006368A5">
        <w:rPr>
          <w:rFonts w:hint="eastAsia"/>
        </w:rPr>
        <w:t xml:space="preserve"> than </w:t>
      </w:r>
      <w:r w:rsidRPr="006368A5">
        <w:rPr>
          <w:i/>
          <w:iCs/>
        </w:rPr>
        <w:t>teachers’</w:t>
      </w:r>
      <w:r w:rsidRPr="006368A5">
        <w:t xml:space="preserve"> task representation</w:t>
      </w:r>
      <w:r w:rsidRPr="006368A5">
        <w:rPr>
          <w:rFonts w:hint="eastAsia"/>
        </w:rPr>
        <w:t>.</w:t>
      </w:r>
      <w:r w:rsidRPr="006368A5">
        <w:t xml:space="preserve"> </w:t>
      </w:r>
      <w:r w:rsidRPr="006368A5">
        <w:rPr>
          <w:rFonts w:hint="eastAsia"/>
        </w:rPr>
        <w:t>Understanding student practices is crucial, but listen</w:t>
      </w:r>
      <w:r w:rsidRPr="006368A5">
        <w:t>ing</w:t>
      </w:r>
      <w:r w:rsidRPr="006368A5">
        <w:rPr>
          <w:rFonts w:hint="eastAsia"/>
        </w:rPr>
        <w:t xml:space="preserve"> to teachers</w:t>
      </w:r>
      <w:r w:rsidRPr="006368A5">
        <w:t>’</w:t>
      </w:r>
      <w:r w:rsidRPr="006368A5">
        <w:rPr>
          <w:rFonts w:hint="eastAsia"/>
        </w:rPr>
        <w:t xml:space="preserve"> voices is also equally critical</w:t>
      </w:r>
      <w:r w:rsidRPr="006368A5">
        <w:t>: T</w:t>
      </w:r>
      <w:r w:rsidRPr="006368A5">
        <w:rPr>
          <w:rFonts w:hint="eastAsia"/>
        </w:rPr>
        <w:t>heir understanding heavily influences what materials they choose</w:t>
      </w:r>
      <w:r w:rsidRPr="006368A5">
        <w:t xml:space="preserve"> </w:t>
      </w:r>
      <w:r w:rsidRPr="006368A5">
        <w:rPr>
          <w:rFonts w:hint="eastAsia"/>
        </w:rPr>
        <w:t xml:space="preserve">and how they teach, eventually </w:t>
      </w:r>
      <w:r w:rsidRPr="006368A5">
        <w:t>affecting</w:t>
      </w:r>
      <w:r w:rsidRPr="006368A5">
        <w:rPr>
          <w:rFonts w:hint="eastAsia"/>
        </w:rPr>
        <w:t xml:space="preserve"> student learning. </w:t>
      </w:r>
    </w:p>
    <w:p w14:paraId="55179143" w14:textId="77777777" w:rsidR="00E027AC" w:rsidRPr="00E027AC" w:rsidRDefault="00E027AC" w:rsidP="00E027AC">
      <w:pPr>
        <w:pStyle w:val="L2JBody"/>
        <w:ind w:firstLine="0"/>
      </w:pPr>
    </w:p>
    <w:p w14:paraId="5EE6E558" w14:textId="429CBD34" w:rsidR="00E027AC" w:rsidRDefault="00E027AC" w:rsidP="00E027AC">
      <w:pPr>
        <w:pStyle w:val="L2JFigureCallOut"/>
        <w:rPr>
          <w:shd w:val="clear" w:color="auto" w:fill="FFFFFF"/>
        </w:rPr>
      </w:pPr>
      <w:r w:rsidRPr="006368A5">
        <w:rPr>
          <w:shd w:val="clear" w:color="auto" w:fill="FFFFFF"/>
        </w:rPr>
        <w:t>Table 7</w:t>
      </w:r>
    </w:p>
    <w:p w14:paraId="07918804" w14:textId="77777777" w:rsidR="00E027AC" w:rsidRPr="006368A5" w:rsidRDefault="00E027AC" w:rsidP="00E027AC">
      <w:pPr>
        <w:pStyle w:val="L2JFigureCallOut"/>
        <w:rPr>
          <w:shd w:val="clear" w:color="auto" w:fill="FFFFFF"/>
        </w:rPr>
      </w:pPr>
    </w:p>
    <w:p w14:paraId="14042EEE" w14:textId="77777777" w:rsidR="00E027AC" w:rsidRDefault="00E027AC" w:rsidP="00E027AC">
      <w:pPr>
        <w:pStyle w:val="L2JFigureTitle"/>
        <w:rPr>
          <w:shd w:val="clear" w:color="auto" w:fill="FFFFFF"/>
        </w:rPr>
      </w:pPr>
      <w:r w:rsidRPr="006368A5">
        <w:rPr>
          <w:shd w:val="clear" w:color="auto" w:fill="FFFFFF"/>
        </w:rPr>
        <w:t xml:space="preserve">Example </w:t>
      </w:r>
      <w:r w:rsidRPr="006368A5">
        <w:rPr>
          <w:rFonts w:hint="eastAsia"/>
          <w:shd w:val="clear" w:color="auto" w:fill="FFFFFF"/>
        </w:rPr>
        <w:t>S</w:t>
      </w:r>
      <w:r w:rsidRPr="006368A5">
        <w:rPr>
          <w:shd w:val="clear" w:color="auto" w:fill="FFFFFF"/>
        </w:rPr>
        <w:t xml:space="preserve">tudies on </w:t>
      </w:r>
      <w:r w:rsidRPr="006368A5">
        <w:rPr>
          <w:rFonts w:hint="eastAsia"/>
          <w:shd w:val="clear" w:color="auto" w:fill="FFFFFF"/>
        </w:rPr>
        <w:t>T</w:t>
      </w:r>
      <w:r w:rsidRPr="006368A5">
        <w:rPr>
          <w:shd w:val="clear" w:color="auto" w:fill="FFFFFF"/>
        </w:rPr>
        <w:t xml:space="preserve">ask </w:t>
      </w:r>
      <w:r w:rsidRPr="006368A5">
        <w:rPr>
          <w:rFonts w:hint="eastAsia"/>
          <w:shd w:val="clear" w:color="auto" w:fill="FFFFFF"/>
        </w:rPr>
        <w:t>R</w:t>
      </w:r>
      <w:r w:rsidRPr="006368A5">
        <w:rPr>
          <w:shd w:val="clear" w:color="auto" w:fill="FFFFFF"/>
        </w:rPr>
        <w:t xml:space="preserve">epresentations and </w:t>
      </w:r>
      <w:r w:rsidRPr="006368A5">
        <w:rPr>
          <w:rFonts w:hint="eastAsia"/>
          <w:shd w:val="clear" w:color="auto" w:fill="FFFFFF"/>
        </w:rPr>
        <w:t>W</w:t>
      </w:r>
      <w:r w:rsidRPr="006368A5">
        <w:rPr>
          <w:shd w:val="clear" w:color="auto" w:fill="FFFFFF"/>
        </w:rPr>
        <w:t xml:space="preserve">riting </w:t>
      </w:r>
      <w:r w:rsidRPr="006368A5">
        <w:rPr>
          <w:rFonts w:hint="eastAsia"/>
          <w:shd w:val="clear" w:color="auto" w:fill="FFFFFF"/>
        </w:rPr>
        <w:t>P</w:t>
      </w:r>
      <w:r w:rsidRPr="006368A5">
        <w:rPr>
          <w:shd w:val="clear" w:color="auto" w:fill="FFFFFF"/>
        </w:rPr>
        <w:t>rocesses</w:t>
      </w:r>
    </w:p>
    <w:p w14:paraId="2B766DA4" w14:textId="77777777" w:rsidR="00E027AC" w:rsidRPr="00E027AC" w:rsidRDefault="00E027AC" w:rsidP="00E027AC">
      <w:pPr>
        <w:pStyle w:val="L2JFigureTitle"/>
        <w:rPr>
          <w:shd w:val="clear" w:color="auto" w:fill="FFFFFF"/>
        </w:rPr>
      </w:pPr>
    </w:p>
    <w:tbl>
      <w:tblPr>
        <w:tblStyle w:val="TableGrid"/>
        <w:tblW w:w="0" w:type="auto"/>
        <w:tblLook w:val="04A0" w:firstRow="1" w:lastRow="0" w:firstColumn="1" w:lastColumn="0" w:noHBand="0" w:noVBand="1"/>
      </w:tblPr>
      <w:tblGrid>
        <w:gridCol w:w="4320"/>
        <w:gridCol w:w="4320"/>
      </w:tblGrid>
      <w:tr w:rsidR="00E027AC" w:rsidRPr="00E027AC" w14:paraId="60719202" w14:textId="77777777" w:rsidTr="00924822">
        <w:tc>
          <w:tcPr>
            <w:tcW w:w="4675" w:type="dxa"/>
            <w:tcBorders>
              <w:left w:val="nil"/>
              <w:right w:val="nil"/>
            </w:tcBorders>
          </w:tcPr>
          <w:p w14:paraId="7F892DB5"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 xml:space="preserve">Study on task representation </w:t>
            </w:r>
          </w:p>
          <w:p w14:paraId="4CAB835F"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lastRenderedPageBreak/>
              <w:t>and writing processes</w:t>
            </w:r>
          </w:p>
          <w:p w14:paraId="6ADBAEB2" w14:textId="77777777" w:rsidR="00E027AC" w:rsidRPr="00E027AC" w:rsidRDefault="00E027AC" w:rsidP="00924822">
            <w:pPr>
              <w:rPr>
                <w:rFonts w:ascii="Garamond" w:hAnsi="Garamond"/>
                <w:sz w:val="24"/>
                <w:szCs w:val="24"/>
                <w:shd w:val="clear" w:color="auto" w:fill="FFFFFF"/>
              </w:rPr>
            </w:pPr>
          </w:p>
        </w:tc>
        <w:tc>
          <w:tcPr>
            <w:tcW w:w="4675" w:type="dxa"/>
            <w:tcBorders>
              <w:left w:val="nil"/>
              <w:right w:val="nil"/>
            </w:tcBorders>
          </w:tcPr>
          <w:p w14:paraId="08C9E50B"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lastRenderedPageBreak/>
              <w:t>Specific focus</w:t>
            </w:r>
          </w:p>
          <w:p w14:paraId="44648C92" w14:textId="77777777" w:rsidR="00E027AC" w:rsidRPr="00E027AC" w:rsidRDefault="00E027AC" w:rsidP="00924822">
            <w:pPr>
              <w:rPr>
                <w:rFonts w:ascii="Garamond" w:hAnsi="Garamond"/>
                <w:sz w:val="24"/>
                <w:szCs w:val="24"/>
                <w:shd w:val="clear" w:color="auto" w:fill="FFFFFF"/>
              </w:rPr>
            </w:pPr>
          </w:p>
        </w:tc>
      </w:tr>
      <w:tr w:rsidR="00E027AC" w:rsidRPr="00E027AC" w14:paraId="3B5614DD" w14:textId="77777777" w:rsidTr="00924822">
        <w:tc>
          <w:tcPr>
            <w:tcW w:w="4675" w:type="dxa"/>
            <w:tcBorders>
              <w:left w:val="nil"/>
              <w:bottom w:val="nil"/>
              <w:right w:val="nil"/>
            </w:tcBorders>
          </w:tcPr>
          <w:p w14:paraId="7FFB2FD0" w14:textId="77777777" w:rsidR="00E027AC" w:rsidRPr="00E027AC" w:rsidRDefault="00E027AC" w:rsidP="00924822">
            <w:pPr>
              <w:rPr>
                <w:rFonts w:ascii="Garamond" w:hAnsi="Garamond" w:cs="Times New Roman"/>
                <w:sz w:val="24"/>
              </w:rPr>
            </w:pPr>
            <w:r w:rsidRPr="00E027AC">
              <w:rPr>
                <w:rFonts w:ascii="Garamond" w:eastAsia="Malgun Gothic" w:hAnsi="Garamond" w:cs="Times New Roman"/>
                <w:sz w:val="24"/>
                <w:szCs w:val="24"/>
              </w:rPr>
              <w:lastRenderedPageBreak/>
              <w:fldChar w:fldCharType="begin"/>
            </w:r>
            <w:r w:rsidRPr="00E027AC">
              <w:rPr>
                <w:rFonts w:ascii="Garamond" w:eastAsia="Malgun Gothic" w:hAnsi="Garamond" w:cs="Times New Roman"/>
                <w:sz w:val="24"/>
                <w:szCs w:val="24"/>
              </w:rPr>
              <w:instrText xml:space="preserve"> ADDIN ZOTERO_ITEM CSL_CITATION {"citationID":"YH2YwVMm","properties":{"formattedCitation":"(Cheng, 2009; Petri\\uc0\\u263{} &amp; Harwood, 2013; Plakans, 2010; Wolfersberger, 2013; W. Zhu, 2005)","plainCitation":"(Cheng, 2009; Petrić &amp; Harwood, 2013; Plakans, 2010; Wolfersberger, 2013; W. Zhu, 2005)","dontUpdate":true,"noteIndex":0},"citationItems":[{"id":1537,"uris":["http://zotero.org/users/9207091/items/98Y6BXF8"],"itemData":{"id":1537,"type":"article-journal","container-title":"Journal of Pan-Pacific Association of Applied Linguistics","issue":"2","note":"publisher: ERIC","page":"1–21","source":"Google Scholar","title":"Task representation and text construction in reading-to-write.","volume":"13","author":[{"family":"Cheng","given":"Fei-Wen"}],"issued":{"date-parts":[["2009"]]}},"label":"page"},{"id":1514,"uris":["http://zotero.org/users/9207091/items/IBARJ7X7"],"itemData":{"id":1514,"type":"article-journal","container-title":"Journal of English for Academic Purposes","issue":"2","page":"110–124","source":"Google Scholar","title":"Task requirements, task representation, and citation functions: An interview-based study of the citing behavior of a successful L2 student writer","title-short":"Task requirements, task representation, and citation functions","volume":"12","author":[{"family":"Petrić","given":"B."},{"family":"Harwood","given":"N."}],"issued":{"date-parts":[["2013"]]}},"label":"page"},{"id":162,"uris":["http://zotero.org/users/9207091/items/Z3PAXIC4"],"itemData":{"id":162,"type":"article-journal","container-title":"TESOL Quarterly","DOI":"10.5054/tq.2010.215251","ISSN":"00398322, 15457249","issue":"1","journalAbbreviation":"TESOL Quarterly","language":"en","page":"185-194","source":"DOI.org (Crossref)","title":"Independent vs. integrated writing tasks: A comparison of task representation","title-short":"Independent vs. Integrated Writing Tasks","volume":"44","author":[{"family":"Plakans","given":"Lia"}],"issued":{"date-parts":[["2010",3,1]]}},"label":"page"},{"id":155,"uris":["http://zotero.org/users/9207091/items/5Y9UIBHL"],"itemData":{"id":155,"type":"article-journal","container-title":"Language Assessment Quarterly","DOI":"10.1080/15434303.2012.750661","ISSN":"1543-4303, 1543-4311","issue":"1","journalAbbreviation":"Language Assessment Quarterly","language":"en","page":"49-72","source":"DOI.org (Crossref)","title":"Refining the construct of classroom-based writing-from-readings assessment: The role of task representation","title-short":"Refining the Construct of Classroom-Based Writing-From-Readings Assessment","volume":"10","author":[{"family":"Wolfersberger","given":"Mark"}],"issued":{"date-parts":[["2013",1]]}},"label":"page"},{"id":1570,"uris":["http://zotero.org/users/9207091/items/8JY3BF8Q"],"itemData":{"id":1570,"type":"article-journal","container-title":"Journal of Asian Pacific Communication","issue":"1","note":"ISBN: 0957-6851\npublisher: John Benjamins","page":"129-152","title":"Source articles as scaffolds in reading to write: The case of a Chinese student writing in English","volume":"15","author":[{"family":"Zhu","given":"Wei"}],"issued":{"date-parts":[["2005"]]}},"label":"page"}],"schema":"https://github.com/citation-style-language/schema/raw/master/csl-citation.json"} </w:instrText>
            </w:r>
            <w:r w:rsidRPr="00E027AC">
              <w:rPr>
                <w:rFonts w:ascii="Garamond" w:eastAsia="Malgun Gothic" w:hAnsi="Garamond" w:cs="Times New Roman"/>
                <w:sz w:val="24"/>
                <w:szCs w:val="24"/>
              </w:rPr>
              <w:fldChar w:fldCharType="separate"/>
            </w:r>
            <w:r w:rsidRPr="00E027AC">
              <w:rPr>
                <w:rFonts w:ascii="Garamond" w:hAnsi="Garamond" w:cs="Times New Roman"/>
                <w:sz w:val="24"/>
              </w:rPr>
              <w:t xml:space="preserve">Cheng (2009) </w:t>
            </w:r>
          </w:p>
          <w:p w14:paraId="62663DA4" w14:textId="77777777" w:rsidR="00E027AC" w:rsidRPr="00E027AC" w:rsidRDefault="00E027AC" w:rsidP="00924822">
            <w:pPr>
              <w:rPr>
                <w:rFonts w:ascii="Garamond" w:hAnsi="Garamond" w:cs="Times New Roman"/>
                <w:sz w:val="24"/>
              </w:rPr>
            </w:pPr>
            <w:r w:rsidRPr="00E027AC">
              <w:rPr>
                <w:rFonts w:ascii="Garamond" w:hAnsi="Garamond" w:cs="Times New Roman"/>
                <w:sz w:val="24"/>
              </w:rPr>
              <w:t xml:space="preserve">Petrić and Harwood (2013) </w:t>
            </w:r>
          </w:p>
          <w:p w14:paraId="075798D2" w14:textId="77777777" w:rsidR="00E027AC" w:rsidRPr="00E027AC" w:rsidRDefault="00E027AC" w:rsidP="00924822">
            <w:pPr>
              <w:rPr>
                <w:rFonts w:ascii="Garamond" w:hAnsi="Garamond" w:cs="Times New Roman"/>
                <w:sz w:val="24"/>
              </w:rPr>
            </w:pPr>
            <w:proofErr w:type="spellStart"/>
            <w:r w:rsidRPr="00E027AC">
              <w:rPr>
                <w:rFonts w:ascii="Garamond" w:hAnsi="Garamond" w:cs="Times New Roman"/>
                <w:sz w:val="24"/>
              </w:rPr>
              <w:t>Plakans</w:t>
            </w:r>
            <w:proofErr w:type="spellEnd"/>
            <w:r w:rsidRPr="00E027AC">
              <w:rPr>
                <w:rFonts w:ascii="Garamond" w:hAnsi="Garamond" w:cs="Times New Roman"/>
                <w:sz w:val="24"/>
              </w:rPr>
              <w:t xml:space="preserve"> (2010) </w:t>
            </w:r>
          </w:p>
          <w:p w14:paraId="468E5468" w14:textId="77777777" w:rsidR="00E027AC" w:rsidRPr="00E027AC" w:rsidRDefault="00E027AC" w:rsidP="00924822">
            <w:pPr>
              <w:rPr>
                <w:rFonts w:ascii="Garamond" w:hAnsi="Garamond" w:cs="Times New Roman"/>
                <w:sz w:val="24"/>
              </w:rPr>
            </w:pPr>
            <w:r w:rsidRPr="00E027AC">
              <w:rPr>
                <w:rFonts w:ascii="Garamond" w:hAnsi="Garamond" w:cs="Times New Roman"/>
                <w:sz w:val="24"/>
              </w:rPr>
              <w:t xml:space="preserve">Wolfersberger (2013) </w:t>
            </w:r>
          </w:p>
          <w:p w14:paraId="5D48E263" w14:textId="77777777" w:rsidR="00E027AC" w:rsidRPr="00E027AC" w:rsidRDefault="00E027AC" w:rsidP="00924822">
            <w:pPr>
              <w:rPr>
                <w:rFonts w:ascii="Garamond" w:eastAsia="Malgun Gothic" w:hAnsi="Garamond" w:cs="Times New Roman"/>
                <w:sz w:val="24"/>
                <w:szCs w:val="24"/>
              </w:rPr>
            </w:pPr>
            <w:r w:rsidRPr="00E027AC">
              <w:rPr>
                <w:rFonts w:ascii="Garamond" w:hAnsi="Garamond" w:cs="Times New Roman"/>
                <w:sz w:val="24"/>
              </w:rPr>
              <w:t>W. Zhu (2005)</w:t>
            </w:r>
            <w:r w:rsidRPr="00E027AC">
              <w:rPr>
                <w:rFonts w:ascii="Garamond" w:eastAsia="Malgun Gothic" w:hAnsi="Garamond" w:cs="Times New Roman"/>
                <w:sz w:val="24"/>
                <w:szCs w:val="24"/>
              </w:rPr>
              <w:fldChar w:fldCharType="end"/>
            </w:r>
          </w:p>
        </w:tc>
        <w:tc>
          <w:tcPr>
            <w:tcW w:w="4675" w:type="dxa"/>
            <w:tcBorders>
              <w:left w:val="nil"/>
              <w:bottom w:val="nil"/>
              <w:right w:val="nil"/>
            </w:tcBorders>
            <w:vAlign w:val="center"/>
          </w:tcPr>
          <w:p w14:paraId="5021CA2E"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Students’ task representation</w:t>
            </w:r>
          </w:p>
        </w:tc>
      </w:tr>
      <w:tr w:rsidR="00E027AC" w:rsidRPr="00E027AC" w14:paraId="3996FE20" w14:textId="77777777" w:rsidTr="00924822">
        <w:tc>
          <w:tcPr>
            <w:tcW w:w="4675" w:type="dxa"/>
            <w:tcBorders>
              <w:top w:val="nil"/>
              <w:left w:val="nil"/>
              <w:bottom w:val="nil"/>
              <w:right w:val="nil"/>
            </w:tcBorders>
          </w:tcPr>
          <w:p w14:paraId="706B2711" w14:textId="77777777" w:rsidR="00E027AC" w:rsidRPr="00E027AC" w:rsidRDefault="00E027AC" w:rsidP="00924822">
            <w:pPr>
              <w:rPr>
                <w:rFonts w:ascii="Garamond" w:hAnsi="Garamond"/>
                <w:sz w:val="24"/>
                <w:szCs w:val="24"/>
                <w:shd w:val="clear" w:color="auto" w:fill="FFFFFF"/>
              </w:rPr>
            </w:pPr>
          </w:p>
          <w:p w14:paraId="59C6ADA3"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fldChar w:fldCharType="begin"/>
            </w:r>
            <w:r w:rsidRPr="00E027AC">
              <w:rPr>
                <w:rFonts w:ascii="Garamond" w:hAnsi="Garamond"/>
                <w:sz w:val="24"/>
                <w:szCs w:val="24"/>
                <w:shd w:val="clear" w:color="auto" w:fill="FFFFFF"/>
              </w:rPr>
              <w:instrText xml:space="preserve"> ADDIN ZOTERO_ITEM CSL_CITATION {"citationID":"l8ZIuzMX","properties":{"formattedCitation":"(Jeon, 2021)","plainCitation":"(Jeon, 2021)","dontUpdate":true,"noteIndex":0},"citationItems":[{"id":228,"uris":["http://zotero.org/users/9207091/items/XAKI8WAC"],"itemData":{"id":228,"type":"article-journal","abstract":"This qualitative case study explored the nature of teaching for transfer of one EAP writing teacher who taught an undergraduate-level academic writing course in the US. The findings of this study revealed that the teacher believed in the importance of teaching for transfer and addressed various dimensions of transfer, such as (a) transfer between reading and writing, (b) transfer across major writing tasks, and (c) transfer beyond a course. However, in terms of actual instructional practices, the teacher was not yet fully prepared to handle the various dimensions of transfer in an effective way. Implications for EAP writing teachers are discussed.","container-title":"RELC Journal","DOI":"10.1177/0033688220974100","ISSN":"0033-6882, 1745-526X","journalAbbreviation":"RELC Journal","language":"en","page":"003368822097410","source":"DOI.org (Crossref)","title":"Exploring the nature of teaching for transfer in EAP: A case study","title-short":"Exploring the Nature of Teaching for Transfer in EAP","author":[{"family":"Jeon","given":"Heon"}],"issued":{"date-parts":[["2021",1,6]]}},"label":"page"}],"schema":"https://github.com/citation-style-language/schema/raw/master/csl-citation.json"} </w:instrText>
            </w:r>
            <w:r w:rsidRPr="00E027AC">
              <w:rPr>
                <w:rFonts w:ascii="Garamond" w:hAnsi="Garamond"/>
                <w:sz w:val="24"/>
                <w:szCs w:val="24"/>
                <w:shd w:val="clear" w:color="auto" w:fill="FFFFFF"/>
              </w:rPr>
              <w:fldChar w:fldCharType="separate"/>
            </w:r>
            <w:r w:rsidRPr="00E027AC">
              <w:rPr>
                <w:rFonts w:ascii="Garamond" w:hAnsi="Garamond" w:cs="Times New Roman"/>
                <w:sz w:val="24"/>
              </w:rPr>
              <w:t>Jeon (2021)</w:t>
            </w:r>
            <w:r w:rsidRPr="00E027AC">
              <w:rPr>
                <w:rFonts w:ascii="Garamond" w:hAnsi="Garamond"/>
                <w:sz w:val="24"/>
                <w:szCs w:val="24"/>
                <w:shd w:val="clear" w:color="auto" w:fill="FFFFFF"/>
              </w:rPr>
              <w:fldChar w:fldCharType="end"/>
            </w:r>
          </w:p>
        </w:tc>
        <w:tc>
          <w:tcPr>
            <w:tcW w:w="4675" w:type="dxa"/>
            <w:tcBorders>
              <w:top w:val="nil"/>
              <w:left w:val="nil"/>
              <w:bottom w:val="nil"/>
              <w:right w:val="nil"/>
            </w:tcBorders>
            <w:vAlign w:val="center"/>
          </w:tcPr>
          <w:p w14:paraId="360026CC" w14:textId="77777777" w:rsidR="00E027AC" w:rsidRPr="00E027AC" w:rsidRDefault="00E027AC" w:rsidP="00924822">
            <w:pPr>
              <w:rPr>
                <w:rFonts w:ascii="Garamond" w:hAnsi="Garamond"/>
                <w:sz w:val="24"/>
                <w:szCs w:val="24"/>
                <w:shd w:val="clear" w:color="auto" w:fill="FFFFFF"/>
              </w:rPr>
            </w:pPr>
          </w:p>
          <w:p w14:paraId="3EDD3F1E"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 xml:space="preserve">A teacher’s task representation and transfer </w:t>
            </w:r>
          </w:p>
          <w:p w14:paraId="48CB4807" w14:textId="77777777" w:rsidR="00E027AC" w:rsidRPr="00E027AC" w:rsidRDefault="00E027AC" w:rsidP="00924822">
            <w:pPr>
              <w:rPr>
                <w:rFonts w:ascii="Garamond" w:hAnsi="Garamond"/>
                <w:sz w:val="24"/>
                <w:szCs w:val="24"/>
                <w:shd w:val="clear" w:color="auto" w:fill="FFFFFF"/>
              </w:rPr>
            </w:pPr>
          </w:p>
        </w:tc>
      </w:tr>
      <w:tr w:rsidR="00E027AC" w:rsidRPr="00E027AC" w14:paraId="7A59EBA1" w14:textId="77777777" w:rsidTr="00924822">
        <w:tc>
          <w:tcPr>
            <w:tcW w:w="4675" w:type="dxa"/>
            <w:tcBorders>
              <w:top w:val="nil"/>
              <w:left w:val="nil"/>
              <w:bottom w:val="nil"/>
              <w:right w:val="nil"/>
            </w:tcBorders>
          </w:tcPr>
          <w:p w14:paraId="709FD356" w14:textId="77777777" w:rsidR="00E027AC" w:rsidRPr="00E027AC" w:rsidRDefault="00E027AC" w:rsidP="00924822">
            <w:pPr>
              <w:rPr>
                <w:rFonts w:ascii="Garamond" w:eastAsia="Malgun Gothic" w:hAnsi="Garamond" w:cs="Times New Roman"/>
                <w:sz w:val="24"/>
                <w:szCs w:val="24"/>
              </w:rPr>
            </w:pPr>
            <w:r w:rsidRPr="00E027AC">
              <w:rPr>
                <w:rFonts w:ascii="Garamond" w:eastAsia="Malgun Gothic" w:hAnsi="Garamond" w:cs="Times New Roman"/>
                <w:sz w:val="24"/>
                <w:szCs w:val="24"/>
              </w:rPr>
              <w:fldChar w:fldCharType="begin"/>
            </w:r>
            <w:r w:rsidRPr="00E027AC">
              <w:rPr>
                <w:rFonts w:ascii="Garamond" w:eastAsia="Malgun Gothic" w:hAnsi="Garamond" w:cs="Times New Roman"/>
                <w:sz w:val="24"/>
                <w:szCs w:val="24"/>
              </w:rPr>
              <w:instrText xml:space="preserve"> ADDIN ZOTERO_ITEM CSL_CITATION {"citationID":"c2q8fnlO","properties":{"formattedCitation":"(Stapleton, 2010)","plainCitation":"(Stapleton, 2010)","dontUpdate":true,"noteIndex":0},"citationItems":[{"id":1604,"uris":["http://zotero.org/users/9207091/items/WE6APTYU"],"itemData":{"id":1604,"type":"article-journal","container-title":"Journal of English for Academic Purposes","issue":"4","note":"ISBN: 1475-1585\npublisher: Elsevier","page":"295-307","title":"Writing in an electronic age: A case study of L2 composing processes","volume":"9","author":[{"family":"Stapleton","given":"Paul"}],"issued":{"date-parts":[["2010"]]}}}],"schema":"https://github.com/citation-style-language/schema/raw/master/csl-citation.json"} </w:instrText>
            </w:r>
            <w:r w:rsidRPr="00E027AC">
              <w:rPr>
                <w:rFonts w:ascii="Garamond" w:eastAsia="Malgun Gothic" w:hAnsi="Garamond" w:cs="Times New Roman"/>
                <w:sz w:val="24"/>
                <w:szCs w:val="24"/>
              </w:rPr>
              <w:fldChar w:fldCharType="separate"/>
            </w:r>
            <w:r w:rsidRPr="00E027AC">
              <w:rPr>
                <w:rFonts w:ascii="Garamond" w:hAnsi="Garamond" w:cs="Times New Roman"/>
                <w:sz w:val="24"/>
              </w:rPr>
              <w:t>Stapleton (2010)</w:t>
            </w:r>
            <w:r w:rsidRPr="00E027AC">
              <w:rPr>
                <w:rFonts w:ascii="Garamond" w:eastAsia="Malgun Gothic" w:hAnsi="Garamond" w:cs="Times New Roman"/>
                <w:sz w:val="24"/>
                <w:szCs w:val="24"/>
              </w:rPr>
              <w:fldChar w:fldCharType="end"/>
            </w:r>
          </w:p>
        </w:tc>
        <w:tc>
          <w:tcPr>
            <w:tcW w:w="4675" w:type="dxa"/>
            <w:tcBorders>
              <w:top w:val="nil"/>
              <w:left w:val="nil"/>
              <w:bottom w:val="nil"/>
              <w:right w:val="nil"/>
            </w:tcBorders>
            <w:vAlign w:val="center"/>
          </w:tcPr>
          <w:p w14:paraId="3E7B6F8C"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Overall composing process: time allotment</w:t>
            </w:r>
          </w:p>
          <w:p w14:paraId="20731784" w14:textId="77777777" w:rsidR="00E027AC" w:rsidRPr="00E027AC" w:rsidRDefault="00E027AC" w:rsidP="00924822">
            <w:pPr>
              <w:rPr>
                <w:rFonts w:ascii="Garamond" w:hAnsi="Garamond"/>
                <w:sz w:val="24"/>
                <w:szCs w:val="24"/>
                <w:shd w:val="clear" w:color="auto" w:fill="FFFFFF"/>
              </w:rPr>
            </w:pPr>
          </w:p>
        </w:tc>
      </w:tr>
      <w:tr w:rsidR="00E027AC" w:rsidRPr="00E027AC" w14:paraId="3FC71FD2" w14:textId="77777777" w:rsidTr="00924822">
        <w:tc>
          <w:tcPr>
            <w:tcW w:w="4675" w:type="dxa"/>
            <w:tcBorders>
              <w:top w:val="nil"/>
              <w:left w:val="nil"/>
              <w:right w:val="nil"/>
            </w:tcBorders>
          </w:tcPr>
          <w:p w14:paraId="66B18708" w14:textId="77777777" w:rsidR="00E027AC" w:rsidRPr="00E027AC" w:rsidRDefault="00E027AC" w:rsidP="00924822">
            <w:pPr>
              <w:rPr>
                <w:rFonts w:ascii="Garamond" w:hAnsi="Garamond" w:cs="Times New Roman"/>
                <w:sz w:val="24"/>
              </w:rPr>
            </w:pPr>
            <w:r w:rsidRPr="00E027AC">
              <w:rPr>
                <w:rFonts w:ascii="Garamond" w:hAnsi="Garamond"/>
                <w:i/>
                <w:iCs/>
                <w:sz w:val="24"/>
                <w:szCs w:val="24"/>
                <w:shd w:val="clear" w:color="auto" w:fill="FFFFFF"/>
              </w:rPr>
              <w:fldChar w:fldCharType="begin"/>
            </w:r>
            <w:r w:rsidRPr="00E027AC">
              <w:rPr>
                <w:rFonts w:ascii="Garamond" w:hAnsi="Garamond"/>
                <w:i/>
                <w:iCs/>
                <w:sz w:val="24"/>
                <w:szCs w:val="24"/>
                <w:shd w:val="clear" w:color="auto" w:fill="FFFFFF"/>
              </w:rPr>
              <w:instrText xml:space="preserve"> ADDIN ZOTERO_ITEM CSL_CITATION {"citationID":"wNoVRf6h","properties":{"formattedCitation":"(Plakans, 2009; Plakans &amp; Gebril, 2017; X. Zhu et al., 2021)","plainCitation":"(Plakans, 2009; Plakans &amp; Gebril, 2017; X. Zhu et al., 2021)","dontUpdate":true,"noteIndex":0},"citationItems":[{"id":850,"uris":["http://zotero.org/users/9207091/items/9GX7Y9Z2"],"itemData":{"id":850,"type":"article-journal","abstract":"As integrated tasks become more common in assessing writing for academic purposes, it is necessary to investigate how test takers approach these tasks. The present study explores the processes of test takers undertaking reading-to-write tasks developed for a university English placement exam. Think-aloud protocols and interviews of university-level non-native writers of English were collected to capture the writers’ composing processes. These data were analysed to determine if the tasks elicited an academic writing process of discourse synthesis and to identify what language issues were present. The results revealed some writers use discourse synthesis subprocesses in composing responses to the reading-to-write tasks, with apparent differences across writers. Language difficulties that emerged for writers were vocabulary knowledge and use, as well as stylistic concerns. The implications of the study suggest that reading-to-write tasks may elicit a discourse synthesis process that could be used for validity evidence in some contexts and lead to more appropriate placement into academic writing courses.","container-title":"Language Testing","DOI":"10.1177/0265532209340192","ISSN":"0265-5322, 1477-0946","issue":"4","journalAbbreviation":"Language Testing","language":"en","page":"561-587","source":"DOI.org (Crossref)","title":"Discourse synthesis in integrated second language writing assessment","volume":"26","author":[{"family":"Plakans","given":"Lia"}],"issued":{"date-parts":[["2009",10]]}},"label":"page"},{"id":308,"uris":["http://zotero.org/users/9207091/items/L3MNHIYT"],"itemData":{"id":308,"type":"article-journal","container-title":"Assessing Writing","journalAbbreviation":"Assessing Writing","page":"98–112","title":"Exploring the relationship of organization and connection with scores in integrated writing assessment.","volume":"31","author":[{"family":"Plakans","given":"L."},{"family":"Gebril","given":"A."}],"issued":{"date-parts":[["2017"]]}},"label":"page"},{"id":2983,"uris":["http://zotero.org/users/9207091/items/E9RQJWVS"],"itemData":{"id":2983,"type":"article-journal","abstract":"This study investigates the relationship between three discourse synthesis skills (i.e., quotation, summarization, and connection) and students’ overall integrated writing performance in Chinese, students’ first language, and English, their second language. Hierarchical regression analyses revealed that 63.6% of the variance in students’ overall Chinese integrated writing performance was accounted for by the three discourse synthesis skills, with connection and summarization contributed almost equally to the overall scores. In the English test, the three skills explained 47.9% of the variance. Cross-linguistic facilitation of the L1 discourse synthesis skills to the overall L2 integrated writing performance was observed, although the predictive strength of the three skills was comparatively low. Eye-tracking data together with subsequent stimulated-recall interviews illuminated the differences in students’ approaches to discourse synthesis. Findings of the study support the decisive role of discourse synthesis abilities in both L1 and L2 integrated writing assessments. Implications for writing instruction are discussed.","container-title":"Reading and Writing","DOI":"10.1007/s11145-020-10065-x","ISSN":"0922-4777, 1573-0905","issue":"1","journalAbbreviation":"Read Writ","language":"en","page":"49-78","source":"DOI.org (Crossref)","title":"Secondary school students’ discourse synthesis performance on Chinese (L1) and English (L2) integrated writing assessments","volume":"34","author":[{"family":"Zhu","given":"Xinhua"},{"family":"Li","given":"Guan Ying"},{"family":"Cheong","given":"Choo Mui"},{"family":"Yu","given":"Guoxing"},{"family":"Liao","given":"Xian"}],"issued":{"date-parts":[["2021",1]]}},"label":"page"}],"schema":"https://github.com/citation-style-language/schema/raw/master/csl-citation.json"} </w:instrText>
            </w:r>
            <w:r w:rsidRPr="00E027AC">
              <w:rPr>
                <w:rFonts w:ascii="Garamond" w:hAnsi="Garamond"/>
                <w:i/>
                <w:iCs/>
                <w:sz w:val="24"/>
                <w:szCs w:val="24"/>
                <w:shd w:val="clear" w:color="auto" w:fill="FFFFFF"/>
              </w:rPr>
              <w:fldChar w:fldCharType="separate"/>
            </w:r>
            <w:proofErr w:type="spellStart"/>
            <w:r w:rsidRPr="00E027AC">
              <w:rPr>
                <w:rFonts w:ascii="Garamond" w:hAnsi="Garamond" w:cs="Times New Roman"/>
                <w:sz w:val="24"/>
              </w:rPr>
              <w:t>Plakans</w:t>
            </w:r>
            <w:proofErr w:type="spellEnd"/>
            <w:r w:rsidRPr="00E027AC">
              <w:rPr>
                <w:rFonts w:ascii="Garamond" w:hAnsi="Garamond" w:cs="Times New Roman"/>
                <w:sz w:val="24"/>
              </w:rPr>
              <w:t xml:space="preserve"> (2009a)  </w:t>
            </w:r>
          </w:p>
          <w:p w14:paraId="43962E60" w14:textId="77777777" w:rsidR="00E027AC" w:rsidRPr="00E027AC" w:rsidRDefault="00E027AC" w:rsidP="00924822">
            <w:pPr>
              <w:rPr>
                <w:rFonts w:ascii="Garamond" w:hAnsi="Garamond"/>
                <w:i/>
                <w:iCs/>
                <w:sz w:val="24"/>
                <w:szCs w:val="24"/>
                <w:shd w:val="clear" w:color="auto" w:fill="FFFFFF"/>
              </w:rPr>
            </w:pPr>
            <w:proofErr w:type="spellStart"/>
            <w:r w:rsidRPr="00E027AC">
              <w:rPr>
                <w:rFonts w:ascii="Garamond" w:hAnsi="Garamond" w:cs="Times New Roman"/>
                <w:sz w:val="24"/>
              </w:rPr>
              <w:t>Plakans</w:t>
            </w:r>
            <w:proofErr w:type="spellEnd"/>
            <w:r w:rsidRPr="00E027AC">
              <w:rPr>
                <w:rFonts w:ascii="Garamond" w:hAnsi="Garamond" w:cs="Times New Roman"/>
                <w:sz w:val="24"/>
              </w:rPr>
              <w:t xml:space="preserve"> and Gebril (2017) </w:t>
            </w:r>
            <w:r w:rsidRPr="00E027AC">
              <w:rPr>
                <w:rFonts w:ascii="Garamond" w:hAnsi="Garamond"/>
                <w:i/>
                <w:iCs/>
                <w:sz w:val="24"/>
                <w:szCs w:val="24"/>
                <w:shd w:val="clear" w:color="auto" w:fill="FFFFFF"/>
              </w:rPr>
              <w:fldChar w:fldCharType="end"/>
            </w:r>
          </w:p>
        </w:tc>
        <w:tc>
          <w:tcPr>
            <w:tcW w:w="4675" w:type="dxa"/>
            <w:tcBorders>
              <w:top w:val="nil"/>
              <w:left w:val="nil"/>
              <w:right w:val="nil"/>
            </w:tcBorders>
            <w:vAlign w:val="center"/>
          </w:tcPr>
          <w:p w14:paraId="737DE500" w14:textId="77777777" w:rsidR="00E027AC" w:rsidRPr="00E027AC" w:rsidRDefault="00E027AC" w:rsidP="00924822">
            <w:pPr>
              <w:rPr>
                <w:rFonts w:ascii="Garamond" w:hAnsi="Garamond"/>
                <w:sz w:val="24"/>
                <w:szCs w:val="24"/>
                <w:shd w:val="clear" w:color="auto" w:fill="FFFFFF"/>
              </w:rPr>
            </w:pPr>
            <w:r w:rsidRPr="00E027AC">
              <w:rPr>
                <w:rFonts w:ascii="Garamond" w:eastAsia="Malgun Gothic" w:hAnsi="Garamond" w:cs="Times New Roman"/>
                <w:sz w:val="24"/>
                <w:szCs w:val="24"/>
              </w:rPr>
              <w:t>Integrated writing process analyzed through Spivey’s discourse synthesis</w:t>
            </w:r>
          </w:p>
        </w:tc>
      </w:tr>
    </w:tbl>
    <w:p w14:paraId="551C87A4" w14:textId="77777777" w:rsidR="00E027AC" w:rsidRPr="00E027AC" w:rsidRDefault="00E027AC" w:rsidP="00E027AC">
      <w:pPr>
        <w:spacing w:line="480" w:lineRule="auto"/>
        <w:rPr>
          <w:rFonts w:ascii="Garamond" w:eastAsia="Malgun Gothic" w:hAnsi="Garamond" w:cs="Times New Roman"/>
          <w:sz w:val="24"/>
          <w:szCs w:val="24"/>
        </w:rPr>
      </w:pPr>
    </w:p>
    <w:p w14:paraId="428C7BF0" w14:textId="77777777" w:rsidR="00E027AC" w:rsidRPr="006368A5" w:rsidRDefault="00E027AC" w:rsidP="00E027AC">
      <w:pPr>
        <w:pStyle w:val="L2JBody"/>
      </w:pPr>
      <w:r w:rsidRPr="006368A5">
        <w:t>I also</w:t>
      </w:r>
      <w:r w:rsidRPr="006368A5" w:rsidDel="00A97C60">
        <w:rPr>
          <w:rFonts w:hint="eastAsia"/>
        </w:rPr>
        <w:t xml:space="preserve"> </w:t>
      </w:r>
      <w:r w:rsidRPr="006368A5">
        <w:rPr>
          <w:rFonts w:hint="eastAsia"/>
        </w:rPr>
        <w:t xml:space="preserve">found that students and teachers often had </w:t>
      </w:r>
      <w:r w:rsidRPr="006368A5">
        <w:t>differing</w:t>
      </w:r>
      <w:r w:rsidRPr="006368A5">
        <w:rPr>
          <w:rFonts w:hint="eastAsia"/>
        </w:rPr>
        <w:t xml:space="preserve"> expectations of the task, </w:t>
      </w:r>
      <w:r w:rsidRPr="006368A5">
        <w:t>leading</w:t>
      </w:r>
      <w:r w:rsidRPr="006368A5">
        <w:rPr>
          <w:rFonts w:hint="eastAsia"/>
        </w:rPr>
        <w:t xml:space="preserve"> to conflict and tension </w:t>
      </w:r>
      <w:r w:rsidRPr="006368A5">
        <w:fldChar w:fldCharType="begin"/>
      </w:r>
      <w:r w:rsidRPr="006368A5">
        <w:instrText xml:space="preserve"> ADDIN ZOTERO_ITEM CSL_CITATION {"citationID":"PP5EkdFu","properties":{"formattedCitation":"(Fujioka, 2014)","plainCitation":"(Fujioka, 2014)","noteIndex":0},"citationItems":[{"id":101,"uris":["http://zotero.org/users/9207091/items/LDHAY5I8"],"itemData":{"id":101,"type":"article-journal","abstract":"This study aimed to explain the complexity involved in multiple agents’ learning in interaction in graduate disciplinary writing contexts. Adopting activity theory (Engestro¨m, 1999) as a guiding framework, I analyzed interactive experiences between an L2 English student writer and his professor regarding different writing assignments in a U.S. graduate course. Sources of qualitative data through one semester included interviews, a class observation, and written documents. The semilongitudinal nature of the study illuminated both participants’ changes in their writing and teaching practices over time.","container-title":"Journal of Second Language Writing","DOI":"10.1016/j.jslw.2014.05.004","ISSN":"10603743","journalAbbreviation":"Journal of Second Language Writing","language":"en","page":"40-58","source":"DOI.org (Crossref)","title":"L2 student–U.S. professor interactions through disciplinary writing assignments: An activity theory perspective","title-short":"L2 student–U.S. professor interactions through disciplinary writing assignments","volume":"25","author":[{"family":"Fujioka","given":"Mayumi"}],"issued":{"date-parts":[["2014",9]]}}}],"schema":"https://github.com/citation-style-language/schema/raw/master/csl-citation.json"} </w:instrText>
      </w:r>
      <w:r w:rsidRPr="006368A5">
        <w:fldChar w:fldCharType="separate"/>
      </w:r>
      <w:r w:rsidRPr="006368A5">
        <w:t>(Fujioka, 2014)</w:t>
      </w:r>
      <w:r w:rsidRPr="006368A5">
        <w:fldChar w:fldCharType="end"/>
      </w:r>
      <w:r w:rsidRPr="006368A5">
        <w:rPr>
          <w:rFonts w:hint="eastAsia"/>
        </w:rPr>
        <w:t xml:space="preserve">. </w:t>
      </w:r>
      <w:r w:rsidRPr="006368A5">
        <w:t>Thus</w:t>
      </w:r>
      <w:r w:rsidRPr="006368A5">
        <w:rPr>
          <w:rFonts w:hint="eastAsia"/>
        </w:rPr>
        <w:t xml:space="preserve">, future </w:t>
      </w:r>
      <w:r w:rsidRPr="006368A5">
        <w:t>researchers should</w:t>
      </w:r>
      <w:r w:rsidRPr="006368A5">
        <w:rPr>
          <w:rFonts w:hint="eastAsia"/>
        </w:rPr>
        <w:t xml:space="preserve"> examine teachers</w:t>
      </w:r>
      <w:r w:rsidRPr="006368A5">
        <w:t>’</w:t>
      </w:r>
      <w:r w:rsidRPr="006368A5">
        <w:rPr>
          <w:rFonts w:hint="eastAsia"/>
        </w:rPr>
        <w:t xml:space="preserve"> understanding, their in-class practices, and </w:t>
      </w:r>
      <w:r w:rsidRPr="006368A5">
        <w:t>their</w:t>
      </w:r>
      <w:r w:rsidRPr="006368A5">
        <w:rPr>
          <w:rFonts w:hint="eastAsia"/>
        </w:rPr>
        <w:t xml:space="preserve"> interaction with students.</w:t>
      </w:r>
    </w:p>
    <w:p w14:paraId="227B8C77" w14:textId="77777777" w:rsidR="00E027AC" w:rsidRPr="006368A5" w:rsidRDefault="00E027AC" w:rsidP="00E027AC">
      <w:pPr>
        <w:pStyle w:val="L2JBody"/>
      </w:pPr>
      <w:r w:rsidRPr="006368A5">
        <w:t>O</w:t>
      </w:r>
      <w:r w:rsidRPr="006368A5">
        <w:rPr>
          <w:rFonts w:hint="eastAsia"/>
        </w:rPr>
        <w:t>the</w:t>
      </w:r>
      <w:r w:rsidRPr="006368A5">
        <w:t>r</w:t>
      </w:r>
      <w:r w:rsidRPr="006368A5">
        <w:rPr>
          <w:rFonts w:hint="eastAsia"/>
        </w:rPr>
        <w:t xml:space="preserve"> scholars (n=12, 13%) examined composing processes. For example, </w:t>
      </w:r>
      <w:r w:rsidRPr="006368A5">
        <w:fldChar w:fldCharType="begin"/>
      </w:r>
      <w:r w:rsidRPr="006368A5">
        <w:instrText xml:space="preserve"> ADDIN ZOTERO_ITEM CSL_CITATION {"citationID":"pSNpgYno","properties":{"formattedCitation":"(Stapleton, 2010)","plainCitation":"(Stapleton, 2010)","dontUpdate":true,"noteIndex":0},"citationItems":[{"id":1604,"uris":["http://zotero.org/users/9207091/items/WE6APTYU"],"itemData":{"id":1604,"type":"article-journal","container-title":"Journal of English for Academic Purposes","issue":"4","note":"ISBN: 1475-1585\npublisher: Elsevier","page":"295-307","title":"Writing in an electronic age: A case study of L2 composing processes","volume":"9","author":[{"family":"Stapleton","given":"Paul"}],"issued":{"date-parts":[["2010"]]}}}],"schema":"https://github.com/citation-style-language/schema/raw/master/csl-citation.json"} </w:instrText>
      </w:r>
      <w:r w:rsidRPr="006368A5">
        <w:fldChar w:fldCharType="separate"/>
      </w:r>
      <w:r w:rsidRPr="006368A5">
        <w:t xml:space="preserve">Stapleton </w:t>
      </w:r>
      <w:r w:rsidRPr="006368A5">
        <w:rPr>
          <w:rFonts w:hint="eastAsia"/>
        </w:rPr>
        <w:t>(</w:t>
      </w:r>
      <w:r w:rsidRPr="006368A5">
        <w:t>2010)</w:t>
      </w:r>
      <w:r w:rsidRPr="006368A5">
        <w:fldChar w:fldCharType="end"/>
      </w:r>
      <w:r w:rsidRPr="006368A5">
        <w:rPr>
          <w:rFonts w:hint="eastAsia"/>
        </w:rPr>
        <w:t xml:space="preserve"> investigated </w:t>
      </w:r>
      <w:r w:rsidRPr="006368A5">
        <w:t>those of a master’s</w:t>
      </w:r>
      <w:r w:rsidRPr="006368A5">
        <w:rPr>
          <w:rFonts w:hint="eastAsia"/>
        </w:rPr>
        <w:t xml:space="preserve"> student</w:t>
      </w:r>
      <w:r w:rsidRPr="006368A5">
        <w:t xml:space="preserve"> </w:t>
      </w:r>
      <w:r w:rsidRPr="006368A5">
        <w:rPr>
          <w:rFonts w:hint="eastAsia"/>
        </w:rPr>
        <w:t xml:space="preserve">at a Hong Kong </w:t>
      </w:r>
      <w:r w:rsidRPr="006368A5">
        <w:t>university</w:t>
      </w:r>
      <w:r w:rsidRPr="006368A5">
        <w:rPr>
          <w:rFonts w:hint="eastAsia"/>
        </w:rPr>
        <w:t xml:space="preserve"> and </w:t>
      </w:r>
      <w:r w:rsidRPr="006368A5">
        <w:t xml:space="preserve">found that she spent 24% of her </w:t>
      </w:r>
      <w:r w:rsidRPr="006368A5">
        <w:rPr>
          <w:rFonts w:hint="eastAsia"/>
        </w:rPr>
        <w:t xml:space="preserve">time researching </w:t>
      </w:r>
      <w:r w:rsidRPr="006368A5">
        <w:t>and 18% planning prior to the writing process, which itself consumed 33% of her time.</w:t>
      </w:r>
      <w:r w:rsidRPr="006368A5">
        <w:rPr>
          <w:rFonts w:hint="eastAsia"/>
        </w:rPr>
        <w:t xml:space="preserve"> This finding was particularly valuable </w:t>
      </w:r>
      <w:r w:rsidRPr="006368A5">
        <w:t>because</w:t>
      </w:r>
      <w:r w:rsidRPr="006368A5">
        <w:rPr>
          <w:rFonts w:hint="eastAsia"/>
        </w:rPr>
        <w:t xml:space="preserve"> few </w:t>
      </w:r>
      <w:r w:rsidRPr="006368A5">
        <w:t>researchers</w:t>
      </w:r>
      <w:r w:rsidRPr="006368A5">
        <w:rPr>
          <w:rFonts w:hint="eastAsia"/>
        </w:rPr>
        <w:t xml:space="preserve"> at the time examined writing processes with an authentic writing task, relevant to the student</w:t>
      </w:r>
      <w:r w:rsidRPr="006368A5">
        <w:t>’</w:t>
      </w:r>
      <w:r w:rsidRPr="006368A5">
        <w:rPr>
          <w:rFonts w:hint="eastAsia"/>
        </w:rPr>
        <w:t xml:space="preserve">s major. Therefore, </w:t>
      </w:r>
      <w:r w:rsidRPr="006368A5">
        <w:t>Stapleton’s (2010)</w:t>
      </w:r>
      <w:r w:rsidRPr="006368A5">
        <w:rPr>
          <w:rFonts w:hint="eastAsia"/>
        </w:rPr>
        <w:t xml:space="preserve"> detailed reports of an L2 student</w:t>
      </w:r>
      <w:r w:rsidRPr="006368A5">
        <w:t>’</w:t>
      </w:r>
      <w:r w:rsidRPr="006368A5">
        <w:rPr>
          <w:rFonts w:hint="eastAsia"/>
        </w:rPr>
        <w:t xml:space="preserve">s trajectory advanced understanding </w:t>
      </w:r>
      <w:r w:rsidRPr="006368A5">
        <w:t xml:space="preserve">in the field </w:t>
      </w:r>
      <w:r w:rsidRPr="006368A5">
        <w:rPr>
          <w:rFonts w:hint="eastAsia"/>
        </w:rPr>
        <w:t>of L2 students</w:t>
      </w:r>
      <w:r w:rsidRPr="006368A5">
        <w:t>’</w:t>
      </w:r>
      <w:r w:rsidRPr="006368A5">
        <w:rPr>
          <w:rFonts w:hint="eastAsia"/>
        </w:rPr>
        <w:t xml:space="preserve"> composing process in naturalistic environments (i.e., not testing </w:t>
      </w:r>
      <w:r w:rsidRPr="006368A5">
        <w:t>environment</w:t>
      </w:r>
      <w:r w:rsidRPr="006368A5">
        <w:rPr>
          <w:rFonts w:hint="eastAsia"/>
        </w:rPr>
        <w:t>s).</w:t>
      </w:r>
    </w:p>
    <w:p w14:paraId="78C888BE" w14:textId="77777777" w:rsidR="00E027AC" w:rsidRDefault="00E027AC" w:rsidP="00E027AC">
      <w:pPr>
        <w:pStyle w:val="L2JBody"/>
        <w:rPr>
          <w:shd w:val="clear" w:color="auto" w:fill="FFFFFF"/>
        </w:rPr>
      </w:pPr>
      <w:r w:rsidRPr="006368A5">
        <w:rPr>
          <w:rFonts w:hint="eastAsia"/>
        </w:rPr>
        <w:t xml:space="preserve">Some scholars (n=2, 2%) examined </w:t>
      </w:r>
      <w:r w:rsidRPr="006368A5">
        <w:t xml:space="preserve">the </w:t>
      </w:r>
      <w:r w:rsidRPr="006368A5">
        <w:rPr>
          <w:rFonts w:hint="eastAsia"/>
        </w:rPr>
        <w:t>composing process specifically through the lens of Spivey</w:t>
      </w:r>
      <w:r w:rsidRPr="006368A5">
        <w:t>’</w:t>
      </w:r>
      <w:r w:rsidRPr="006368A5">
        <w:rPr>
          <w:rFonts w:hint="eastAsia"/>
        </w:rPr>
        <w:t xml:space="preserve">s discourse synthesis. </w:t>
      </w:r>
      <w:r w:rsidRPr="006368A5">
        <w:rPr>
          <w:i/>
          <w:iCs/>
          <w:shd w:val="clear" w:color="auto" w:fill="FFFFFF"/>
        </w:rPr>
        <w:fldChar w:fldCharType="begin"/>
      </w:r>
      <w:r w:rsidRPr="006368A5">
        <w:rPr>
          <w:i/>
          <w:iCs/>
          <w:shd w:val="clear" w:color="auto" w:fill="FFFFFF"/>
        </w:rPr>
        <w:instrText xml:space="preserve"> ADDIN ZOTERO_ITEM CSL_CITATION {"citationID":"yuhhTACs","properties":{"formattedCitation":"(Plakans, 2009)","plainCitation":"(Plakans, 2009)","dontUpdate":true,"noteIndex":0},"citationItems":[{"id":850,"uris":["http://zotero.org/users/9207091/items/9GX7Y9Z2"],"itemData":{"id":850,"type":"article-journal","abstract":"As integrated tasks become more common in assessing writing for academic purposes, it is necessary to investigate how test takers approach these tasks. The present study explores the processes of test takers undertaking reading-to-write tasks developed for a university English placement exam. Think-aloud protocols and interviews of university-level non-native writers of English were collected to capture the writers’ composing processes. These data were analysed to determine if the tasks elicited an academic writing process of discourse synthesis and to identify what language issues were present. The results revealed some writers use discourse synthesis subprocesses in composing responses to the reading-to-write tasks, with apparent differences across writers. Language difficulties that emerged for writers were vocabulary knowledge and use, as well as stylistic concerns. The implications of the study suggest that reading-to-write tasks may elicit a discourse synthesis process that could be used for validity evidence in some contexts and lead to more appropriate placement into academic writing courses.","container-title":"Language Testing","DOI":"10.1177/0265532209340192","ISSN":"0265-5322, 1477-0946","issue":"4","journalAbbreviation":"Language Testing","language":"en","page":"561-587","source":"DOI.org (Crossref)","title":"Discourse synthesis in integrated second language writing assessment","volume":"26","author":[{"family":"Plakans","given":"Lia"}],"issued":{"date-parts":[["2009",10]]}}}],"schema":"https://github.com/citation-style-language/schema/raw/master/csl-citation.json"} </w:instrText>
      </w:r>
      <w:r w:rsidRPr="006368A5">
        <w:rPr>
          <w:i/>
          <w:iCs/>
          <w:shd w:val="clear" w:color="auto" w:fill="FFFFFF"/>
        </w:rPr>
        <w:fldChar w:fldCharType="separate"/>
      </w:r>
      <w:proofErr w:type="spellStart"/>
      <w:r w:rsidRPr="006368A5">
        <w:t>Plakans</w:t>
      </w:r>
      <w:proofErr w:type="spellEnd"/>
      <w:r w:rsidRPr="006368A5">
        <w:t xml:space="preserve">’ </w:t>
      </w:r>
      <w:r w:rsidRPr="006368A5">
        <w:rPr>
          <w:rFonts w:hint="eastAsia"/>
        </w:rPr>
        <w:t>(</w:t>
      </w:r>
      <w:r w:rsidRPr="006368A5">
        <w:t>2009a)</w:t>
      </w:r>
      <w:r w:rsidRPr="006368A5">
        <w:rPr>
          <w:i/>
          <w:iCs/>
          <w:shd w:val="clear" w:color="auto" w:fill="FFFFFF"/>
        </w:rPr>
        <w:fldChar w:fldCharType="end"/>
      </w:r>
      <w:r w:rsidRPr="006368A5">
        <w:rPr>
          <w:i/>
          <w:iCs/>
          <w:shd w:val="clear" w:color="auto" w:fill="FFFFFF"/>
        </w:rPr>
        <w:t xml:space="preserve"> </w:t>
      </w:r>
      <w:r w:rsidRPr="006368A5">
        <w:rPr>
          <w:rFonts w:hint="eastAsia"/>
          <w:shd w:val="clear" w:color="auto" w:fill="FFFFFF"/>
        </w:rPr>
        <w:t>investigation of ESL students</w:t>
      </w:r>
      <w:r w:rsidRPr="006368A5">
        <w:rPr>
          <w:shd w:val="clear" w:color="auto" w:fill="FFFFFF"/>
        </w:rPr>
        <w:t>’</w:t>
      </w:r>
      <w:r w:rsidRPr="006368A5">
        <w:rPr>
          <w:rFonts w:hint="eastAsia"/>
          <w:shd w:val="clear" w:color="auto" w:fill="FFFFFF"/>
        </w:rPr>
        <w:t xml:space="preserve"> argumentative writing processes showed that </w:t>
      </w:r>
      <w:r w:rsidRPr="006368A5">
        <w:rPr>
          <w:shd w:val="clear" w:color="auto" w:fill="FFFFFF"/>
        </w:rPr>
        <w:t>those</w:t>
      </w:r>
      <w:r w:rsidRPr="006368A5">
        <w:rPr>
          <w:rFonts w:hint="eastAsia"/>
          <w:shd w:val="clear" w:color="auto" w:fill="FFFFFF"/>
        </w:rPr>
        <w:t xml:space="preserve"> with higher TOEFL scores engaged in more episodes of </w:t>
      </w:r>
      <w:r w:rsidRPr="006368A5">
        <w:rPr>
          <w:shd w:val="clear" w:color="auto" w:fill="FFFFFF"/>
        </w:rPr>
        <w:t>discourse</w:t>
      </w:r>
      <w:r w:rsidRPr="006368A5">
        <w:rPr>
          <w:rFonts w:hint="eastAsia"/>
          <w:shd w:val="clear" w:color="auto" w:fill="FFFFFF"/>
        </w:rPr>
        <w:t xml:space="preserve"> </w:t>
      </w:r>
      <w:r w:rsidRPr="006368A5">
        <w:rPr>
          <w:shd w:val="clear" w:color="auto" w:fill="FFFFFF"/>
        </w:rPr>
        <w:t>synthesis</w:t>
      </w:r>
      <w:r w:rsidRPr="006368A5">
        <w:rPr>
          <w:rFonts w:hint="eastAsia"/>
          <w:shd w:val="clear" w:color="auto" w:fill="FFFFFF"/>
        </w:rPr>
        <w:t xml:space="preserve"> (i.e., organizing, selecting, and connecting)</w:t>
      </w:r>
      <w:r w:rsidRPr="006368A5">
        <w:rPr>
          <w:shd w:val="clear" w:color="auto" w:fill="FFFFFF"/>
        </w:rPr>
        <w:t xml:space="preserve"> than lower scorers</w:t>
      </w:r>
      <w:r w:rsidRPr="006368A5">
        <w:rPr>
          <w:rFonts w:hint="eastAsia"/>
          <w:shd w:val="clear" w:color="auto" w:fill="FFFFFF"/>
        </w:rPr>
        <w:t>. This was also supported by her later study (</w:t>
      </w:r>
      <w:proofErr w:type="spellStart"/>
      <w:r w:rsidRPr="006368A5">
        <w:rPr>
          <w:shd w:val="clear" w:color="auto" w:fill="FFFFFF"/>
        </w:rPr>
        <w:fldChar w:fldCharType="begin"/>
      </w:r>
      <w:r w:rsidRPr="006368A5">
        <w:rPr>
          <w:shd w:val="clear" w:color="auto" w:fill="FFFFFF"/>
        </w:rPr>
        <w:instrText xml:space="preserve"> ADDIN ZOTERO_ITEM CSL_CITATION {"citationID":"LHzZPbvl","properties":{"formattedCitation":"(Plakans &amp; Gebril, 2017)","plainCitation":"(Plakans &amp; Gebril, 2017)","dontUpdate":true,"noteIndex":0},"citationItems":[{"id":308,"uris":["http://zotero.org/users/9207091/items/L3MNHIYT"],"itemData":{"id":308,"type":"article-journal","container-title":"Assessing Writing","journalAbbreviation":"Assessing Writing","page":"98–112","title":"Exploring the relationship of organization and connection with scores in integrated writing assessment.","volume":"31","author":[{"family":"Plakans","given":"L."},{"family":"Gebril","given":"A."}],"issued":{"date-parts":[["2017"]]}}}],"schema":"https://github.com/citation-style-language/schema/raw/master/csl-citation.json"} </w:instrText>
      </w:r>
      <w:r w:rsidRPr="006368A5">
        <w:rPr>
          <w:shd w:val="clear" w:color="auto" w:fill="FFFFFF"/>
        </w:rPr>
        <w:fldChar w:fldCharType="separate"/>
      </w:r>
      <w:r w:rsidRPr="006368A5">
        <w:t>Plakans</w:t>
      </w:r>
      <w:proofErr w:type="spellEnd"/>
      <w:r w:rsidRPr="006368A5">
        <w:t xml:space="preserve"> </w:t>
      </w:r>
      <w:r w:rsidRPr="006368A5">
        <w:rPr>
          <w:rFonts w:hint="eastAsia"/>
        </w:rPr>
        <w:t>&amp;</w:t>
      </w:r>
      <w:r w:rsidRPr="006368A5">
        <w:t xml:space="preserve"> Gebril</w:t>
      </w:r>
      <w:r w:rsidRPr="006368A5">
        <w:rPr>
          <w:rFonts w:hint="eastAsia"/>
        </w:rPr>
        <w:t>,</w:t>
      </w:r>
      <w:r w:rsidRPr="006368A5">
        <w:t xml:space="preserve"> 2017)</w:t>
      </w:r>
      <w:r w:rsidRPr="006368A5">
        <w:rPr>
          <w:shd w:val="clear" w:color="auto" w:fill="FFFFFF"/>
        </w:rPr>
        <w:fldChar w:fldCharType="end"/>
      </w:r>
      <w:r w:rsidRPr="006368A5">
        <w:rPr>
          <w:rFonts w:hint="eastAsia"/>
          <w:shd w:val="clear" w:color="auto" w:fill="FFFFFF"/>
        </w:rPr>
        <w:t>, which</w:t>
      </w:r>
      <w:r w:rsidRPr="006368A5">
        <w:rPr>
          <w:shd w:val="clear" w:color="auto" w:fill="FFFFFF"/>
        </w:rPr>
        <w:t xml:space="preserve"> showed</w:t>
      </w:r>
      <w:r w:rsidRPr="006368A5">
        <w:rPr>
          <w:rFonts w:hint="eastAsia"/>
          <w:shd w:val="clear" w:color="auto" w:fill="FFFFFF"/>
        </w:rPr>
        <w:t xml:space="preserve"> that organizing and connecting were components essential to the success of integrated writing. These studies pointed to the need for teachers to provide </w:t>
      </w:r>
      <w:r w:rsidRPr="006368A5">
        <w:rPr>
          <w:shd w:val="clear" w:color="auto" w:fill="FFFFFF"/>
        </w:rPr>
        <w:t>additional and</w:t>
      </w:r>
      <w:r w:rsidRPr="006368A5">
        <w:rPr>
          <w:rFonts w:hint="eastAsia"/>
          <w:shd w:val="clear" w:color="auto" w:fill="FFFFFF"/>
        </w:rPr>
        <w:t xml:space="preserve"> explicit instruction </w:t>
      </w:r>
      <w:r w:rsidRPr="006368A5">
        <w:rPr>
          <w:shd w:val="clear" w:color="auto" w:fill="FFFFFF"/>
        </w:rPr>
        <w:t>to</w:t>
      </w:r>
      <w:r w:rsidRPr="006368A5">
        <w:rPr>
          <w:rFonts w:hint="eastAsia"/>
          <w:shd w:val="clear" w:color="auto" w:fill="FFFFFF"/>
        </w:rPr>
        <w:t xml:space="preserve"> help students improve their discourse synthesis skills </w:t>
      </w:r>
      <w:r w:rsidRPr="006368A5">
        <w:rPr>
          <w:shd w:val="clear" w:color="auto" w:fill="FFFFFF"/>
        </w:rPr>
        <w:t>for</w:t>
      </w:r>
      <w:r w:rsidRPr="006368A5">
        <w:rPr>
          <w:rFonts w:hint="eastAsia"/>
          <w:shd w:val="clear" w:color="auto" w:fill="FFFFFF"/>
        </w:rPr>
        <w:t xml:space="preserve"> succes</w:t>
      </w:r>
      <w:r w:rsidRPr="006368A5">
        <w:rPr>
          <w:shd w:val="clear" w:color="auto" w:fill="FFFFFF"/>
        </w:rPr>
        <w:t>s</w:t>
      </w:r>
      <w:r w:rsidRPr="006368A5">
        <w:rPr>
          <w:rFonts w:hint="eastAsia"/>
          <w:shd w:val="clear" w:color="auto" w:fill="FFFFFF"/>
        </w:rPr>
        <w:t xml:space="preserve"> in source-based writing. </w:t>
      </w:r>
      <w:r w:rsidRPr="006368A5">
        <w:rPr>
          <w:shd w:val="clear" w:color="auto" w:fill="FFFFFF"/>
        </w:rPr>
        <w:t>Thus</w:t>
      </w:r>
      <w:r w:rsidRPr="006368A5">
        <w:rPr>
          <w:rFonts w:hint="eastAsia"/>
          <w:shd w:val="clear" w:color="auto" w:fill="FFFFFF"/>
        </w:rPr>
        <w:t xml:space="preserve">, more detail on the effect of </w:t>
      </w:r>
      <w:r w:rsidRPr="006368A5">
        <w:rPr>
          <w:shd w:val="clear" w:color="auto" w:fill="FFFFFF"/>
        </w:rPr>
        <w:t>scaffolding</w:t>
      </w:r>
      <w:r w:rsidRPr="006368A5">
        <w:rPr>
          <w:rFonts w:hint="eastAsia"/>
          <w:shd w:val="clear" w:color="auto" w:fill="FFFFFF"/>
        </w:rPr>
        <w:t xml:space="preserve"> instruction and supervisory feedback follow</w:t>
      </w:r>
      <w:r w:rsidRPr="006368A5">
        <w:rPr>
          <w:shd w:val="clear" w:color="auto" w:fill="FFFFFF"/>
        </w:rPr>
        <w:t>s</w:t>
      </w:r>
      <w:r w:rsidRPr="006368A5">
        <w:rPr>
          <w:rFonts w:hint="eastAsia"/>
          <w:shd w:val="clear" w:color="auto" w:fill="FFFFFF"/>
        </w:rPr>
        <w:t xml:space="preserve"> in the next section.</w:t>
      </w:r>
    </w:p>
    <w:p w14:paraId="43F45630" w14:textId="77777777" w:rsidR="00E027AC" w:rsidRPr="006368A5" w:rsidRDefault="00E027AC" w:rsidP="00E027AC">
      <w:pPr>
        <w:pStyle w:val="L2JBody"/>
        <w:rPr>
          <w:shd w:val="clear" w:color="auto" w:fill="FFFFFF"/>
        </w:rPr>
      </w:pPr>
    </w:p>
    <w:p w14:paraId="4032E738" w14:textId="77777777" w:rsidR="00E027AC" w:rsidRPr="006368A5" w:rsidRDefault="00E027AC" w:rsidP="00E027AC">
      <w:pPr>
        <w:pStyle w:val="L2JH3"/>
        <w:rPr>
          <w:shd w:val="clear" w:color="auto" w:fill="FFFFFF"/>
        </w:rPr>
      </w:pPr>
      <w:r w:rsidRPr="006368A5">
        <w:rPr>
          <w:shd w:val="clear" w:color="auto" w:fill="FFFFFF"/>
        </w:rPr>
        <w:t>Instruction and Supervisory Feedback</w:t>
      </w:r>
    </w:p>
    <w:p w14:paraId="49DE2D85" w14:textId="77777777" w:rsidR="00E027AC" w:rsidRDefault="00E027AC" w:rsidP="00E027AC">
      <w:pPr>
        <w:pStyle w:val="L2JBody"/>
        <w:ind w:firstLine="0"/>
      </w:pPr>
    </w:p>
    <w:p w14:paraId="7BDD3578" w14:textId="7D62943F" w:rsidR="00E027AC" w:rsidRDefault="00E027AC" w:rsidP="00E027AC">
      <w:pPr>
        <w:pStyle w:val="L2JBody"/>
        <w:ind w:firstLine="0"/>
      </w:pPr>
      <w:r w:rsidRPr="006368A5">
        <w:rPr>
          <w:rFonts w:hint="eastAsia"/>
        </w:rPr>
        <w:t xml:space="preserve">Compared to many L1 studies investigating the effects of synthesis writing instruction </w:t>
      </w:r>
      <w:r w:rsidRPr="006368A5">
        <w:fldChar w:fldCharType="begin"/>
      </w:r>
      <w:r w:rsidRPr="006368A5">
        <w:instrText xml:space="preserve"> ADDIN ZOTERO_ITEM CSL_CITATION {"citationID":"dIfzz6Mm","properties":{"formattedCitation":"(Alkema et al., 2023; Luo &amp; Kiewra, 2019)","plainCitation":"(Alkema et al., 2023; Luo &amp; Kiewra, 2019)","noteIndex":0},"citationItems":[{"id":2739,"uris":["http://zotero.org/users/9207091/items/6ZWCJSL2"],"itemData":{"id":2739,"type":"article-journal","container-title":"Journal of Writing Research","issue":"1","note":"ISBN: 2294-3307","page":"133-165","title":"Synthesis writing in science orientation classes: An instructional design study","volume":"15","author":[{"family":"Alkema","given":"Edith"},{"family":"Van Weijen","given":"Daphne"},{"family":"Rijlaarsdam","given":"Gert"}],"issued":{"date-parts":[["2023"]]}}},{"id":3065,"uris":["http://zotero.org/users/9207091/items/JU4GZKK8"],"itemData":{"id":3065,"type":"article-journal","abstract":"Synthesis writing is a common college requirement. It is a reading-to-write task that involves selecting, organizing, and connecting information from more than one source to construct a new text. College students struggle with synthesis writing because they fail to organize and connect ideas. The present study investigated the synthesis writing benefits of a strategy system called SOAR that helps students select, organize, associate, and regulate information. Experiment 1 investigated the efficacy of SOAR-provided instructional materials. College students studied four texts with or without SOAR supplements in preparation for writing a synthesis essay. SOAR-aided students produced more complete essays (selecting), better categorically organized essays (organizing), and essays containing more intertextual connections (connecting) than nonSOAR-aided students. Experiment 2 investigated the trainability of SOAR and the effect of studentgenerated SOAR materials on synthesis writing. College students first completed a baseline synthesis writing task. Next, they either received SOAR training or did not receive SOAR training, instead practicing their preferred strategies. Finally, they performed another synthesis writing task. SOAR-trained students produced more complete and better organized essays than non-SOARtrained students. Underlying cognitive mechanisms, study limitations, future research directions, and practical implications were discussed.","container-title":"Journal of Writing Research","DOI":"10.17239/jowr-2019.11.01.06","ISSN":"2030-1006, 2294-3307","issue":"1","journalAbbreviation":"Journal of Writing Research","language":"en","page":"163-209","source":"DOI.org (Crossref)","title":"Soaring to successful synthesis writing","volume":"11","author":[{"family":"Luo","given":"Linlin"},{"family":"Kiewra","given":"Kenneth"}],"issued":{"date-parts":[["2019",6]]}}}],"schema":"https://github.com/citation-style-language/schema/raw/master/csl-citation.json"} </w:instrText>
      </w:r>
      <w:r w:rsidRPr="006368A5">
        <w:fldChar w:fldCharType="separate"/>
      </w:r>
      <w:r w:rsidRPr="006368A5">
        <w:t>(Alkema et al., 2023; Luo &amp; Kiewra, 2019)</w:t>
      </w:r>
      <w:r w:rsidRPr="006368A5">
        <w:fldChar w:fldCharType="end"/>
      </w:r>
      <w:r w:rsidRPr="006368A5">
        <w:rPr>
          <w:rFonts w:hint="eastAsia"/>
        </w:rPr>
        <w:t>, fewer</w:t>
      </w:r>
      <w:r w:rsidRPr="006368A5">
        <w:t xml:space="preserve"> </w:t>
      </w:r>
      <w:r w:rsidRPr="006368A5">
        <w:rPr>
          <w:rFonts w:hint="eastAsia"/>
        </w:rPr>
        <w:t xml:space="preserve">L2 </w:t>
      </w:r>
      <w:r w:rsidRPr="006368A5">
        <w:t>intervention</w:t>
      </w:r>
      <w:r w:rsidRPr="006368A5">
        <w:rPr>
          <w:rFonts w:hint="eastAsia"/>
        </w:rPr>
        <w:t xml:space="preserve"> </w:t>
      </w:r>
      <w:r w:rsidRPr="006368A5">
        <w:t>studies</w:t>
      </w:r>
      <w:r w:rsidRPr="006368A5">
        <w:rPr>
          <w:rFonts w:hint="eastAsia"/>
        </w:rPr>
        <w:t xml:space="preserve"> </w:t>
      </w:r>
      <w:r w:rsidRPr="006368A5">
        <w:t xml:space="preserve">have </w:t>
      </w:r>
      <w:r w:rsidRPr="006368A5">
        <w:rPr>
          <w:rFonts w:hint="eastAsia"/>
        </w:rPr>
        <w:t xml:space="preserve">been </w:t>
      </w:r>
      <w:r w:rsidRPr="006368A5">
        <w:t>conducted</w:t>
      </w:r>
      <w:r w:rsidRPr="006368A5">
        <w:rPr>
          <w:rFonts w:hint="eastAsia"/>
        </w:rPr>
        <w:t xml:space="preserve"> </w:t>
      </w:r>
      <w:r w:rsidRPr="006368A5">
        <w:fldChar w:fldCharType="begin"/>
      </w:r>
      <w:r w:rsidRPr="006368A5">
        <w:instrText xml:space="preserve"> ADDIN ZOTERO_ITEM CSL_CITATION {"citationID":"PFVN7tum","properties":{"formattedCitation":"(Doolan &amp; Fitzsimmons-Doolan, 2024)","plainCitation":"(Doolan &amp; Fitzsimmons-Doolan, 2024)","noteIndex":0},"citationItems":[{"id":3423,"uris":["http://zotero.org/users/9207091/items/88HAG9PH"],"itemData":{"id":3423,"type":"chapter","container-title":"Teaching and learning source-based writing","edition":"1","page":"124–139","publisher":"Routledge","source":"Google Scholar","title":"Scaffolding instruction for post-secondary L2 synthesis writing","URL":"https://www.taylorfrancis.com/chapters/edit/10.4324/9781003283485-11/scaffolding-instruction-post-secondary-l2-synthesis-writing-stephen-doolan-shannon-fitzsimmons-doolan","author":[{"family":"Doolan","given":"Stephen M."},{"family":"Fitzsimmons-Doolan","given":"Shannon"}],"editor":[{"family":"Wette","given":"Rosemary"}],"accessed":{"date-parts":[["2024",11,6]]},"issued":{"date-parts":[["2024"]]}}}],"schema":"https://github.com/citation-style-language/schema/raw/master/csl-citation.json"} </w:instrText>
      </w:r>
      <w:r w:rsidRPr="006368A5">
        <w:fldChar w:fldCharType="separate"/>
      </w:r>
      <w:r w:rsidRPr="006368A5">
        <w:t>(Doolan &amp; Fitzsimmons-Doolan, 2024)</w:t>
      </w:r>
      <w:r w:rsidRPr="006368A5">
        <w:fldChar w:fldCharType="end"/>
      </w:r>
      <w:r w:rsidRPr="006368A5">
        <w:rPr>
          <w:rFonts w:hint="eastAsia"/>
        </w:rPr>
        <w:t xml:space="preserve">. </w:t>
      </w:r>
      <w:r w:rsidRPr="006368A5">
        <w:t>I</w:t>
      </w:r>
      <w:r w:rsidRPr="006368A5">
        <w:rPr>
          <w:rFonts w:hint="eastAsia"/>
        </w:rPr>
        <w:t xml:space="preserve"> discovered that most L2 intervention </w:t>
      </w:r>
      <w:r w:rsidRPr="006368A5">
        <w:t>researchers</w:t>
      </w:r>
      <w:r w:rsidRPr="006368A5">
        <w:rPr>
          <w:rFonts w:hint="eastAsia"/>
        </w:rPr>
        <w:t xml:space="preserve"> (see Table 8) reported positive instructional effects </w:t>
      </w:r>
      <w:r w:rsidRPr="006368A5">
        <w:t>on</w:t>
      </w:r>
      <w:r w:rsidRPr="006368A5">
        <w:rPr>
          <w:rFonts w:hint="eastAsia"/>
        </w:rPr>
        <w:t xml:space="preserve"> posttests after treatment, </w:t>
      </w:r>
      <w:r w:rsidRPr="006368A5">
        <w:t xml:space="preserve">which is </w:t>
      </w:r>
      <w:r w:rsidRPr="006368A5">
        <w:rPr>
          <w:rFonts w:hint="eastAsia"/>
        </w:rPr>
        <w:t xml:space="preserve">consistent with </w:t>
      </w:r>
      <w:r w:rsidRPr="006368A5">
        <w:t xml:space="preserve">review findings by </w:t>
      </w:r>
      <w:r w:rsidRPr="006368A5">
        <w:fldChar w:fldCharType="begin"/>
      </w:r>
      <w:r w:rsidRPr="006368A5">
        <w:instrText xml:space="preserve"> ADDIN ZOTERO_ITEM CSL_CITATION {"citationID":"uqqC82mR","properties":{"formattedCitation":"(Cumming et al., 2016)","plainCitation":"(Cumming et al., 2016)","dontUpdate":true,"noteIndex":0},"citationItems":[{"id":637,"uris":["http://zotero.org/users/9207091/items/8XAPDCME"],"itemData":{"id":637,"type":"article-journal","abstract":"Educators have long recognized that a major challenge for students learning to write for academic purposes is developing the ability to integrate source material effectively and appropriately into written compositions. To identify and evaluate the current state of empirical evidence, we conducted a systematic synthesis of the published research that has investigated writing from sources systematically from a variety of analytic perspectives, in ﬁrst and second languages, and in diverse contexts internationally including students in universities, colleges, and secondary schools. Five general claims emerged across our analyses of 69 empirical studies published in refereed journals or books in English from 1993 to 2013. Each claim has ﬁrm empirical support but each also warrants further research and reﬁnement: (1) students experience difﬁculties with, but develop certain strategies to deal with, the complex processes of writing from sources; (2) prior knowledge and experience inﬂuence students' performance in writing from sources; (3) differences may appear between L1 and L2 students in their understanding and uses of sources in writing; (4) performance in tasks that involve writing from sources varies by task conditions and types of texts written and read; and (5) instruction can help students improve their uses of sources in their writing.","container-title":"Journal of English for Academic Purposes","DOI":"10.1016/j.jeap.2016.06.002","ISSN":"14751585","journalAbbreviation":"Journal of English for Academic Purposes","language":"en","page":"47-58","source":"DOI.org (Crossref)","title":"Students' writing from sources for academic purposes: A synthesis of recent research","title-short":"Students' writing from sources for academic purposes","volume":"23","author":[{"family":"Cumming","given":"Alister"},{"family":"Lai","given":"Conttia"},{"family":"Cho","given":"Hyeyoon"}],"issued":{"date-parts":[["2016",9]]}}}],"schema":"https://github.com/citation-style-language/schema/raw/master/csl-citation.json"} </w:instrText>
      </w:r>
      <w:r w:rsidRPr="006368A5">
        <w:fldChar w:fldCharType="separate"/>
      </w:r>
      <w:r w:rsidRPr="006368A5">
        <w:t xml:space="preserve">Cumming et al. </w:t>
      </w:r>
      <w:r w:rsidRPr="006368A5">
        <w:rPr>
          <w:rFonts w:hint="eastAsia"/>
        </w:rPr>
        <w:t>(</w:t>
      </w:r>
      <w:r w:rsidRPr="006368A5">
        <w:t>2016)</w:t>
      </w:r>
      <w:r w:rsidRPr="006368A5">
        <w:fldChar w:fldCharType="end"/>
      </w:r>
      <w:r w:rsidRPr="006368A5">
        <w:rPr>
          <w:rFonts w:hint="eastAsia"/>
        </w:rPr>
        <w:t>.</w:t>
      </w:r>
    </w:p>
    <w:p w14:paraId="6FDF6FF9" w14:textId="77777777" w:rsidR="00E027AC" w:rsidRDefault="00E027AC" w:rsidP="00E027AC">
      <w:pPr>
        <w:pStyle w:val="L2JBody"/>
        <w:ind w:firstLine="0"/>
      </w:pPr>
    </w:p>
    <w:p w14:paraId="0F04EF49" w14:textId="77777777" w:rsidR="00E027AC" w:rsidRPr="006368A5" w:rsidRDefault="00E027AC" w:rsidP="00E027AC">
      <w:pPr>
        <w:pStyle w:val="L2JBody"/>
        <w:ind w:firstLine="0"/>
        <w:rPr>
          <w:shd w:val="clear" w:color="auto" w:fill="FFFFFF"/>
        </w:rPr>
      </w:pPr>
    </w:p>
    <w:p w14:paraId="70592C89" w14:textId="77777777" w:rsidR="00E027AC" w:rsidRDefault="00E027AC" w:rsidP="00E027AC">
      <w:pPr>
        <w:pStyle w:val="L2JFigureCallOut"/>
      </w:pPr>
      <w:r w:rsidRPr="00E027AC">
        <w:lastRenderedPageBreak/>
        <w:t>Table 8</w:t>
      </w:r>
    </w:p>
    <w:p w14:paraId="05FBC017" w14:textId="77777777" w:rsidR="00E027AC" w:rsidRPr="00E027AC" w:rsidRDefault="00E027AC" w:rsidP="00E027AC">
      <w:pPr>
        <w:pStyle w:val="L2JFigureCallOut"/>
      </w:pPr>
    </w:p>
    <w:p w14:paraId="280E6BD9" w14:textId="77777777" w:rsidR="00E027AC" w:rsidRDefault="00E027AC" w:rsidP="00E027AC">
      <w:pPr>
        <w:pStyle w:val="L2JFigureTitle"/>
        <w:rPr>
          <w:shd w:val="clear" w:color="auto" w:fill="FFFFFF"/>
        </w:rPr>
      </w:pPr>
      <w:r w:rsidRPr="006368A5">
        <w:rPr>
          <w:shd w:val="clear" w:color="auto" w:fill="FFFFFF"/>
        </w:rPr>
        <w:t xml:space="preserve">Example </w:t>
      </w:r>
      <w:r w:rsidRPr="006368A5">
        <w:rPr>
          <w:rFonts w:hint="eastAsia"/>
          <w:shd w:val="clear" w:color="auto" w:fill="FFFFFF"/>
        </w:rPr>
        <w:t>S</w:t>
      </w:r>
      <w:r w:rsidRPr="006368A5">
        <w:rPr>
          <w:shd w:val="clear" w:color="auto" w:fill="FFFFFF"/>
        </w:rPr>
        <w:t xml:space="preserve">tudies on </w:t>
      </w:r>
      <w:r w:rsidRPr="006368A5">
        <w:rPr>
          <w:rFonts w:hint="eastAsia"/>
          <w:shd w:val="clear" w:color="auto" w:fill="FFFFFF"/>
        </w:rPr>
        <w:t>I</w:t>
      </w:r>
      <w:r w:rsidRPr="006368A5">
        <w:rPr>
          <w:shd w:val="clear" w:color="auto" w:fill="FFFFFF"/>
        </w:rPr>
        <w:t xml:space="preserve">nstruction and </w:t>
      </w:r>
      <w:r w:rsidRPr="006368A5">
        <w:rPr>
          <w:rFonts w:hint="eastAsia"/>
          <w:shd w:val="clear" w:color="auto" w:fill="FFFFFF"/>
        </w:rPr>
        <w:t>S</w:t>
      </w:r>
      <w:r w:rsidRPr="006368A5">
        <w:rPr>
          <w:shd w:val="clear" w:color="auto" w:fill="FFFFFF"/>
        </w:rPr>
        <w:t xml:space="preserve">upervisory </w:t>
      </w:r>
      <w:r w:rsidRPr="006368A5">
        <w:rPr>
          <w:rFonts w:hint="eastAsia"/>
          <w:shd w:val="clear" w:color="auto" w:fill="FFFFFF"/>
        </w:rPr>
        <w:t>F</w:t>
      </w:r>
      <w:r w:rsidRPr="006368A5">
        <w:rPr>
          <w:shd w:val="clear" w:color="auto" w:fill="FFFFFF"/>
        </w:rPr>
        <w:t>eedback</w:t>
      </w:r>
    </w:p>
    <w:p w14:paraId="268FDB6E" w14:textId="77777777" w:rsidR="00E027AC" w:rsidRPr="00E027AC" w:rsidRDefault="00E027AC" w:rsidP="00E027AC">
      <w:pPr>
        <w:pStyle w:val="L2JFigureTitle"/>
        <w:rPr>
          <w:shd w:val="clear" w:color="auto" w:fill="FFFFFF"/>
        </w:rPr>
      </w:pPr>
    </w:p>
    <w:tbl>
      <w:tblPr>
        <w:tblStyle w:val="TableGrid"/>
        <w:tblW w:w="0" w:type="auto"/>
        <w:tblLook w:val="04A0" w:firstRow="1" w:lastRow="0" w:firstColumn="1" w:lastColumn="0" w:noHBand="0" w:noVBand="1"/>
      </w:tblPr>
      <w:tblGrid>
        <w:gridCol w:w="4315"/>
        <w:gridCol w:w="4325"/>
      </w:tblGrid>
      <w:tr w:rsidR="00E027AC" w:rsidRPr="00E027AC" w14:paraId="5521CCBB" w14:textId="77777777" w:rsidTr="00924822">
        <w:tc>
          <w:tcPr>
            <w:tcW w:w="4676" w:type="dxa"/>
            <w:tcBorders>
              <w:left w:val="nil"/>
              <w:right w:val="nil"/>
            </w:tcBorders>
          </w:tcPr>
          <w:p w14:paraId="4C4C22D9"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 xml:space="preserve">Study on instruction </w:t>
            </w:r>
          </w:p>
          <w:p w14:paraId="1FE1AF75"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and supervisory feedback</w:t>
            </w:r>
          </w:p>
          <w:p w14:paraId="3014E011" w14:textId="77777777" w:rsidR="00E027AC" w:rsidRPr="00E027AC" w:rsidRDefault="00E027AC" w:rsidP="00924822">
            <w:pPr>
              <w:rPr>
                <w:rFonts w:ascii="Garamond" w:hAnsi="Garamond"/>
                <w:sz w:val="24"/>
                <w:szCs w:val="24"/>
                <w:shd w:val="clear" w:color="auto" w:fill="FFFFFF"/>
              </w:rPr>
            </w:pPr>
          </w:p>
        </w:tc>
        <w:tc>
          <w:tcPr>
            <w:tcW w:w="4676" w:type="dxa"/>
            <w:tcBorders>
              <w:left w:val="nil"/>
              <w:right w:val="nil"/>
            </w:tcBorders>
          </w:tcPr>
          <w:p w14:paraId="2BE4A75F" w14:textId="77777777" w:rsidR="00E027AC" w:rsidRPr="00E027AC" w:rsidRDefault="00E027AC" w:rsidP="00924822">
            <w:pPr>
              <w:rPr>
                <w:rFonts w:ascii="Garamond" w:hAnsi="Garamond"/>
                <w:sz w:val="24"/>
                <w:szCs w:val="24"/>
                <w:shd w:val="clear" w:color="auto" w:fill="FFFFFF"/>
              </w:rPr>
            </w:pPr>
            <w:r w:rsidRPr="00E027AC">
              <w:rPr>
                <w:rFonts w:ascii="Garamond" w:hAnsi="Garamond"/>
                <w:sz w:val="24"/>
                <w:szCs w:val="24"/>
                <w:shd w:val="clear" w:color="auto" w:fill="FFFFFF"/>
              </w:rPr>
              <w:t>Specific focus</w:t>
            </w:r>
          </w:p>
          <w:p w14:paraId="7DF5AE04" w14:textId="77777777" w:rsidR="00E027AC" w:rsidRPr="00E027AC" w:rsidRDefault="00E027AC" w:rsidP="00924822">
            <w:pPr>
              <w:rPr>
                <w:rFonts w:ascii="Garamond" w:hAnsi="Garamond"/>
                <w:sz w:val="24"/>
                <w:szCs w:val="24"/>
                <w:shd w:val="clear" w:color="auto" w:fill="FFFFFF"/>
              </w:rPr>
            </w:pPr>
          </w:p>
        </w:tc>
      </w:tr>
      <w:tr w:rsidR="00E027AC" w:rsidRPr="00E027AC" w14:paraId="46C4622F" w14:textId="77777777" w:rsidTr="00924822">
        <w:tc>
          <w:tcPr>
            <w:tcW w:w="4676" w:type="dxa"/>
            <w:tcBorders>
              <w:left w:val="nil"/>
              <w:bottom w:val="nil"/>
              <w:right w:val="nil"/>
            </w:tcBorders>
          </w:tcPr>
          <w:p w14:paraId="0CB816C0" w14:textId="77777777" w:rsidR="00E027AC" w:rsidRPr="00E027AC" w:rsidRDefault="00E027AC" w:rsidP="00924822">
            <w:pPr>
              <w:rPr>
                <w:rFonts w:ascii="Garamond" w:hAnsi="Garamond" w:cs="Times New Roman"/>
                <w:sz w:val="24"/>
              </w:rPr>
            </w:pPr>
            <w:r w:rsidRPr="00E027AC">
              <w:rPr>
                <w:rFonts w:ascii="Garamond" w:eastAsia="Malgun Gothic" w:hAnsi="Garamond" w:cs="Times New Roman"/>
                <w:sz w:val="24"/>
                <w:szCs w:val="24"/>
              </w:rPr>
              <w:fldChar w:fldCharType="begin"/>
            </w:r>
            <w:r w:rsidRPr="00E027AC">
              <w:rPr>
                <w:rFonts w:ascii="Garamond" w:eastAsia="Malgun Gothic" w:hAnsi="Garamond" w:cs="Times New Roman"/>
                <w:sz w:val="24"/>
                <w:szCs w:val="24"/>
              </w:rPr>
              <w:instrText xml:space="preserve"> ADDIN ZOTERO_ITEM CSL_CITATION {"citationID":"tJJvjtIM","properties":{"formattedCitation":"(Machili et al., 2020; Nikbakht &amp; Miller, 2023; C. Zhang, 2013)","plainCitation":"(Machili et al., 2020; Nikbakht &amp; Miller, 2023; C. Zhang, 2013)","dontUpdate":true,"noteIndex":0},"citationItems":[{"id":"RScqpfJr/9vmw63Xj","uris":["http://zotero.org/users/9207091/items/MRJ2M2EG"],"itemData":{"id":655,"type":"article-journal","abstract":"Integrated writing and strategy instruction (SI) in the English for Academic Purposes (EAP) context have increasingly drawn much research interest in recent years for their strong pedagogical and assessment value. The role of video in integrated writing has also been widely acknowledged for pedagogical and theoretical reasons. However, research on the use of video in integrated writing tasks especially in the EAP context still remains scarce. To address this gap, this paper examines the effect of SI on students’ integrated writing as indicated in their overall writing performance scores and in each of the scoring rubric scales and the differences in their performance per Common European Framework of Reference (CEFR) level. We conduct explicit SI intervention for one semester in an EAP course. The success of the intervention is highlighted in the experimental group students’ substantial improvement in their overall writing scores and particularly in the citation and verbatim scales especially at intermediate and advanced level. Our findings suggest the positive impact explicit SI has on integrated writing performance. They also highlight the value and feasibility of using video in instruction and assessment of integrated writing in EAP contexts.","container-title":"Journal of Second Language Writing","DOI":"10.1016/j.jslw.2019.100708","ISSN":"10603743","journalAbbreviation":"Journal of Second Language Writing","language":"en","page":"100708","source":"DOI.org (Crossref)","title":"Effect of strategy instruction on EFL students’ video-mediated integrated writing performance","volume":"48","author":[{"family":"Machili","given":"Ifigeneia"},{"family":"Papadopoulou","given":"Iris"},{"family":"Kantaridou","given":"Zoe"}],"issued":{"date-parts":[["2020",6]]}}},{"id":3245,"uris":["http://zotero.org/users/9207091/items/BYB24MX6"],"itemData":{"id":3245,"type":"article-journal","container-title":"Journal of English for Academic Purposes","note":"publisher: Elsevier","page":"101274","source":"Google Scholar","title":"The development of ESL students’ synthesis writing through reading instruction","volume":"65","author":[{"family":"Nikbakht","given":"Elham"},{"family":"Miller","given":"Ryan T."}],"issued":{"date-parts":[["2023"]]}}},{"id":149,"uris":["http://zotero.org/users/9207091/items/SFXHGLAP"],"itemData":{"id":149,"type":"article-journal","abstract":"Synthesis writing has become the focus of much greater attention in the past 10 years in L2 EAP contexts. However, research on L2 synthesis writing has been limited, especially with respect to treatment studies that relate writing instruction to the development of synthesis writing abilities. To address this research gap, the present study examines the effect of instruction on ESL students’ synthesis writing. Participants were from two intact ESL classes; one class was randomly chosen to be experimental and the other the control. During a one-semester treatment, the experimental group received ﬁve iterations of discourse synthesis instruction while the control group worked on a comparable amount of reading and writing practice. Students’ discourse synthesis skills were measured by pre- and post-tests, for which they wrote problem-solution essays using two source texts. Results showed that (1) the experimental group performed signiﬁcantly better at the post-test and (2) the experimental group improved signiﬁcantly more from pre-test to post-test than the control group. These results suggest a positive effect of instruction on discourse synthesis writing. More importantly, the study demonstrates the feasibility of incorporating synthesis writing instruction into an ESL course without signiﬁcantly disrupting the curriculum.","container-title":"Journal of Second Language Writing","DOI":"10.1016/j.jslw.2012.12.001","ISSN":"10603743","issue":"1","journalAbbreviation":"Journal of Second Language Writing","language":"en","page":"51-67","source":"DOI.org (Crossref)","title":"Effect of instruction on ESL students’ synthesis writing","volume":"22","author":[{"family":"Zhang","given":"Cui"}],"issued":{"date-parts":[["2013",3]]}}}],"schema":"https://github.com/citation-style-language/schema/raw/master/csl-citation.json"} </w:instrText>
            </w:r>
            <w:r w:rsidRPr="00E027AC">
              <w:rPr>
                <w:rFonts w:ascii="Garamond" w:eastAsia="Malgun Gothic" w:hAnsi="Garamond" w:cs="Times New Roman"/>
                <w:sz w:val="24"/>
                <w:szCs w:val="24"/>
              </w:rPr>
              <w:fldChar w:fldCharType="separate"/>
            </w:r>
            <w:proofErr w:type="spellStart"/>
            <w:r w:rsidRPr="00E027AC">
              <w:rPr>
                <w:rFonts w:ascii="Garamond" w:hAnsi="Garamond" w:cs="Times New Roman"/>
                <w:sz w:val="24"/>
              </w:rPr>
              <w:t>Machili</w:t>
            </w:r>
            <w:proofErr w:type="spellEnd"/>
            <w:r w:rsidRPr="00E027AC">
              <w:rPr>
                <w:rFonts w:ascii="Garamond" w:hAnsi="Garamond" w:cs="Times New Roman"/>
                <w:sz w:val="24"/>
              </w:rPr>
              <w:t xml:space="preserve"> et al. (2020)</w:t>
            </w:r>
          </w:p>
          <w:p w14:paraId="0D4D7E0C" w14:textId="77777777" w:rsidR="00E027AC" w:rsidRPr="00E027AC" w:rsidRDefault="00E027AC" w:rsidP="00924822">
            <w:pPr>
              <w:rPr>
                <w:rFonts w:ascii="Garamond" w:hAnsi="Garamond" w:cs="Times New Roman"/>
                <w:sz w:val="24"/>
              </w:rPr>
            </w:pPr>
            <w:r w:rsidRPr="00E027AC">
              <w:rPr>
                <w:rFonts w:ascii="Garamond" w:hAnsi="Garamond" w:cs="Times New Roman"/>
                <w:sz w:val="24"/>
              </w:rPr>
              <w:t>Nikbakht and Miller (2023)</w:t>
            </w:r>
          </w:p>
          <w:p w14:paraId="70E951F9" w14:textId="77777777" w:rsidR="00E027AC" w:rsidRPr="00E027AC" w:rsidRDefault="00E027AC" w:rsidP="00924822">
            <w:pPr>
              <w:rPr>
                <w:rFonts w:ascii="Garamond" w:hAnsi="Garamond"/>
                <w:sz w:val="24"/>
                <w:szCs w:val="24"/>
                <w:shd w:val="clear" w:color="auto" w:fill="FFFFFF"/>
              </w:rPr>
            </w:pPr>
            <w:r w:rsidRPr="00E027AC">
              <w:rPr>
                <w:rFonts w:ascii="Garamond" w:hAnsi="Garamond" w:cs="Times New Roman"/>
                <w:sz w:val="24"/>
              </w:rPr>
              <w:t>C. Zhang (2013)</w:t>
            </w:r>
            <w:r w:rsidRPr="00E027AC">
              <w:rPr>
                <w:rFonts w:ascii="Garamond" w:eastAsia="Malgun Gothic" w:hAnsi="Garamond" w:cs="Times New Roman"/>
                <w:sz w:val="24"/>
                <w:szCs w:val="24"/>
              </w:rPr>
              <w:fldChar w:fldCharType="end"/>
            </w:r>
          </w:p>
        </w:tc>
        <w:tc>
          <w:tcPr>
            <w:tcW w:w="4676" w:type="dxa"/>
            <w:tcBorders>
              <w:left w:val="nil"/>
              <w:bottom w:val="nil"/>
              <w:right w:val="nil"/>
            </w:tcBorders>
            <w:vAlign w:val="center"/>
          </w:tcPr>
          <w:p w14:paraId="41FA9F77" w14:textId="77777777" w:rsidR="00E027AC" w:rsidRPr="00E027AC" w:rsidRDefault="00E027AC" w:rsidP="00924822">
            <w:pPr>
              <w:rPr>
                <w:rFonts w:ascii="Garamond" w:hAnsi="Garamond"/>
                <w:sz w:val="24"/>
                <w:szCs w:val="24"/>
                <w:shd w:val="clear" w:color="auto" w:fill="FFFFFF"/>
              </w:rPr>
            </w:pPr>
            <w:r w:rsidRPr="00E027AC">
              <w:rPr>
                <w:rFonts w:ascii="Garamond" w:eastAsia="Malgun Gothic" w:hAnsi="Garamond" w:cs="Times New Roman"/>
                <w:sz w:val="24"/>
                <w:szCs w:val="24"/>
              </w:rPr>
              <w:t>Intervention studies for synthesis writing</w:t>
            </w:r>
          </w:p>
        </w:tc>
      </w:tr>
      <w:tr w:rsidR="00E027AC" w:rsidRPr="00E027AC" w14:paraId="52C51B0A" w14:textId="77777777" w:rsidTr="00924822">
        <w:tc>
          <w:tcPr>
            <w:tcW w:w="4676" w:type="dxa"/>
            <w:tcBorders>
              <w:top w:val="nil"/>
              <w:left w:val="nil"/>
              <w:bottom w:val="nil"/>
              <w:right w:val="nil"/>
            </w:tcBorders>
          </w:tcPr>
          <w:p w14:paraId="76F789A0" w14:textId="77777777" w:rsidR="00E027AC" w:rsidRPr="00E027AC" w:rsidRDefault="00E027AC" w:rsidP="00924822">
            <w:pPr>
              <w:rPr>
                <w:rFonts w:ascii="Garamond" w:eastAsia="Malgun Gothic" w:hAnsi="Garamond" w:cs="Times New Roman"/>
                <w:sz w:val="24"/>
                <w:szCs w:val="24"/>
              </w:rPr>
            </w:pPr>
          </w:p>
        </w:tc>
        <w:tc>
          <w:tcPr>
            <w:tcW w:w="4676" w:type="dxa"/>
            <w:tcBorders>
              <w:top w:val="nil"/>
              <w:left w:val="nil"/>
              <w:bottom w:val="nil"/>
              <w:right w:val="nil"/>
            </w:tcBorders>
            <w:vAlign w:val="center"/>
          </w:tcPr>
          <w:p w14:paraId="1167B630" w14:textId="77777777" w:rsidR="00E027AC" w:rsidRPr="00E027AC" w:rsidRDefault="00E027AC" w:rsidP="00924822">
            <w:pPr>
              <w:rPr>
                <w:rFonts w:ascii="Garamond" w:eastAsia="Malgun Gothic" w:hAnsi="Garamond" w:cs="Times New Roman"/>
                <w:sz w:val="24"/>
                <w:szCs w:val="24"/>
              </w:rPr>
            </w:pPr>
          </w:p>
        </w:tc>
      </w:tr>
      <w:tr w:rsidR="00E027AC" w:rsidRPr="00E027AC" w14:paraId="0FE99A6D" w14:textId="77777777" w:rsidTr="00924822">
        <w:tc>
          <w:tcPr>
            <w:tcW w:w="4676" w:type="dxa"/>
            <w:tcBorders>
              <w:top w:val="nil"/>
              <w:left w:val="nil"/>
              <w:bottom w:val="single" w:sz="4" w:space="0" w:color="auto"/>
              <w:right w:val="nil"/>
            </w:tcBorders>
          </w:tcPr>
          <w:p w14:paraId="6EAB3309" w14:textId="77777777" w:rsidR="00E027AC" w:rsidRPr="00E027AC" w:rsidRDefault="00E027AC" w:rsidP="00924822">
            <w:pPr>
              <w:rPr>
                <w:rFonts w:ascii="Garamond" w:hAnsi="Garamond" w:cs="Times New Roman"/>
                <w:sz w:val="24"/>
              </w:rPr>
            </w:pPr>
            <w:r w:rsidRPr="00E027AC">
              <w:rPr>
                <w:rFonts w:ascii="Garamond" w:eastAsia="Malgun Gothic" w:hAnsi="Garamond" w:cs="Times New Roman"/>
                <w:sz w:val="24"/>
                <w:szCs w:val="24"/>
              </w:rPr>
              <w:fldChar w:fldCharType="begin"/>
            </w:r>
            <w:r w:rsidRPr="00E027AC">
              <w:rPr>
                <w:rFonts w:ascii="Garamond" w:eastAsia="Malgun Gothic" w:hAnsi="Garamond" w:cs="Times New Roman"/>
                <w:sz w:val="24"/>
                <w:szCs w:val="24"/>
              </w:rPr>
              <w:instrText xml:space="preserve"> ADDIN ZOTERO_ITEM CSL_CITATION {"citationID":"NH90obZ5","properties":{"formattedCitation":"(Kim &amp; Kim, 2017; Yang, 2023)","plainCitation":"(Kim &amp; Kim, 2017; Yang, 2023)","dontUpdate":true,"noteIndex":0},"citationItems":[{"id":715,"uris":["http://zotero.org/users/9207091/items/PU2BW8QJ"],"itemData":{"id":715,"type":"article-journal","container-title":"Assessing Writing","DOI":"10.1016/j.asw.2016.12.001","ISSN":"10752935","journalAbbreviation":"Assessing Writing","language":"en","page":"57-71","source":"DOI.org (Crossref)","title":"The effectiveness of instructor feedback for learning-oriented language assessment: Using an integrated reading-to-write task for English for academic purposes","title-short":"The effectiveness of instructor feedback for learning-oriented language assessment","volume":"32","author":[{"family":"Kim","given":"Ah-Young"},{"family":"Kim","given":"Hyun Jung"}],"issued":{"date-parts":[["2017",4]]}}},{"id":6,"uris":["http://zotero.org/users/9207091/items/FACQPSQB"],"itemData":{"id":6,"type":"article-journal","abstract":"In this qualitative case study, the researcher explored an early-stage L2 doctoral student’s reflective practice about her supervisor’s feedback on the drafts of her research article and the role of reflection in her academic discourse socialization (ADS) as a researcher and an English academic writer. Data was collected over one and a half year from semi-structured interviews with the student and her supervisor, the student’s drafts with supervisory feedback, informal conversations with the student, the student’s written self-reflection, and observation of the stu­ dent in academic activities. Qualitative and inductive analysis revealed that the supervisorstudent dyad had a shared goal of paper writing, which was to provide the student cognitive skill training for research and academic writing. They also had different goals of paper writing, which characterized the social and negotiated nature of the student’s ADS. Moreover, the student digested feedback through an interactive process of reflection-on-feedback, reflection-in-feedback, and reflection-for-feedback at different stages of writing, showing that reflective practice is indispensable for feedback to serve as useful and readily available resources for writing. Such reflective practice about feedback was found to contribute to the student’s ADS cognitively, emotionally, and socially. The findings provide implications for L2 doctoral supervision, learning and socialization.","container-title":"Journal of English for Academic Purposes","DOI":"10.1016/j.jeap.2023.101215","ISSN":"14751585","journalAbbreviation":"Journal of English for Academic Purposes","language":"en","page":"101215","source":"DOI.org (Crossref)","title":"Supervisory feedback, reflection, and academic discourse socialization: Insights from an L2 doctoral student's paper writing experience","title-short":"Supervisory feedback, reflection, and academic discourse socialization","volume":"62","author":[{"family":"Yang","given":"Min"}],"issued":{"date-parts":[["2023",3]]}},"label":"page"}],"schema":"https://github.com/citation-style-language/schema/raw/master/csl-citation.json"} </w:instrText>
            </w:r>
            <w:r w:rsidRPr="00E027AC">
              <w:rPr>
                <w:rFonts w:ascii="Garamond" w:eastAsia="Malgun Gothic" w:hAnsi="Garamond" w:cs="Times New Roman"/>
                <w:sz w:val="24"/>
                <w:szCs w:val="24"/>
              </w:rPr>
              <w:fldChar w:fldCharType="separate"/>
            </w:r>
            <w:r w:rsidRPr="00E027AC">
              <w:rPr>
                <w:rFonts w:ascii="Garamond" w:hAnsi="Garamond" w:cs="Times New Roman"/>
                <w:sz w:val="24"/>
              </w:rPr>
              <w:t xml:space="preserve">Kim and Kim (2017) </w:t>
            </w:r>
          </w:p>
          <w:p w14:paraId="38D1C965" w14:textId="77777777" w:rsidR="00E027AC" w:rsidRPr="00E027AC" w:rsidRDefault="00E027AC" w:rsidP="00924822">
            <w:pPr>
              <w:rPr>
                <w:rFonts w:ascii="Garamond" w:hAnsi="Garamond"/>
                <w:sz w:val="24"/>
                <w:szCs w:val="24"/>
                <w:shd w:val="clear" w:color="auto" w:fill="FFFFFF"/>
              </w:rPr>
            </w:pPr>
            <w:r w:rsidRPr="00E027AC">
              <w:rPr>
                <w:rFonts w:ascii="Garamond" w:hAnsi="Garamond" w:cs="Times New Roman"/>
                <w:sz w:val="24"/>
              </w:rPr>
              <w:t>M. Yang (2023)</w:t>
            </w:r>
            <w:r w:rsidRPr="00E027AC">
              <w:rPr>
                <w:rFonts w:ascii="Garamond" w:eastAsia="Malgun Gothic" w:hAnsi="Garamond" w:cs="Times New Roman"/>
                <w:sz w:val="24"/>
                <w:szCs w:val="24"/>
              </w:rPr>
              <w:fldChar w:fldCharType="end"/>
            </w:r>
          </w:p>
        </w:tc>
        <w:tc>
          <w:tcPr>
            <w:tcW w:w="4676" w:type="dxa"/>
            <w:tcBorders>
              <w:top w:val="nil"/>
              <w:left w:val="nil"/>
              <w:bottom w:val="single" w:sz="4" w:space="0" w:color="auto"/>
              <w:right w:val="nil"/>
            </w:tcBorders>
            <w:vAlign w:val="center"/>
          </w:tcPr>
          <w:p w14:paraId="6327FB89" w14:textId="77777777" w:rsidR="00E027AC" w:rsidRPr="00E027AC" w:rsidRDefault="00E027AC" w:rsidP="00924822">
            <w:pPr>
              <w:rPr>
                <w:rFonts w:ascii="Garamond" w:hAnsi="Garamond"/>
                <w:sz w:val="24"/>
                <w:szCs w:val="24"/>
                <w:shd w:val="clear" w:color="auto" w:fill="FFFFFF"/>
              </w:rPr>
            </w:pPr>
            <w:r w:rsidRPr="00E027AC">
              <w:rPr>
                <w:rFonts w:ascii="Garamond" w:eastAsia="Malgun Gothic" w:hAnsi="Garamond" w:cs="Times New Roman"/>
                <w:sz w:val="24"/>
                <w:szCs w:val="24"/>
              </w:rPr>
              <w:t>Role of supervisory feedback</w:t>
            </w:r>
          </w:p>
        </w:tc>
      </w:tr>
    </w:tbl>
    <w:p w14:paraId="2DA9A436" w14:textId="77777777" w:rsidR="00AA61F3" w:rsidRDefault="00AA61F3" w:rsidP="00E027AC">
      <w:pPr>
        <w:pStyle w:val="L2JBody"/>
      </w:pPr>
    </w:p>
    <w:p w14:paraId="2266730A" w14:textId="6BAB8211" w:rsidR="00E027AC" w:rsidRPr="006368A5" w:rsidRDefault="00E027AC" w:rsidP="00E027AC">
      <w:pPr>
        <w:pStyle w:val="L2JBody"/>
        <w:rPr>
          <w:shd w:val="clear" w:color="auto" w:fill="FFFFFF"/>
        </w:rPr>
      </w:pPr>
      <w:r w:rsidRPr="006368A5">
        <w:rPr>
          <w:rFonts w:hint="eastAsia"/>
        </w:rPr>
        <w:t xml:space="preserve">For example, in </w:t>
      </w:r>
      <w:r w:rsidRPr="006368A5">
        <w:rPr>
          <w:shd w:val="clear" w:color="auto" w:fill="FFFFFF"/>
        </w:rPr>
        <w:fldChar w:fldCharType="begin"/>
      </w:r>
      <w:r w:rsidRPr="006368A5">
        <w:rPr>
          <w:shd w:val="clear" w:color="auto" w:fill="FFFFFF"/>
        </w:rPr>
        <w:instrText xml:space="preserve"> ADDIN ZOTERO_ITEM CSL_CITATION {"citationID":"LKXyVYMo","properties":{"formattedCitation":"(Zhang, 2013)","plainCitation":"(Zhang, 2013)","dontUpdate":true,"noteIndex":0},"citationItems":[{"id":149,"uris":["http://zotero.org/users/9207091/items/SFXHGLAP"],"itemData":{"id":149,"type":"article-journal","abstract":"Synthesis writing has become the focus of much greater attention in the past 10 years in L2 EAP contexts. However, research on L2 synthesis writing has been limited, especially with respect to treatment studies that relate writing instruction to the development of synthesis writing abilities. To address this research gap, the present study examines the effect of instruction on ESL students’ synthesis writing. Participants were from two intact ESL classes; one class was randomly chosen to be experimental and the other the control. During a one-semester treatment, the experimental group received ﬁve iterations of discourse synthesis instruction while the control group worked on a comparable amount of reading and writing practice. Students’ discourse synthesis skills were measured by pre- and post-tests, for which they wrote problem-solution essays using two source texts. Results showed that (1) the experimental group performed signiﬁcantly better at the post-test and (2) the experimental group improved signiﬁcantly more from pre-test to post-test than the control group. These results suggest a positive effect of instruction on discourse synthesis writing. More importantly, the study demonstrates the feasibility of incorporating synthesis writing instruction into an ESL course without signiﬁcantly disrupting the curriculum.","container-title":"Journal of Second Language Writing","DOI":"10.1016/j.jslw.2012.12.001","ISSN":"10603743","issue":"1","journalAbbreviation":"Journal of Second Language Writing","language":"en","page":"51-67","source":"DOI.org (Crossref)","title":"Effect of instruction on ESL students’ synthesis writing","volume":"22","author":[{"family":"Zhang","given":"Cui"}],"issued":{"date-parts":[["2013",3]]}}}],"schema":"https://github.com/citation-style-language/schema/raw/master/csl-citation.json"} </w:instrText>
      </w:r>
      <w:r w:rsidRPr="006368A5">
        <w:rPr>
          <w:shd w:val="clear" w:color="auto" w:fill="FFFFFF"/>
        </w:rPr>
        <w:fldChar w:fldCharType="separate"/>
      </w:r>
      <w:r w:rsidRPr="006368A5">
        <w:t>Zhang’</w:t>
      </w:r>
      <w:r w:rsidRPr="006368A5">
        <w:rPr>
          <w:rFonts w:hint="eastAsia"/>
        </w:rPr>
        <w:t xml:space="preserve">s </w:t>
      </w:r>
      <w:r w:rsidRPr="006368A5">
        <w:t>(2013)</w:t>
      </w:r>
      <w:r w:rsidRPr="006368A5">
        <w:rPr>
          <w:shd w:val="clear" w:color="auto" w:fill="FFFFFF"/>
        </w:rPr>
        <w:fldChar w:fldCharType="end"/>
      </w:r>
      <w:r w:rsidRPr="006368A5">
        <w:rPr>
          <w:rFonts w:hint="eastAsia"/>
          <w:shd w:val="clear" w:color="auto" w:fill="FFFFFF"/>
        </w:rPr>
        <w:t xml:space="preserve"> </w:t>
      </w:r>
      <w:r w:rsidRPr="006368A5">
        <w:rPr>
          <w:rFonts w:hint="eastAsia"/>
        </w:rPr>
        <w:t>study</w:t>
      </w:r>
      <w:r w:rsidRPr="006368A5">
        <w:rPr>
          <w:rFonts w:hint="eastAsia"/>
          <w:shd w:val="clear" w:color="auto" w:fill="FFFFFF"/>
        </w:rPr>
        <w:t xml:space="preserve"> of ESL students at a university</w:t>
      </w:r>
      <w:r w:rsidRPr="006368A5">
        <w:rPr>
          <w:shd w:val="clear" w:color="auto" w:fill="FFFFFF"/>
        </w:rPr>
        <w:t xml:space="preserve"> in the United States</w:t>
      </w:r>
      <w:r w:rsidRPr="006368A5">
        <w:rPr>
          <w:rFonts w:hint="eastAsia"/>
          <w:shd w:val="clear" w:color="auto" w:fill="FFFFFF"/>
        </w:rPr>
        <w:t xml:space="preserve">, </w:t>
      </w:r>
      <w:r w:rsidRPr="006368A5">
        <w:rPr>
          <w:shd w:val="clear" w:color="auto" w:fill="FFFFFF"/>
        </w:rPr>
        <w:t xml:space="preserve">the experimental group </w:t>
      </w:r>
      <w:r w:rsidRPr="006368A5">
        <w:rPr>
          <w:rFonts w:hint="eastAsia"/>
          <w:shd w:val="clear" w:color="auto" w:fill="FFFFFF"/>
        </w:rPr>
        <w:t>receiv</w:t>
      </w:r>
      <w:r w:rsidRPr="006368A5">
        <w:rPr>
          <w:shd w:val="clear" w:color="auto" w:fill="FFFFFF"/>
        </w:rPr>
        <w:t>ing</w:t>
      </w:r>
      <w:r w:rsidRPr="006368A5">
        <w:rPr>
          <w:rFonts w:hint="eastAsia"/>
          <w:shd w:val="clear" w:color="auto" w:fill="FFFFFF"/>
        </w:rPr>
        <w:t xml:space="preserve"> synthesis instruction significantly outperformed the control group</w:t>
      </w:r>
      <w:r w:rsidRPr="006368A5">
        <w:rPr>
          <w:shd w:val="clear" w:color="auto" w:fill="FFFFFF"/>
        </w:rPr>
        <w:t xml:space="preserve"> receiving traditional reading and writing instruction</w:t>
      </w:r>
      <w:r w:rsidRPr="006368A5">
        <w:rPr>
          <w:rFonts w:hint="eastAsia"/>
          <w:shd w:val="clear" w:color="auto" w:fill="FFFFFF"/>
        </w:rPr>
        <w:t xml:space="preserve">. Given the importance of instruction, what remains a question is how to  create such scaffolding materials and activities. </w:t>
      </w:r>
      <w:r w:rsidRPr="006368A5">
        <w:rPr>
          <w:shd w:val="clear" w:color="auto" w:fill="FFFFFF"/>
        </w:rPr>
        <w:fldChar w:fldCharType="begin"/>
      </w:r>
      <w:r w:rsidRPr="006368A5">
        <w:rPr>
          <w:shd w:val="clear" w:color="auto" w:fill="FFFFFF"/>
        </w:rPr>
        <w:instrText xml:space="preserve"> ADDIN ZOTERO_ITEM CSL_CITATION {"citationID":"SD8GBnq0","properties":{"formattedCitation":"(Doolan &amp; Fitzsimmons-Doolan, 2024)","plainCitation":"(Doolan &amp; Fitzsimmons-Doolan, 2024)","dontUpdate":true,"noteIndex":0},"citationItems":[{"id":3423,"uris":["http://zotero.org/users/9207091/items/88HAG9PH"],"itemData":{"id":3423,"type":"chapter","container-title":"Teaching and learning source-based writing","edition":"1","page":"124–139","publisher":"Routledge","source":"Google Scholar","title":"Scaffolding instruction for post-secondary L2 synthesis writing","URL":"https://www.taylorfrancis.com/chapters/edit/10.4324/9781003283485-11/scaffolding-instruction-post-secondary-l2-synthesis-writing-stephen-doolan-shannon-fitzsimmons-doolan","author":[{"family":"Doolan","given":"Stephen M."},{"family":"Fitzsimmons-Doolan","given":"Shannon"}],"editor":[{"family":"Wette","given":"Rosemary"}],"accessed":{"date-parts":[["2024",11,6]]},"issued":{"date-parts":[["2024"]]}}}],"schema":"https://github.com/citation-style-language/schema/raw/master/csl-citation.json"} </w:instrText>
      </w:r>
      <w:r w:rsidRPr="006368A5">
        <w:rPr>
          <w:shd w:val="clear" w:color="auto" w:fill="FFFFFF"/>
        </w:rPr>
        <w:fldChar w:fldCharType="separate"/>
      </w:r>
      <w:r w:rsidRPr="006368A5">
        <w:t xml:space="preserve">Doolan </w:t>
      </w:r>
      <w:r w:rsidRPr="006368A5">
        <w:rPr>
          <w:rFonts w:hint="eastAsia"/>
        </w:rPr>
        <w:t>and</w:t>
      </w:r>
      <w:r w:rsidRPr="006368A5">
        <w:t xml:space="preserve"> Fitzsimmons-Doolan </w:t>
      </w:r>
      <w:r w:rsidRPr="006368A5">
        <w:rPr>
          <w:rFonts w:hint="eastAsia"/>
        </w:rPr>
        <w:t>(</w:t>
      </w:r>
      <w:r w:rsidRPr="006368A5">
        <w:t>2024)</w:t>
      </w:r>
      <w:r w:rsidRPr="006368A5">
        <w:rPr>
          <w:shd w:val="clear" w:color="auto" w:fill="FFFFFF"/>
        </w:rPr>
        <w:fldChar w:fldCharType="end"/>
      </w:r>
      <w:r w:rsidRPr="006368A5">
        <w:rPr>
          <w:rFonts w:hint="eastAsia"/>
          <w:shd w:val="clear" w:color="auto" w:fill="FFFFFF"/>
        </w:rPr>
        <w:t xml:space="preserve"> provide</w:t>
      </w:r>
      <w:r w:rsidRPr="006368A5">
        <w:rPr>
          <w:shd w:val="clear" w:color="auto" w:fill="FFFFFF"/>
        </w:rPr>
        <w:t>d</w:t>
      </w:r>
      <w:r w:rsidRPr="006368A5">
        <w:rPr>
          <w:rFonts w:hint="eastAsia"/>
          <w:shd w:val="clear" w:color="auto" w:fill="FFFFFF"/>
        </w:rPr>
        <w:t xml:space="preserve"> some answers by sharing their own in-class activities and lesson plans, but future </w:t>
      </w:r>
      <w:r w:rsidRPr="006368A5">
        <w:rPr>
          <w:shd w:val="clear" w:color="auto" w:fill="FFFFFF"/>
        </w:rPr>
        <w:t xml:space="preserve">researchers’ empirically </w:t>
      </w:r>
      <w:r w:rsidRPr="006368A5">
        <w:rPr>
          <w:rFonts w:hint="eastAsia"/>
          <w:shd w:val="clear" w:color="auto" w:fill="FFFFFF"/>
        </w:rPr>
        <w:t>proven effective synthesis writing tasks would be highly beneficial in the field.</w:t>
      </w:r>
    </w:p>
    <w:p w14:paraId="4F57F935" w14:textId="77777777" w:rsidR="00E027AC" w:rsidRDefault="00E027AC" w:rsidP="00E027AC">
      <w:pPr>
        <w:pStyle w:val="L2JBody"/>
        <w:rPr>
          <w:shd w:val="clear" w:color="auto" w:fill="FFFFFF"/>
        </w:rPr>
      </w:pPr>
      <w:r w:rsidRPr="006368A5">
        <w:rPr>
          <w:rFonts w:hint="eastAsia"/>
        </w:rPr>
        <w:t xml:space="preserve">Regarding feedback practices, findings </w:t>
      </w:r>
      <w:r w:rsidRPr="006368A5">
        <w:t xml:space="preserve">in studies by </w:t>
      </w:r>
      <w:r w:rsidRPr="006368A5">
        <w:fldChar w:fldCharType="begin"/>
      </w:r>
      <w:r w:rsidRPr="006368A5">
        <w:instrText xml:space="preserve"> ADDIN ZOTERO_ITEM CSL_CITATION {"citationID":"GyKAHmHx","properties":{"formattedCitation":"(Kim &amp; Kim, 2017; Yang, 2023)","plainCitation":"(Kim &amp; Kim, 2017; Yang, 2023)","dontUpdate":true,"noteIndex":0},"citationItems":[{"id":715,"uris":["http://zotero.org/users/9207091/items/PU2BW8QJ"],"itemData":{"id":715,"type":"article-journal","container-title":"Assessing Writing","DOI":"10.1016/j.asw.2016.12.001","ISSN":"10752935","journalAbbreviation":"Assessing Writing","language":"en","page":"57-71","source":"DOI.org (Crossref)","title":"The effectiveness of instructor feedback for learning-oriented language assessment: Using an integrated reading-to-write task for English for academic purposes","title-short":"The effectiveness of instructor feedback for learning-oriented language assessment","volume":"32","author":[{"family":"Kim","given":"Ah-Young"},{"family":"Kim","given":"Hyun Jung"}],"issued":{"date-parts":[["2017",4]]}}},{"id":6,"uris":["http://zotero.org/users/9207091/items/FACQPSQB"],"itemData":{"id":6,"type":"article-journal","abstract":"In this qualitative case study, the researcher explored an early-stage L2 doctoral student’s reflective practice about her supervisor’s feedback on the drafts of her research article and the role of reflection in her academic discourse socialization (ADS) as a researcher and an English academic writer. Data was collected over one and a half year from semi-structured interviews with the student and her supervisor, the student’s drafts with supervisory feedback, informal conversations with the student, the student’s written self-reflection, and observation of the stu­ dent in academic activities. Qualitative and inductive analysis revealed that the supervisorstudent dyad had a shared goal of paper writing, which was to provide the student cognitive skill training for research and academic writing. They also had different goals of paper writing, which characterized the social and negotiated nature of the student’s ADS. Moreover, the student digested feedback through an interactive process of reflection-on-feedback, reflection-in-feedback, and reflection-for-feedback at different stages of writing, showing that reflective practice is indispensable for feedback to serve as useful and readily available resources for writing. Such reflective practice about feedback was found to contribute to the student’s ADS cognitively, emotionally, and socially. The findings provide implications for L2 doctoral supervision, learning and socialization.","container-title":"Journal of English for Academic Purposes","DOI":"10.1016/j.jeap.2023.101215","ISSN":"14751585","journalAbbreviation":"Journal of English for Academic Purposes","language":"en","page":"101215","source":"DOI.org (Crossref)","title":"Supervisory feedback, reflection, and academic discourse socialization: Insights from an L2 doctoral student's paper writing experience","title-short":"Supervisory feedback, reflection, and academic discourse socialization","volume":"62","author":[{"family":"Yang","given":"Min"}],"issued":{"date-parts":[["2023",3]]}},"label":"page"}],"schema":"https://github.com/citation-style-language/schema/raw/master/csl-citation.json"} </w:instrText>
      </w:r>
      <w:r w:rsidRPr="006368A5">
        <w:fldChar w:fldCharType="separate"/>
      </w:r>
      <w:r w:rsidRPr="006368A5">
        <w:t>Kim and Kim (2017) and Yang (2023)</w:t>
      </w:r>
      <w:r w:rsidRPr="006368A5">
        <w:fldChar w:fldCharType="end"/>
      </w:r>
      <w:r w:rsidRPr="006368A5">
        <w:t xml:space="preserve"> </w:t>
      </w:r>
      <w:r w:rsidRPr="006368A5">
        <w:rPr>
          <w:rFonts w:hint="eastAsia"/>
        </w:rPr>
        <w:t xml:space="preserve">highlighted </w:t>
      </w:r>
      <w:r w:rsidRPr="006368A5">
        <w:t>the</w:t>
      </w:r>
      <w:r w:rsidRPr="006368A5">
        <w:rPr>
          <w:rFonts w:hint="eastAsia"/>
        </w:rPr>
        <w:t xml:space="preserve"> beneficial role of supervisory feedback in improving graduate students</w:t>
      </w:r>
      <w:r w:rsidRPr="006368A5">
        <w:t>’</w:t>
      </w:r>
      <w:r w:rsidRPr="006368A5">
        <w:rPr>
          <w:rFonts w:hint="eastAsia"/>
        </w:rPr>
        <w:t xml:space="preserve"> source-based writing. Both studies emphasized the depth of reflection on the received</w:t>
      </w:r>
      <w:r w:rsidRPr="006368A5">
        <w:t xml:space="preserve"> </w:t>
      </w:r>
      <w:r w:rsidRPr="006368A5">
        <w:rPr>
          <w:rFonts w:hint="eastAsia"/>
        </w:rPr>
        <w:t xml:space="preserve">feedback as key to </w:t>
      </w:r>
      <w:r w:rsidRPr="006368A5">
        <w:t>significantly</w:t>
      </w:r>
      <w:r w:rsidRPr="006368A5">
        <w:rPr>
          <w:rFonts w:hint="eastAsia"/>
        </w:rPr>
        <w:t xml:space="preserve"> enhancing students</w:t>
      </w:r>
      <w:r w:rsidRPr="006368A5">
        <w:t>’</w:t>
      </w:r>
      <w:r w:rsidRPr="006368A5">
        <w:rPr>
          <w:rFonts w:hint="eastAsia"/>
        </w:rPr>
        <w:t xml:space="preserve"> writing quality. </w:t>
      </w:r>
      <w:r w:rsidRPr="006368A5">
        <w:rPr>
          <w:rFonts w:hint="eastAsia"/>
          <w:shd w:val="clear" w:color="auto" w:fill="FFFFFF"/>
        </w:rPr>
        <w:t xml:space="preserve">Pointing to the same conclusion, </w:t>
      </w:r>
      <w:r w:rsidRPr="006368A5">
        <w:rPr>
          <w:shd w:val="clear" w:color="auto" w:fill="FFFFFF"/>
        </w:rPr>
        <w:fldChar w:fldCharType="begin"/>
      </w:r>
      <w:r w:rsidRPr="006368A5">
        <w:rPr>
          <w:shd w:val="clear" w:color="auto" w:fill="FFFFFF"/>
        </w:rPr>
        <w:instrText xml:space="preserve"> ADDIN ZOTERO_ITEM CSL_CITATION {"citationID":"0hTshmEj","properties":{"formattedCitation":"(Sun &amp; Soden, 2021)","plainCitation":"(Sun &amp; Soden, 2021)","dontUpdate":true,"noteIndex":0},"citationItems":[{"id":3200,"uris":["http://zotero.org/users/9207091/items/YWPZ6VJE"],"itemData":{"id":3200,"type":"article-journal","container-title":"Journal of English for Academic Purposes","DOI":"10.1016/j.jeap.2021.100981","ISSN":"14751585","journalAbbreviation":"Journal of English for Academic Purposes","language":"en","page":"100981","source":"DOI.org (Crossref)","title":"International students’ engagement with support in developing source use abilities: A longitudinal case study","title-short":"International students’ engagement with support in developing source use abilities","volume":"51","author":[{"family":"Sun","given":"Qingyang"},{"family":"Soden","given":"Bill"}],"issued":{"date-parts":[["2021",5]]}}}],"schema":"https://github.com/citation-style-language/schema/raw/master/csl-citation.json"} </w:instrText>
      </w:r>
      <w:r w:rsidRPr="006368A5">
        <w:rPr>
          <w:shd w:val="clear" w:color="auto" w:fill="FFFFFF"/>
        </w:rPr>
        <w:fldChar w:fldCharType="separate"/>
      </w:r>
      <w:r w:rsidRPr="006368A5">
        <w:t xml:space="preserve">Sun </w:t>
      </w:r>
      <w:r w:rsidRPr="006368A5">
        <w:rPr>
          <w:rFonts w:hint="eastAsia"/>
        </w:rPr>
        <w:t>and</w:t>
      </w:r>
      <w:r w:rsidRPr="006368A5">
        <w:t xml:space="preserve"> Soden </w:t>
      </w:r>
      <w:r w:rsidRPr="006368A5">
        <w:rPr>
          <w:rFonts w:hint="eastAsia"/>
        </w:rPr>
        <w:t>(</w:t>
      </w:r>
      <w:r w:rsidRPr="006368A5">
        <w:t>2021)</w:t>
      </w:r>
      <w:r w:rsidRPr="006368A5">
        <w:rPr>
          <w:shd w:val="clear" w:color="auto" w:fill="FFFFFF"/>
        </w:rPr>
        <w:fldChar w:fldCharType="end"/>
      </w:r>
      <w:r w:rsidRPr="006368A5">
        <w:rPr>
          <w:rFonts w:hint="eastAsia"/>
          <w:shd w:val="clear" w:color="auto" w:fill="FFFFFF"/>
        </w:rPr>
        <w:t xml:space="preserve"> also </w:t>
      </w:r>
      <w:r w:rsidRPr="006368A5">
        <w:rPr>
          <w:shd w:val="clear" w:color="auto" w:fill="FFFFFF"/>
        </w:rPr>
        <w:t>found</w:t>
      </w:r>
      <w:r w:rsidRPr="006368A5">
        <w:rPr>
          <w:rFonts w:hint="eastAsia"/>
          <w:shd w:val="clear" w:color="auto" w:fill="FFFFFF"/>
        </w:rPr>
        <w:t xml:space="preserve"> that student engagement with feedback was pivotal in improving source-use skills.</w:t>
      </w:r>
    </w:p>
    <w:p w14:paraId="3ACBE609" w14:textId="77777777" w:rsidR="00E027AC" w:rsidRPr="006368A5" w:rsidRDefault="00E027AC" w:rsidP="00E027AC">
      <w:pPr>
        <w:pStyle w:val="L2JBody"/>
        <w:rPr>
          <w:shd w:val="clear" w:color="auto" w:fill="FFFFFF"/>
        </w:rPr>
      </w:pPr>
    </w:p>
    <w:p w14:paraId="7B64800E" w14:textId="517E8D86" w:rsidR="00E027AC" w:rsidRPr="00E027AC" w:rsidRDefault="00E027AC" w:rsidP="00E027AC">
      <w:pPr>
        <w:pStyle w:val="L2JH1"/>
      </w:pPr>
      <w:r w:rsidRPr="00E027AC">
        <w:t>DISCUSSION</w:t>
      </w:r>
    </w:p>
    <w:p w14:paraId="757C7B06" w14:textId="77777777" w:rsidR="00E027AC" w:rsidRDefault="00E027AC" w:rsidP="00E027AC">
      <w:pPr>
        <w:pStyle w:val="L2JBody"/>
        <w:ind w:firstLine="0"/>
        <w:rPr>
          <w:shd w:val="clear" w:color="auto" w:fill="FFFFFF"/>
        </w:rPr>
      </w:pPr>
    </w:p>
    <w:p w14:paraId="1125A22C" w14:textId="7F081E39" w:rsidR="00E027AC" w:rsidRDefault="00E027AC" w:rsidP="00E027AC">
      <w:pPr>
        <w:pStyle w:val="L2JBody"/>
        <w:ind w:firstLine="0"/>
        <w:rPr>
          <w:shd w:val="clear" w:color="auto" w:fill="FFFFFF"/>
        </w:rPr>
      </w:pPr>
      <w:r w:rsidRPr="006368A5">
        <w:rPr>
          <w:shd w:val="clear" w:color="auto" w:fill="FFFFFF"/>
        </w:rPr>
        <w:t>In this study</w:t>
      </w:r>
      <w:r w:rsidRPr="006368A5">
        <w:rPr>
          <w:rFonts w:hint="eastAsia"/>
          <w:shd w:val="clear" w:color="auto" w:fill="FFFFFF"/>
        </w:rPr>
        <w:t>,</w:t>
      </w:r>
      <w:r w:rsidRPr="006368A5">
        <w:rPr>
          <w:shd w:val="clear" w:color="auto" w:fill="FFFFFF"/>
        </w:rPr>
        <w:t xml:space="preserve"> I have reviewed synthesis writing research to address the</w:t>
      </w:r>
      <w:r w:rsidRPr="006368A5">
        <w:rPr>
          <w:rFonts w:hint="eastAsia"/>
          <w:shd w:val="clear" w:color="auto" w:fill="FFFFFF"/>
        </w:rPr>
        <w:t xml:space="preserve"> following</w:t>
      </w:r>
      <w:r w:rsidRPr="006368A5">
        <w:rPr>
          <w:shd w:val="clear" w:color="auto" w:fill="FFFFFF"/>
        </w:rPr>
        <w:t xml:space="preserve"> issues: </w:t>
      </w:r>
      <w:r w:rsidRPr="006368A5">
        <w:rPr>
          <w:rFonts w:hint="eastAsia"/>
          <w:shd w:val="clear" w:color="auto" w:fill="FFFFFF"/>
        </w:rPr>
        <w:t>c</w:t>
      </w:r>
      <w:r w:rsidRPr="006368A5">
        <w:rPr>
          <w:shd w:val="clear" w:color="auto" w:fill="FFFFFF"/>
        </w:rPr>
        <w:t>ommon research contexts and participant groups, theoretical backgrounds, methodological approaches</w:t>
      </w:r>
      <w:r w:rsidRPr="006368A5">
        <w:rPr>
          <w:rFonts w:hint="eastAsia"/>
          <w:shd w:val="clear" w:color="auto" w:fill="FFFFFF"/>
        </w:rPr>
        <w:t>,</w:t>
      </w:r>
      <w:r w:rsidRPr="006368A5">
        <w:rPr>
          <w:shd w:val="clear" w:color="auto" w:fill="FFFFFF"/>
        </w:rPr>
        <w:t xml:space="preserve"> and key findings. I</w:t>
      </w:r>
      <w:r w:rsidRPr="006368A5">
        <w:rPr>
          <w:rFonts w:hint="eastAsia"/>
          <w:shd w:val="clear" w:color="auto" w:fill="FFFFFF"/>
        </w:rPr>
        <w:t xml:space="preserve"> found that most </w:t>
      </w:r>
      <w:r w:rsidRPr="006368A5">
        <w:rPr>
          <w:shd w:val="clear" w:color="auto" w:fill="FFFFFF"/>
        </w:rPr>
        <w:t>synthesis writing research has been conducted in North American contexts with cognitive approaches. Methodologically, researchers used slightly more quantitative</w:t>
      </w:r>
      <w:r w:rsidRPr="006368A5">
        <w:rPr>
          <w:rFonts w:hint="eastAsia"/>
          <w:shd w:val="clear" w:color="auto" w:fill="FFFFFF"/>
        </w:rPr>
        <w:t xml:space="preserve"> methods compared to</w:t>
      </w:r>
      <w:r w:rsidRPr="006368A5">
        <w:rPr>
          <w:shd w:val="clear" w:color="auto" w:fill="FFFFFF"/>
        </w:rPr>
        <w:t xml:space="preserve"> qualitative to </w:t>
      </w:r>
      <w:r w:rsidRPr="006368A5">
        <w:rPr>
          <w:rFonts w:hint="eastAsia"/>
          <w:shd w:val="clear" w:color="auto" w:fill="FFFFFF"/>
        </w:rPr>
        <w:t xml:space="preserve">investigate </w:t>
      </w:r>
      <w:r w:rsidRPr="006368A5">
        <w:rPr>
          <w:shd w:val="clear" w:color="auto" w:fill="FFFFFF"/>
        </w:rPr>
        <w:t>source use, predictors of writing quality, writing processes, and instructional effects. In this section</w:t>
      </w:r>
      <w:r w:rsidRPr="006368A5">
        <w:rPr>
          <w:rFonts w:hint="eastAsia"/>
          <w:shd w:val="clear" w:color="auto" w:fill="FFFFFF"/>
        </w:rPr>
        <w:t>,</w:t>
      </w:r>
      <w:r w:rsidRPr="006368A5">
        <w:rPr>
          <w:shd w:val="clear" w:color="auto" w:fill="FFFFFF"/>
        </w:rPr>
        <w:t xml:space="preserve"> I provide possible explanations for the current findings and their relationship with other studies in the literature.</w:t>
      </w:r>
    </w:p>
    <w:p w14:paraId="65DE1021" w14:textId="77777777" w:rsidR="00E027AC" w:rsidRPr="006368A5" w:rsidRDefault="00E027AC" w:rsidP="00E027AC">
      <w:pPr>
        <w:pStyle w:val="L2JH2"/>
        <w:rPr>
          <w:shd w:val="clear" w:color="auto" w:fill="FFFFFF"/>
        </w:rPr>
      </w:pPr>
    </w:p>
    <w:p w14:paraId="4016DDC4" w14:textId="23A9BF24" w:rsidR="00E027AC" w:rsidRDefault="00E027AC" w:rsidP="00E027AC">
      <w:pPr>
        <w:pStyle w:val="L2JH2"/>
      </w:pPr>
      <w:r w:rsidRPr="00E027AC">
        <w:t>Prominence of Research Attention on ESL Students in North America</w:t>
      </w:r>
    </w:p>
    <w:p w14:paraId="3296ACD3" w14:textId="77777777" w:rsidR="00E027AC" w:rsidRDefault="00E027AC" w:rsidP="00E027AC">
      <w:pPr>
        <w:pStyle w:val="L2JBody"/>
        <w:ind w:firstLine="0"/>
        <w:rPr>
          <w:shd w:val="clear" w:color="auto" w:fill="FFFFFF"/>
        </w:rPr>
      </w:pPr>
    </w:p>
    <w:p w14:paraId="6EC18AFF" w14:textId="26CA1BBB" w:rsidR="00E027AC" w:rsidRPr="006368A5" w:rsidRDefault="00E027AC" w:rsidP="00E027AC">
      <w:pPr>
        <w:pStyle w:val="L2JBody"/>
        <w:ind w:firstLine="0"/>
        <w:rPr>
          <w:shd w:val="clear" w:color="auto" w:fill="FFFFFF"/>
        </w:rPr>
      </w:pPr>
      <w:r w:rsidRPr="006368A5">
        <w:rPr>
          <w:rFonts w:hint="eastAsia"/>
          <w:shd w:val="clear" w:color="auto" w:fill="FFFFFF"/>
        </w:rPr>
        <w:t xml:space="preserve">A possible reason for </w:t>
      </w:r>
      <w:r w:rsidRPr="006368A5">
        <w:rPr>
          <w:shd w:val="clear" w:color="auto" w:fill="FFFFFF"/>
        </w:rPr>
        <w:t>the amount of</w:t>
      </w:r>
      <w:r w:rsidRPr="006368A5">
        <w:rPr>
          <w:rFonts w:hint="eastAsia"/>
          <w:shd w:val="clear" w:color="auto" w:fill="FFFFFF"/>
        </w:rPr>
        <w:t xml:space="preserve"> research conducted in North American contexts with L2 undergraduate students is connected to universities</w:t>
      </w:r>
      <w:r w:rsidRPr="006368A5">
        <w:rPr>
          <w:shd w:val="clear" w:color="auto" w:fill="FFFFFF"/>
        </w:rPr>
        <w:t xml:space="preserve"> in the United States</w:t>
      </w:r>
      <w:r w:rsidRPr="006368A5">
        <w:rPr>
          <w:rFonts w:hint="eastAsia"/>
          <w:shd w:val="clear" w:color="auto" w:fill="FFFFFF"/>
        </w:rPr>
        <w:t xml:space="preserve"> hav</w:t>
      </w:r>
      <w:r w:rsidRPr="006368A5">
        <w:rPr>
          <w:shd w:val="clear" w:color="auto" w:fill="FFFFFF"/>
        </w:rPr>
        <w:t>ing</w:t>
      </w:r>
      <w:r w:rsidRPr="006368A5">
        <w:rPr>
          <w:rFonts w:hint="eastAsia"/>
          <w:shd w:val="clear" w:color="auto" w:fill="FFFFFF"/>
        </w:rPr>
        <w:t xml:space="preserve"> accept</w:t>
      </w:r>
      <w:r w:rsidRPr="006368A5">
        <w:rPr>
          <w:shd w:val="clear" w:color="auto" w:fill="FFFFFF"/>
        </w:rPr>
        <w:t>ed</w:t>
      </w:r>
      <w:r w:rsidRPr="006368A5">
        <w:rPr>
          <w:rFonts w:hint="eastAsia"/>
          <w:shd w:val="clear" w:color="auto" w:fill="FFFFFF"/>
        </w:rPr>
        <w:t xml:space="preserve"> the highest number of international students </w:t>
      </w:r>
      <w:r w:rsidRPr="006368A5">
        <w:rPr>
          <w:shd w:val="clear" w:color="auto" w:fill="FFFFFF"/>
        </w:rPr>
        <w:t xml:space="preserve">worldwide </w:t>
      </w:r>
      <w:r w:rsidRPr="006368A5">
        <w:rPr>
          <w:rFonts w:hint="eastAsia"/>
          <w:shd w:val="clear" w:color="auto" w:fill="FFFFFF"/>
        </w:rPr>
        <w:t xml:space="preserve">since </w:t>
      </w:r>
      <w:r w:rsidRPr="006368A5">
        <w:rPr>
          <w:shd w:val="clear" w:color="auto" w:fill="FFFFFF"/>
        </w:rPr>
        <w:t xml:space="preserve">the </w:t>
      </w:r>
      <w:r w:rsidRPr="006368A5">
        <w:rPr>
          <w:rFonts w:hint="eastAsia"/>
          <w:shd w:val="clear" w:color="auto" w:fill="FFFFFF"/>
        </w:rPr>
        <w:t xml:space="preserve">1950s </w:t>
      </w:r>
      <w:r w:rsidRPr="006368A5">
        <w:rPr>
          <w:shd w:val="clear" w:color="auto" w:fill="FFFFFF"/>
        </w:rPr>
        <w:fldChar w:fldCharType="begin"/>
      </w:r>
      <w:r w:rsidRPr="006368A5">
        <w:rPr>
          <w:shd w:val="clear" w:color="auto" w:fill="FFFFFF"/>
        </w:rPr>
        <w:instrText xml:space="preserve"> ADDIN ZOTERO_ITEM CSL_CITATION {"citationID":"EbgzB4sG","properties":{"formattedCitation":"(Israel &amp; Batalova, 2021)","plainCitation":"(Israel &amp; Batalova, 2021)","noteIndex":0},"citationItems":[{"id":3574,"uris":["http://zotero.org/users/9207091/items/25RYV4B5"],"itemData":{"id":3574,"type":"post","container-title":"Migration Policy Institute","title":"International students in the United States","author":[{"family":"Israel","given":"Emma"},{"family":"Batalova","given":"Jeanne"}],"issued":{"date-parts":[["2021",1,14]]}}}],"schema":"https://github.com/citation-style-language/schema/raw/master/csl-citation.json"} </w:instrText>
      </w:r>
      <w:r w:rsidRPr="006368A5">
        <w:rPr>
          <w:shd w:val="clear" w:color="auto" w:fill="FFFFFF"/>
        </w:rPr>
        <w:fldChar w:fldCharType="separate"/>
      </w:r>
      <w:r w:rsidRPr="006368A5">
        <w:rPr>
          <w:rFonts w:cs="Times New Roman"/>
        </w:rPr>
        <w:t>(Israel &amp; Batalova, 2021)</w:t>
      </w:r>
      <w:r w:rsidRPr="006368A5">
        <w:rPr>
          <w:shd w:val="clear" w:color="auto" w:fill="FFFFFF"/>
        </w:rPr>
        <w:fldChar w:fldCharType="end"/>
      </w:r>
      <w:r w:rsidRPr="006368A5">
        <w:rPr>
          <w:rFonts w:hint="eastAsia"/>
          <w:shd w:val="clear" w:color="auto" w:fill="FFFFFF"/>
        </w:rPr>
        <w:t xml:space="preserve">, which </w:t>
      </w:r>
      <w:r w:rsidRPr="006368A5">
        <w:rPr>
          <w:shd w:val="clear" w:color="auto" w:fill="FFFFFF"/>
        </w:rPr>
        <w:t xml:space="preserve">has </w:t>
      </w:r>
      <w:r w:rsidRPr="006368A5">
        <w:rPr>
          <w:rFonts w:hint="eastAsia"/>
          <w:shd w:val="clear" w:color="auto" w:fill="FFFFFF"/>
        </w:rPr>
        <w:t xml:space="preserve">led to a surge of </w:t>
      </w:r>
      <w:r w:rsidRPr="006368A5">
        <w:rPr>
          <w:shd w:val="clear" w:color="auto" w:fill="FFFFFF"/>
        </w:rPr>
        <w:t>“</w:t>
      </w:r>
      <w:r w:rsidRPr="006368A5">
        <w:rPr>
          <w:rFonts w:hint="eastAsia"/>
          <w:shd w:val="clear" w:color="auto" w:fill="FFFFFF"/>
        </w:rPr>
        <w:t>ESL programs.</w:t>
      </w:r>
      <w:r w:rsidRPr="006368A5">
        <w:rPr>
          <w:shd w:val="clear" w:color="auto" w:fill="FFFFFF"/>
        </w:rPr>
        <w:t>”</w:t>
      </w:r>
      <w:r w:rsidRPr="006368A5">
        <w:rPr>
          <w:rFonts w:hint="eastAsia"/>
          <w:shd w:val="clear" w:color="auto" w:fill="FFFFFF"/>
        </w:rPr>
        <w:t xml:space="preserve"> </w:t>
      </w:r>
      <w:r w:rsidRPr="006368A5">
        <w:rPr>
          <w:shd w:val="clear" w:color="auto" w:fill="FFFFFF"/>
        </w:rPr>
        <w:t xml:space="preserve">Thus, </w:t>
      </w:r>
      <w:r w:rsidRPr="006368A5">
        <w:rPr>
          <w:rFonts w:hint="eastAsia"/>
          <w:shd w:val="clear" w:color="auto" w:fill="FFFFFF"/>
        </w:rPr>
        <w:t xml:space="preserve">writing scholars </w:t>
      </w:r>
      <w:r w:rsidRPr="006368A5">
        <w:rPr>
          <w:shd w:val="clear" w:color="auto" w:fill="FFFFFF"/>
        </w:rPr>
        <w:t xml:space="preserve">have </w:t>
      </w:r>
      <w:r w:rsidRPr="006368A5">
        <w:rPr>
          <w:rFonts w:hint="eastAsia"/>
          <w:shd w:val="clear" w:color="auto" w:fill="FFFFFF"/>
        </w:rPr>
        <w:t>conduct</w:t>
      </w:r>
      <w:r w:rsidRPr="006368A5">
        <w:rPr>
          <w:shd w:val="clear" w:color="auto" w:fill="FFFFFF"/>
        </w:rPr>
        <w:t>ed</w:t>
      </w:r>
      <w:r w:rsidRPr="006368A5">
        <w:rPr>
          <w:rFonts w:hint="eastAsia"/>
          <w:shd w:val="clear" w:color="auto" w:fill="FFFFFF"/>
        </w:rPr>
        <w:t xml:space="preserve"> more research on L2 writing to help meet the needs of these </w:t>
      </w:r>
      <w:r w:rsidRPr="006368A5">
        <w:rPr>
          <w:shd w:val="clear" w:color="auto" w:fill="FFFFFF"/>
        </w:rPr>
        <w:t xml:space="preserve">students, especially </w:t>
      </w:r>
      <w:r w:rsidRPr="006368A5">
        <w:rPr>
          <w:rFonts w:hint="eastAsia"/>
          <w:shd w:val="clear" w:color="auto" w:fill="FFFFFF"/>
        </w:rPr>
        <w:t xml:space="preserve">their challenges in English academic writing </w:t>
      </w:r>
      <w:r w:rsidRPr="006368A5">
        <w:rPr>
          <w:shd w:val="clear" w:color="auto" w:fill="FFFFFF"/>
        </w:rPr>
        <w:fldChar w:fldCharType="begin"/>
      </w:r>
      <w:r w:rsidRPr="006368A5">
        <w:rPr>
          <w:shd w:val="clear" w:color="auto" w:fill="FFFFFF"/>
        </w:rPr>
        <w:instrText xml:space="preserve"> ADDIN ZOTERO_ITEM CSL_CITATION {"citationID":"3Oq3dZ0f","properties":{"formattedCitation":"(Neumann et al., 2019; M. Riazi et al., 2018)","plainCitation":"(Neumann et al., 2019; M. Riazi et al., 2018)","noteIndex":0},"citationItems":[{"id":10,"uris":["http://zotero.org/users/9207091/items/85EXDJ8T"],"itemData":{"id":10,"type":"article-journal","abstract":"Researchers have called for the development of new pedagogical strategies to help students learn how to integrate source information into their own texts effectively (Casanave, 2017; Hu, 2015). Since these strategies are tied to particular pedagogical contexts, their development has to be preceded by a careful examination of the context where they will be implemented. To that end, the current study examined how students use sources in their own writing at an English-medium university in Canada and what challenges they face in doing so. Notes and essays written by English for Academic Purposes (EAP) students (N ¼ 73) were analyzed in terms of how they used source text information. A subset of the students and ﬁve experienced instructors were interviewed to gain insight into students’ challenges with the source-based writing tasks required in the EAP program. The ﬁndings indicate that students face difﬁculty with both the reading and writing phases of sourcebased writing, which has implications for the development of pedagogical strategies to address these difﬁculties.","container-title":"Journal of English for Academic Purposes","DOI":"10.1016/j.jeap.2019.02.002","ISSN":"14751585","journalAbbreviation":"Journal of English for Academic Purposes","language":"en","page":"106-120","source":"DOI.org (Crossref)","title":"L2 writers’ use of outside sources and the related challenges","volume":"38","author":[{"family":"Neumann","given":"Heike"},{"family":"Leu","given":"Sarah"},{"family":"McDonough","given":"Kim"}],"issued":{"date-parts":[["2019",3]]}}},{"id":3095,"uris":["http://zotero.org/users/9207091/items/6TUVH797"],"itemData":{"id":3095,"type":"article-journal","abstract":"In this historical survey, we review 272 empirical research articles published in the Journal of Second Language Writing (JSLW) over its ﬁrst quarter century of publication. We report overall and periodic analyses (1992–1999, 2000–2010, 2011–2016) in respect to the following themes: (1) contexts and participants, (2) research foci and theoretical orientations, and (3) research methodology and data sources. The typical research contexts and participants were undergraduates in U.S. universities or colleges. The most common research foci were feedback and writing instruction and the main theoretical orientations were cognitive, social, socio-cognitive, genre, contrastive rhetoric, and critical theories. The most frequently used research methodology was qualitative and the top three data sources used by L2 writing researchers were multiple sources, text samples, and elicitation. Based on the ﬁndings, we make suggestions for future research in studies of L2 writing. Along with Tony Silva’s reﬂections on our results, the present analysis gives readers a birds-eye view of the scholarship on L2 writing over the last 25 years as represented in the JSLW.","container-title":"Journal of Second Language Writing","DOI":"10.1016/j.jslw.2018.07.002","ISSN":"10603743","journalAbbreviation":"Journal of Second Language Writing","language":"en","page":"41-54","source":"DOI.org (Crossref)","title":"Analysis of the empirical research in the journal of second language writing at its 25th year (1992–2016)","volume":"41","author":[{"family":"Riazi","given":"Mehdi"},{"family":"Shi","given":"Ling"},{"family":"Haggerty","given":"John"}],"issued":{"date-parts":[["2018",9]]}}}],"schema":"https://github.com/citation-style-language/schema/raw/master/csl-citation.json"} </w:instrText>
      </w:r>
      <w:r w:rsidRPr="006368A5">
        <w:rPr>
          <w:shd w:val="clear" w:color="auto" w:fill="FFFFFF"/>
        </w:rPr>
        <w:fldChar w:fldCharType="separate"/>
      </w:r>
      <w:r w:rsidRPr="006368A5">
        <w:rPr>
          <w:rFonts w:cs="Times New Roman"/>
        </w:rPr>
        <w:t>(Neumann et al., 2019; Riazi et al., 2018)</w:t>
      </w:r>
      <w:r w:rsidRPr="006368A5">
        <w:rPr>
          <w:shd w:val="clear" w:color="auto" w:fill="FFFFFF"/>
        </w:rPr>
        <w:fldChar w:fldCharType="end"/>
      </w:r>
      <w:r w:rsidRPr="006368A5">
        <w:rPr>
          <w:rFonts w:hint="eastAsia"/>
          <w:shd w:val="clear" w:color="auto" w:fill="FFFFFF"/>
        </w:rPr>
        <w:t xml:space="preserve">. A similar pattern was </w:t>
      </w:r>
      <w:r w:rsidRPr="006368A5">
        <w:rPr>
          <w:rFonts w:hint="eastAsia"/>
          <w:shd w:val="clear" w:color="auto" w:fill="FFFFFF"/>
        </w:rPr>
        <w:lastRenderedPageBreak/>
        <w:t xml:space="preserve">observed in Canada with </w:t>
      </w:r>
      <w:r w:rsidRPr="006368A5">
        <w:rPr>
          <w:shd w:val="clear" w:color="auto" w:fill="FFFFFF"/>
        </w:rPr>
        <w:t xml:space="preserve">large numbers of </w:t>
      </w:r>
      <w:r w:rsidRPr="006368A5">
        <w:rPr>
          <w:rFonts w:hint="eastAsia"/>
          <w:shd w:val="clear" w:color="auto" w:fill="FFFFFF"/>
        </w:rPr>
        <w:t>L2 students admitted into ESL writing programs, result</w:t>
      </w:r>
      <w:r w:rsidRPr="006368A5">
        <w:rPr>
          <w:shd w:val="clear" w:color="auto" w:fill="FFFFFF"/>
        </w:rPr>
        <w:t>ing</w:t>
      </w:r>
      <w:r w:rsidRPr="006368A5">
        <w:rPr>
          <w:rFonts w:hint="eastAsia"/>
          <w:shd w:val="clear" w:color="auto" w:fill="FFFFFF"/>
        </w:rPr>
        <w:t xml:space="preserve"> in many L2 learner-oriented writing studies </w:t>
      </w:r>
      <w:r w:rsidRPr="006368A5">
        <w:rPr>
          <w:shd w:val="clear" w:color="auto" w:fill="FFFFFF"/>
        </w:rPr>
        <w:fldChar w:fldCharType="begin"/>
      </w:r>
      <w:r w:rsidRPr="006368A5">
        <w:rPr>
          <w:shd w:val="clear" w:color="auto" w:fill="FFFFFF"/>
        </w:rPr>
        <w:instrText xml:space="preserve"> ADDIN ZOTERO_ITEM CSL_CITATION {"citationID":"ExlASbtP","properties":{"formattedCitation":"(A. Riazi, 1997)","plainCitation":"(A. Riazi, 1997)","noteIndex":0},"citationItems":[{"id":54,"uris":["http://zotero.org/users/9207091/items/QD7GYAHN"],"itemData":{"id":54,"type":"article-journal","container-title":"Journal of second language writing","issue":"2","note":"publisher: Elsevier","page":"105–137","source":"Google Scholar","title":"Acquiring disciplinary literacy: A social-cognitive analysis of text production and learning among Iranian graduate students of education","title-short":"Acquiring disciplinary literacy","volume":"6","author":[{"family":"Riazi","given":"Abdolmehdi"}],"issued":{"date-parts":[["1997"]]}}}],"schema":"https://github.com/citation-style-language/schema/raw/master/csl-citation.json"} </w:instrText>
      </w:r>
      <w:r w:rsidRPr="006368A5">
        <w:rPr>
          <w:shd w:val="clear" w:color="auto" w:fill="FFFFFF"/>
        </w:rPr>
        <w:fldChar w:fldCharType="separate"/>
      </w:r>
      <w:r w:rsidRPr="006368A5">
        <w:rPr>
          <w:rFonts w:cs="Times New Roman"/>
        </w:rPr>
        <w:t>(Riazi, 1997)</w:t>
      </w:r>
      <w:r w:rsidRPr="006368A5">
        <w:rPr>
          <w:shd w:val="clear" w:color="auto" w:fill="FFFFFF"/>
        </w:rPr>
        <w:fldChar w:fldCharType="end"/>
      </w:r>
      <w:r w:rsidRPr="006368A5">
        <w:rPr>
          <w:rFonts w:hint="eastAsia"/>
          <w:shd w:val="clear" w:color="auto" w:fill="FFFFFF"/>
        </w:rPr>
        <w:t xml:space="preserve">. </w:t>
      </w:r>
    </w:p>
    <w:p w14:paraId="5DBF332D" w14:textId="4FF80775" w:rsidR="00E027AC" w:rsidRDefault="00E027AC" w:rsidP="00E027AC">
      <w:pPr>
        <w:pStyle w:val="L2JBody"/>
        <w:rPr>
          <w:shd w:val="clear" w:color="auto" w:fill="FFFFFF"/>
        </w:rPr>
      </w:pPr>
      <w:r w:rsidRPr="006368A5">
        <w:rPr>
          <w:shd w:val="clear" w:color="auto" w:fill="FFFFFF"/>
        </w:rPr>
        <w:t>A</w:t>
      </w:r>
      <w:r w:rsidRPr="006368A5">
        <w:rPr>
          <w:rFonts w:hint="eastAsia"/>
          <w:shd w:val="clear" w:color="auto" w:fill="FFFFFF"/>
        </w:rPr>
        <w:t xml:space="preserve"> close examination</w:t>
      </w:r>
      <w:r w:rsidRPr="006368A5">
        <w:rPr>
          <w:shd w:val="clear" w:color="auto" w:fill="FFFFFF"/>
        </w:rPr>
        <w:t xml:space="preserve"> of</w:t>
      </w:r>
      <w:r w:rsidRPr="006368A5">
        <w:rPr>
          <w:rFonts w:hint="eastAsia"/>
          <w:shd w:val="clear" w:color="auto" w:fill="FFFFFF"/>
        </w:rPr>
        <w:t xml:space="preserve"> two </w:t>
      </w:r>
      <w:r w:rsidRPr="006368A5">
        <w:rPr>
          <w:shd w:val="clear" w:color="auto" w:fill="FFFFFF"/>
        </w:rPr>
        <w:t xml:space="preserve">specific </w:t>
      </w:r>
      <w:r w:rsidRPr="006368A5">
        <w:rPr>
          <w:rFonts w:hint="eastAsia"/>
          <w:shd w:val="clear" w:color="auto" w:fill="FFFFFF"/>
        </w:rPr>
        <w:t>periods</w:t>
      </w:r>
      <w:r w:rsidRPr="006368A5">
        <w:rPr>
          <w:shd w:val="clear" w:color="auto" w:fill="FFFFFF"/>
        </w:rPr>
        <w:t xml:space="preserve">, </w:t>
      </w:r>
      <w:r w:rsidRPr="006368A5">
        <w:rPr>
          <w:rFonts w:hint="eastAsia"/>
          <w:shd w:val="clear" w:color="auto" w:fill="FFFFFF"/>
        </w:rPr>
        <w:t>2004</w:t>
      </w:r>
      <w:r w:rsidRPr="006368A5">
        <w:rPr>
          <w:rFonts w:ascii="Times New Roman" w:hAnsi="Times New Roman" w:cs="Times New Roman"/>
          <w:shd w:val="clear" w:color="auto" w:fill="FFFFFF"/>
        </w:rPr>
        <w:t>‒</w:t>
      </w:r>
      <w:r w:rsidRPr="006368A5">
        <w:rPr>
          <w:rFonts w:hint="eastAsia"/>
          <w:shd w:val="clear" w:color="auto" w:fill="FFFFFF"/>
        </w:rPr>
        <w:t>2014 and 2015</w:t>
      </w:r>
      <w:r w:rsidRPr="006368A5">
        <w:rPr>
          <w:rFonts w:ascii="Times New Roman" w:hAnsi="Times New Roman" w:cs="Times New Roman"/>
          <w:shd w:val="clear" w:color="auto" w:fill="FFFFFF"/>
        </w:rPr>
        <w:t>‒</w:t>
      </w:r>
      <w:r w:rsidRPr="006368A5">
        <w:rPr>
          <w:rFonts w:hint="eastAsia"/>
          <w:shd w:val="clear" w:color="auto" w:fill="FFFFFF"/>
        </w:rPr>
        <w:t>2024</w:t>
      </w:r>
      <w:r w:rsidRPr="006368A5">
        <w:rPr>
          <w:shd w:val="clear" w:color="auto" w:fill="FFFFFF"/>
        </w:rPr>
        <w:t>,</w:t>
      </w:r>
      <w:r w:rsidRPr="006368A5">
        <w:rPr>
          <w:rFonts w:hint="eastAsia"/>
          <w:shd w:val="clear" w:color="auto" w:fill="FFFFFF"/>
        </w:rPr>
        <w:t xml:space="preserve"> revealed that the U</w:t>
      </w:r>
      <w:r w:rsidRPr="006368A5">
        <w:rPr>
          <w:shd w:val="clear" w:color="auto" w:fill="FFFFFF"/>
        </w:rPr>
        <w:t>nited States</w:t>
      </w:r>
      <w:r w:rsidRPr="006368A5">
        <w:rPr>
          <w:rFonts w:hint="eastAsia"/>
          <w:shd w:val="clear" w:color="auto" w:fill="FFFFFF"/>
        </w:rPr>
        <w:t xml:space="preserve"> has always been the most dominant research site for synthesis writing (n=12 of 31, 39% for 2004</w:t>
      </w:r>
      <w:r w:rsidRPr="006368A5">
        <w:rPr>
          <w:rFonts w:ascii="Times New Roman" w:hAnsi="Times New Roman" w:cs="Times New Roman"/>
          <w:shd w:val="clear" w:color="auto" w:fill="FFFFFF"/>
        </w:rPr>
        <w:t>‒</w:t>
      </w:r>
      <w:r w:rsidRPr="006368A5">
        <w:rPr>
          <w:rFonts w:hint="eastAsia"/>
          <w:shd w:val="clear" w:color="auto" w:fill="FFFFFF"/>
        </w:rPr>
        <w:t>2014 and n=18 of 61, 30% for 2015</w:t>
      </w:r>
      <w:r w:rsidRPr="006368A5">
        <w:rPr>
          <w:rFonts w:ascii="Times New Roman" w:hAnsi="Times New Roman" w:cs="Times New Roman"/>
          <w:shd w:val="clear" w:color="auto" w:fill="FFFFFF"/>
        </w:rPr>
        <w:t>‒</w:t>
      </w:r>
      <w:r w:rsidRPr="006368A5">
        <w:rPr>
          <w:rFonts w:hint="eastAsia"/>
          <w:shd w:val="clear" w:color="auto" w:fill="FFFFFF"/>
        </w:rPr>
        <w:t>2024). Canada has</w:t>
      </w:r>
      <w:r w:rsidRPr="006368A5">
        <w:rPr>
          <w:shd w:val="clear" w:color="auto" w:fill="FFFFFF"/>
        </w:rPr>
        <w:t>,</w:t>
      </w:r>
      <w:r w:rsidRPr="006368A5">
        <w:rPr>
          <w:rFonts w:hint="eastAsia"/>
          <w:shd w:val="clear" w:color="auto" w:fill="FFFFFF"/>
        </w:rPr>
        <w:t xml:space="preserve"> </w:t>
      </w:r>
      <w:r w:rsidRPr="006368A5">
        <w:rPr>
          <w:shd w:val="clear" w:color="auto" w:fill="FFFFFF"/>
        </w:rPr>
        <w:t>h</w:t>
      </w:r>
      <w:r w:rsidRPr="006368A5">
        <w:rPr>
          <w:rFonts w:hint="eastAsia"/>
          <w:shd w:val="clear" w:color="auto" w:fill="FFFFFF"/>
        </w:rPr>
        <w:t xml:space="preserve">owever, become the second </w:t>
      </w:r>
      <w:r w:rsidRPr="006368A5">
        <w:rPr>
          <w:shd w:val="clear" w:color="auto" w:fill="FFFFFF"/>
        </w:rPr>
        <w:t xml:space="preserve">most </w:t>
      </w:r>
      <w:r w:rsidRPr="006368A5">
        <w:rPr>
          <w:rFonts w:hint="eastAsia"/>
          <w:shd w:val="clear" w:color="auto" w:fill="FFFFFF"/>
        </w:rPr>
        <w:t>dominant (n=10 of 61, 16%) only in the latest decade (2015</w:t>
      </w:r>
      <w:r w:rsidRPr="006368A5">
        <w:rPr>
          <w:rFonts w:ascii="Times New Roman" w:hAnsi="Times New Roman" w:cs="Times New Roman"/>
          <w:shd w:val="clear" w:color="auto" w:fill="FFFFFF"/>
        </w:rPr>
        <w:t>‒</w:t>
      </w:r>
      <w:r w:rsidRPr="006368A5">
        <w:rPr>
          <w:rFonts w:hint="eastAsia"/>
          <w:shd w:val="clear" w:color="auto" w:fill="FFFFFF"/>
        </w:rPr>
        <w:t>2024)</w:t>
      </w:r>
      <w:r w:rsidRPr="006368A5">
        <w:rPr>
          <w:shd w:val="clear" w:color="auto" w:fill="FFFFFF"/>
        </w:rPr>
        <w:t>,</w:t>
      </w:r>
      <w:r w:rsidRPr="006368A5">
        <w:rPr>
          <w:rFonts w:hint="eastAsia"/>
          <w:shd w:val="clear" w:color="auto" w:fill="FFFFFF"/>
        </w:rPr>
        <w:t xml:space="preserve"> overtaking Hong Kong (n=4 of 61, 7%), which was originally </w:t>
      </w:r>
      <w:r w:rsidRPr="006368A5">
        <w:rPr>
          <w:shd w:val="clear" w:color="auto" w:fill="FFFFFF"/>
        </w:rPr>
        <w:t xml:space="preserve">the site of </w:t>
      </w:r>
      <w:r w:rsidRPr="006368A5">
        <w:rPr>
          <w:rFonts w:hint="eastAsia"/>
          <w:shd w:val="clear" w:color="auto" w:fill="FFFFFF"/>
        </w:rPr>
        <w:t>13% (n=4 of 31)</w:t>
      </w:r>
      <w:r w:rsidRPr="006368A5">
        <w:rPr>
          <w:shd w:val="clear" w:color="auto" w:fill="FFFFFF"/>
        </w:rPr>
        <w:t xml:space="preserve"> of the studies</w:t>
      </w:r>
      <w:r w:rsidRPr="006368A5">
        <w:rPr>
          <w:rFonts w:hint="eastAsia"/>
          <w:shd w:val="clear" w:color="auto" w:fill="FFFFFF"/>
        </w:rPr>
        <w:t xml:space="preserve">. This pattern was supported by </w:t>
      </w:r>
      <w:r w:rsidRPr="006368A5">
        <w:rPr>
          <w:shd w:val="clear" w:color="auto" w:fill="FFFFFF"/>
        </w:rPr>
        <w:t xml:space="preserve">a </w:t>
      </w:r>
      <w:r w:rsidRPr="006368A5">
        <w:rPr>
          <w:rFonts w:hint="eastAsia"/>
          <w:shd w:val="clear" w:color="auto" w:fill="FFFFFF"/>
        </w:rPr>
        <w:t xml:space="preserve">review of 272 L2 writing studies </w:t>
      </w:r>
      <w:r w:rsidRPr="006368A5">
        <w:rPr>
          <w:shd w:val="clear" w:color="auto" w:fill="FFFFFF"/>
        </w:rPr>
        <w:t xml:space="preserve">by </w:t>
      </w:r>
      <w:r w:rsidRPr="006368A5">
        <w:rPr>
          <w:rFonts w:hint="eastAsia"/>
          <w:shd w:val="clear" w:color="auto" w:fill="FFFFFF"/>
        </w:rPr>
        <w:t xml:space="preserve">M. </w:t>
      </w:r>
      <w:r w:rsidRPr="006368A5">
        <w:rPr>
          <w:shd w:val="clear" w:color="auto" w:fill="FFFFFF"/>
        </w:rPr>
        <w:fldChar w:fldCharType="begin"/>
      </w:r>
      <w:r w:rsidRPr="006368A5">
        <w:rPr>
          <w:shd w:val="clear" w:color="auto" w:fill="FFFFFF"/>
        </w:rPr>
        <w:instrText xml:space="preserve"> ADDIN ZOTERO_ITEM CSL_CITATION {"citationID":"TiRllmgv","properties":{"formattedCitation":"(Riazi et al., 2018)","plainCitation":"(Riazi et al., 2018)","dontUpdate":true,"noteIndex":0},"citationItems":[{"id":3095,"uris":["http://zotero.org/users/9207091/items/6TUVH797"],"itemData":{"id":3095,"type":"article-journal","abstract":"In this historical survey, we review 272 empirical research articles published in the Journal of Second Language Writing (JSLW) over its ﬁrst quarter century of publication. We report overall and periodic analyses (1992–1999, 2000–2010, 2011–2016) in respect to the following themes: (1) contexts and participants, (2) research foci and theoretical orientations, and (3) research methodology and data sources. The typical research contexts and participants were undergraduates in U.S. universities or colleges. The most common research foci were feedback and writing instruction and the main theoretical orientations were cognitive, social, socio-cognitive, genre, contrastive rhetoric, and critical theories. The most frequently used research methodology was qualitative and the top three data sources used by L2 writing researchers were multiple sources, text samples, and elicitation. Based on the ﬁndings, we make suggestions for future research in studies of L2 writing. Along with Tony Silva’s reﬂections on our results, the present analysis gives readers a birds-eye view of the scholarship on L2 writing over the last 25 years as represented in the JSLW.","container-title":"Journal of Second Language Writing","DOI":"10.1016/j.jslw.2018.07.002","ISSN":"10603743","journalAbbreviation":"Journal of Second Language Writing","language":"en","page":"41-54","source":"DOI.org (Crossref)","title":"Analysis of the empirical research in the journal of second language writing at its 25th year (1992–2016)","volume":"41","author":[{"family":"Riazi","given":"Mehdi"},{"family":"Shi","given":"Ling"},{"family":"Haggerty","given":"John"}],"issued":{"date-parts":[["2018",9]]}}}],"schema":"https://github.com/citation-style-language/schema/raw/master/csl-citation.json"} </w:instrText>
      </w:r>
      <w:r w:rsidRPr="006368A5">
        <w:rPr>
          <w:shd w:val="clear" w:color="auto" w:fill="FFFFFF"/>
        </w:rPr>
        <w:fldChar w:fldCharType="separate"/>
      </w:r>
      <w:r w:rsidRPr="006368A5">
        <w:rPr>
          <w:rFonts w:cs="Times New Roman"/>
        </w:rPr>
        <w:t xml:space="preserve">Riazi et al. </w:t>
      </w:r>
      <w:r w:rsidRPr="006368A5">
        <w:rPr>
          <w:rFonts w:cs="Times New Roman" w:hint="eastAsia"/>
        </w:rPr>
        <w:t>(</w:t>
      </w:r>
      <w:r w:rsidRPr="006368A5">
        <w:rPr>
          <w:rFonts w:cs="Times New Roman"/>
        </w:rPr>
        <w:t>2018)</w:t>
      </w:r>
      <w:r w:rsidRPr="006368A5">
        <w:rPr>
          <w:shd w:val="clear" w:color="auto" w:fill="FFFFFF"/>
        </w:rPr>
        <w:fldChar w:fldCharType="end"/>
      </w:r>
      <w:r w:rsidRPr="006368A5">
        <w:rPr>
          <w:rFonts w:hint="eastAsia"/>
          <w:shd w:val="clear" w:color="auto" w:fill="FFFFFF"/>
        </w:rPr>
        <w:t xml:space="preserve">, </w:t>
      </w:r>
      <w:r w:rsidRPr="006368A5">
        <w:rPr>
          <w:shd w:val="clear" w:color="auto" w:fill="FFFFFF"/>
        </w:rPr>
        <w:t>who</w:t>
      </w:r>
      <w:r w:rsidRPr="006368A5">
        <w:rPr>
          <w:rFonts w:hint="eastAsia"/>
          <w:shd w:val="clear" w:color="auto" w:fill="FFFFFF"/>
        </w:rPr>
        <w:t xml:space="preserve"> also</w:t>
      </w:r>
      <w:r w:rsidRPr="006368A5">
        <w:rPr>
          <w:shd w:val="clear" w:color="auto" w:fill="FFFFFF"/>
        </w:rPr>
        <w:t xml:space="preserve"> </w:t>
      </w:r>
      <w:r w:rsidRPr="006368A5">
        <w:rPr>
          <w:rFonts w:hint="eastAsia"/>
          <w:shd w:val="clear" w:color="auto" w:fill="FFFFFF"/>
        </w:rPr>
        <w:t xml:space="preserve">found that L2 </w:t>
      </w:r>
      <w:r w:rsidRPr="006368A5">
        <w:rPr>
          <w:shd w:val="clear" w:color="auto" w:fill="FFFFFF"/>
        </w:rPr>
        <w:t>undergraduate</w:t>
      </w:r>
      <w:r w:rsidRPr="006368A5">
        <w:rPr>
          <w:rFonts w:hint="eastAsia"/>
          <w:shd w:val="clear" w:color="auto" w:fill="FFFFFF"/>
        </w:rPr>
        <w:t xml:space="preserve"> students in the U</w:t>
      </w:r>
      <w:r w:rsidRPr="006368A5">
        <w:rPr>
          <w:shd w:val="clear" w:color="auto" w:fill="FFFFFF"/>
        </w:rPr>
        <w:t>nited States</w:t>
      </w:r>
      <w:r w:rsidRPr="006368A5">
        <w:rPr>
          <w:rFonts w:hint="eastAsia"/>
          <w:shd w:val="clear" w:color="auto" w:fill="FFFFFF"/>
        </w:rPr>
        <w:t xml:space="preserve"> were the most common participants. </w:t>
      </w:r>
      <w:r w:rsidRPr="006368A5">
        <w:rPr>
          <w:shd w:val="clear" w:color="auto" w:fill="FFFFFF"/>
        </w:rPr>
        <w:t>Collectively, t</w:t>
      </w:r>
      <w:r w:rsidRPr="006368A5">
        <w:rPr>
          <w:rFonts w:hint="eastAsia"/>
          <w:shd w:val="clear" w:color="auto" w:fill="FFFFFF"/>
        </w:rPr>
        <w:t>hese results</w:t>
      </w:r>
      <w:r w:rsidRPr="006368A5">
        <w:rPr>
          <w:shd w:val="clear" w:color="auto" w:fill="FFFFFF"/>
        </w:rPr>
        <w:t xml:space="preserve"> </w:t>
      </w:r>
      <w:r w:rsidRPr="006368A5">
        <w:rPr>
          <w:rFonts w:hint="eastAsia"/>
          <w:shd w:val="clear" w:color="auto" w:fill="FFFFFF"/>
        </w:rPr>
        <w:t>suggest that synthesis writing has been the center of interest in EAP classrooms for incoming international undergraduate students in the U</w:t>
      </w:r>
      <w:r w:rsidRPr="006368A5">
        <w:rPr>
          <w:shd w:val="clear" w:color="auto" w:fill="FFFFFF"/>
        </w:rPr>
        <w:t>nited States</w:t>
      </w:r>
      <w:r w:rsidRPr="006368A5">
        <w:rPr>
          <w:rFonts w:hint="eastAsia"/>
          <w:shd w:val="clear" w:color="auto" w:fill="FFFFFF"/>
        </w:rPr>
        <w:t xml:space="preserve"> and Canada </w:t>
      </w:r>
      <w:r w:rsidRPr="006368A5">
        <w:rPr>
          <w:shd w:val="clear" w:color="auto" w:fill="FFFFFF"/>
        </w:rPr>
        <w:fldChar w:fldCharType="begin"/>
      </w:r>
      <w:r w:rsidRPr="006368A5">
        <w:rPr>
          <w:shd w:val="clear" w:color="auto" w:fill="FFFFFF"/>
        </w:rPr>
        <w:instrText xml:space="preserve"> ADDIN ZOTERO_ITEM CSL_CITATION {"citationID":"lEzTb5IH","properties":{"formattedCitation":"(Liu et al., 2016; Neumann et al., 2020)","plainCitation":"(Liu et al., 2016; Neumann et al., 2020)","noteIndex":0},"citationItems":[{"id":635,"uris":["http://zotero.org/users/9207091/items/NEYT9SZA"],"itemData":{"id":635,"type":"article-journal","abstract":"There is an urgency to improve source use among non-native speakers of English in the globalized era. This review examines problems and causes of second language (L2) English source misuse in the English as a Second Language (ESL) and English as a Foreign Language (EFL) environments, and proposes remedies for the problems. Thematic analysis resulted in issues related to L2 English misuse under the categories of (a) source use norms, (b) source use acquisition, and (c) ethical practice in L2 academic writing from 53 empirical studies. Furthermore, nine recommendations for L2 English source use pedagogy were derived to (a) ensure transparency in deﬁnitions, guidelines, and expectations, (b) build source use knowledge, and (c) engage L2 English writers in continuous practice and autonomous development of plagiarism avoidance. Finally, the authors provide an interrelational network among the nine themes as well as suggestions for enhancing L2 source use policies and education among institutions and practitioners aiming to improve source use for L2 English writers.","container-title":"Educational Research Review","DOI":"10.1016/j.edurev.2016.06.002","ISSN":"1747938X","journalAbbreviation":"Educational Research Review","language":"en","page":"36-57","source":"DOI.org (Crossref)","title":"Best practices in L2 English source use pedagogy: A thematic review and synthesis of empirical studies","title-short":"Best practices in L2 English source use pedagogy","volume":"19","author":[{"family":"Liu","given":"Gi-Zen"},{"family":"Lin","given":"Vivien"},{"family":"Kou","given":"Xiaojing"},{"family":"Wang","given":"Hong-You"}],"issued":{"date-parts":[["2016",11]]}}},{"id":1502,"uris":["http://zotero.org/users/9207091/items/MVWX4B4M"],"itemData":{"id":1502,"type":"article-journal","container-title":"TESL Canada Journal","issue":"1","note":"ISBN: 1925-8917","page":"1-21","title":"Does the quality of source notes matter? An exploratory study of source-based academic writing","volume":"37","author":[{"family":"Neumann","given":"Heike"},{"family":"Leu","given":"Sarah"},{"family":"McDonough","given":"Kim"},{"family":"Gil","given":"Leslie"},{"family":"Crawford","given":"Bonnie"}],"issued":{"date-parts":[["2020"]]}}}],"schema":"https://github.com/citation-style-language/schema/raw/master/csl-citation.json"} </w:instrText>
      </w:r>
      <w:r w:rsidRPr="006368A5">
        <w:rPr>
          <w:shd w:val="clear" w:color="auto" w:fill="FFFFFF"/>
        </w:rPr>
        <w:fldChar w:fldCharType="separate"/>
      </w:r>
      <w:r w:rsidRPr="006368A5">
        <w:rPr>
          <w:rFonts w:cs="Times New Roman"/>
        </w:rPr>
        <w:t>(Liu et al., 2016; Neumann et al., 2020)</w:t>
      </w:r>
      <w:r w:rsidRPr="006368A5">
        <w:rPr>
          <w:shd w:val="clear" w:color="auto" w:fill="FFFFFF"/>
        </w:rPr>
        <w:fldChar w:fldCharType="end"/>
      </w:r>
      <w:r w:rsidRPr="006368A5">
        <w:rPr>
          <w:shd w:val="clear" w:color="auto" w:fill="FFFFFF"/>
        </w:rPr>
        <w:t>.</w:t>
      </w:r>
    </w:p>
    <w:p w14:paraId="1947473F" w14:textId="77777777" w:rsidR="00E027AC" w:rsidRPr="00E027AC" w:rsidRDefault="00E027AC" w:rsidP="00E027AC">
      <w:pPr>
        <w:pStyle w:val="L2JBody"/>
        <w:rPr>
          <w:shd w:val="clear" w:color="auto" w:fill="FFFFFF"/>
        </w:rPr>
      </w:pPr>
    </w:p>
    <w:p w14:paraId="65808367" w14:textId="5970F6F6" w:rsidR="00E027AC" w:rsidRDefault="00E027AC" w:rsidP="00E027AC">
      <w:pPr>
        <w:pStyle w:val="L2JH2"/>
        <w:rPr>
          <w:shd w:val="clear" w:color="auto" w:fill="FFFFFF"/>
        </w:rPr>
      </w:pPr>
      <w:r w:rsidRPr="006368A5">
        <w:rPr>
          <w:rFonts w:hint="eastAsia"/>
          <w:shd w:val="clear" w:color="auto" w:fill="FFFFFF"/>
        </w:rPr>
        <w:t>Need for Further Specification of Source Use</w:t>
      </w:r>
    </w:p>
    <w:p w14:paraId="2C279CBC" w14:textId="77777777" w:rsidR="00E027AC" w:rsidRPr="00E027AC" w:rsidRDefault="00E027AC" w:rsidP="00E027AC">
      <w:pPr>
        <w:pStyle w:val="L2JBody"/>
      </w:pPr>
    </w:p>
    <w:p w14:paraId="0E3DF1DE" w14:textId="77777777" w:rsidR="00E027AC" w:rsidRPr="00E027AC" w:rsidRDefault="00E027AC" w:rsidP="00E027AC">
      <w:pPr>
        <w:pStyle w:val="L2JBody"/>
        <w:ind w:firstLine="0"/>
      </w:pPr>
      <w:r w:rsidRPr="00E027AC">
        <w:rPr>
          <w:rFonts w:hint="eastAsia"/>
        </w:rPr>
        <w:t xml:space="preserve">Source use and integrations have been reported as the single most important topic in synthesis writing not only because they are a core </w:t>
      </w:r>
      <w:r w:rsidRPr="00E027AC">
        <w:t>component</w:t>
      </w:r>
      <w:r w:rsidRPr="00E027AC">
        <w:rPr>
          <w:rFonts w:hint="eastAsia"/>
        </w:rPr>
        <w:t xml:space="preserve"> of the synthesis construct but also </w:t>
      </w:r>
      <w:r w:rsidRPr="00E027AC">
        <w:t>because of</w:t>
      </w:r>
      <w:r w:rsidRPr="00E027AC">
        <w:rPr>
          <w:rFonts w:hint="eastAsia"/>
        </w:rPr>
        <w:t xml:space="preserve"> the need to respond to students</w:t>
      </w:r>
      <w:r w:rsidRPr="00E027AC">
        <w:t>’</w:t>
      </w:r>
      <w:r w:rsidRPr="00E027AC">
        <w:rPr>
          <w:rFonts w:hint="eastAsia"/>
        </w:rPr>
        <w:t xml:space="preserve"> continued challenges </w:t>
      </w:r>
      <w:r w:rsidRPr="00E027AC">
        <w:fldChar w:fldCharType="begin"/>
      </w:r>
      <w:r w:rsidRPr="00E027AC">
        <w:instrText xml:space="preserve"> ADDIN ZOTERO_ITEM CSL_CITATION {"citationID":"ODvdiP9c","properties":{"formattedCitation":"(Doolan, 2021; Payant et al., 2019)","plainCitation":"(Doolan, 2021; Payant et al., 2019)","noteIndex":0},"citationItems":[{"id":169,"uris":["http://zotero.org/users/9207091/items/DI7W7GMP"],"itemData":{"id":169,"type":"article-journal","abstract":"Post-secondary students across the curriculum are commonly required to integrate source text material into their academic writing. While writing from multiple sources occurs frequently in higher education (Rosenfeld et al., 2001) and is a cognitively demanding task, few studies have investigated the types of source integration used by L1 and L2 writers entering post-secondary, ﬁrst-year composition (Cumming et al., 2016). This study compares L1 and L2 in-class writing from multiple sources to quantitatively investigate similarities and differences in (1) use of various types of source integration (e.g., citations, paraphrases, direct quotes), and (2) use of ideational units. The writing was also analyzed qualitatively to follow up on select patterns from the quantitative ﬁndings. Results indicated that despite lower holistic writing quality scores, the L2 writing, in certain respects, demonstrated more responsible use of various types of source integration compared to L1 writing. The analysis also revealed very low frequencies of synthesis writing for both L1 and L2 writing. Finally, the ﬁndings are discussed as they relate to simpliﬁed versus elaborative integration of source material in student writing.","container-title":"English for Specific Purposes","DOI":"10.1016/j.esp.2021.01.003","ISSN":"08894906","journalAbbreviation":"English for Specific Purposes","language":"en","page":"128-141","source":"DOI.org (Crossref)","title":"An exploratory analysis of source integration in post-secondary L1 and L2 source-based writing","volume":"62","author":[{"family":"Doolan","given":"Stephen M."}],"issued":{"date-parts":[["2021",4]]}}},{"id":646,"uris":["http://zotero.org/users/9207091/items/CRJY8SKN"],"itemData":{"id":646,"type":"article-journal","abstract":"Integrated writing tasks are widely used in L2 academic proﬁciency tests (Cohen, 2009) even though L2 writers experience challenges with the comprehension and integration of source ideas (Plakans &amp; Gebril, 2013). Relatively few studies have examined whether prewriting planning helps mitigate these challenges (Hayes, 1996) or whether L2 writers' individual differences affect any potential beneﬁts for prewriting planning. Therefore, this study explores the contribution of source comprehension, individual differences, and prewriting planning to English L2 writers' performance on a Canadian Academic English Language (CAEL) Assessment integrated writing task. English for academic purposes students (N ¼ 111) carried out reading comprehension, listening comprehension and integrated writing sections of a CAEL test, writing anxiety and self-efﬁcacy questionnaires, and a semi-structured interview. CAEL writing band scores along with reading and listening comprehension scores were obtained and participants' prewriting planning notes were analyzed in terms of their strategies and degree of elaboration. Multiple regression models indicated that anxiety and reading scores were signiﬁcant predictors of CAEL writing band scores, and the interview data provided greater insights into the L2 writers' reading-toplan strategies and challenges. Pedagogical implications are discussed to increase students' understanding of the connections between reading comprehension and prewriting planning.","container-title":"Journal of English for Academic Purposes","DOI":"10.1016/j.jeap.2019.06.001","ISSN":"14751585","journalAbbreviation":"Journal of English for Academic Purposes","language":"en","page":"87-97","source":"DOI.org (Crossref)","title":"Predicting integrated writing task performance: Source comprehension, prewriting planning, and individual differences","title-short":"Predicting integrated writing task performance","volume":"40","author":[{"family":"Payant","given":"Caroline"},{"family":"McDonough","given":"Kim"},{"family":"Uludag","given":"Pakize"},{"family":"Lindberg","given":"Rachael"}],"issued":{"date-parts":[["2019",7]]}}}],"schema":"https://github.com/citation-style-language/schema/raw/master/csl-citation.json"} </w:instrText>
      </w:r>
      <w:r w:rsidRPr="00E027AC">
        <w:fldChar w:fldCharType="separate"/>
      </w:r>
      <w:r w:rsidRPr="00E027AC">
        <w:t>(Doolan, 2021; Payant et al., 2019)</w:t>
      </w:r>
      <w:r w:rsidRPr="00E027AC">
        <w:fldChar w:fldCharType="end"/>
      </w:r>
      <w:r w:rsidRPr="00E027AC">
        <w:rPr>
          <w:rFonts w:hint="eastAsia"/>
        </w:rPr>
        <w:t>. The importance of source use bec</w:t>
      </w:r>
      <w:r w:rsidRPr="00E027AC">
        <w:t>a</w:t>
      </w:r>
      <w:r w:rsidRPr="00E027AC">
        <w:rPr>
          <w:rFonts w:hint="eastAsia"/>
        </w:rPr>
        <w:t xml:space="preserve">me more pronounced after the revision of the TOEFL </w:t>
      </w:r>
      <w:r w:rsidRPr="00E027AC">
        <w:t xml:space="preserve">by the </w:t>
      </w:r>
      <w:r w:rsidRPr="00E027AC">
        <w:rPr>
          <w:rFonts w:hint="eastAsia"/>
        </w:rPr>
        <w:t xml:space="preserve">Educational Testing Service in 2005, incorporating new features including an integrated writing </w:t>
      </w:r>
      <w:r w:rsidRPr="00E027AC">
        <w:t>task</w:t>
      </w:r>
      <w:r w:rsidRPr="00E027AC">
        <w:rPr>
          <w:rFonts w:hint="eastAsia"/>
        </w:rPr>
        <w:t xml:space="preserve"> </w:t>
      </w:r>
      <w:r w:rsidRPr="00E027AC">
        <w:fldChar w:fldCharType="begin"/>
      </w:r>
      <w:r w:rsidRPr="00E027AC">
        <w:instrText xml:space="preserve"> ADDIN ZOTERO_ITEM CSL_CITATION {"citationID":"FyToiCWC","properties":{"formattedCitation":"(ETS, 2018)","plainCitation":"(ETS, 2018)","noteIndex":0},"citationItems":[{"id":3575,"uris":["http://zotero.org/users/9207091/items/VGASTY25"],"itemData":{"id":3575,"type":"report","collection-title":"TOEFL® Research INSIGHT","number":"Volume 6","publisher":"Educational Testing Service","title":"TOEFL® Program History","URL":"https://www.ets.org/pdfs/toefl/toefl-ibt-insight-s1v6.pdf","author":[{"family":"ETS","given":""}],"issued":{"date-parts":[["2018"]]}}}],"schema":"https://github.com/citation-style-language/schema/raw/master/csl-citation.json"} </w:instrText>
      </w:r>
      <w:r w:rsidRPr="00E027AC">
        <w:fldChar w:fldCharType="separate"/>
      </w:r>
      <w:r w:rsidRPr="00E027AC">
        <w:t>(ETS, 2018)</w:t>
      </w:r>
      <w:r w:rsidRPr="00E027AC">
        <w:fldChar w:fldCharType="end"/>
      </w:r>
      <w:r w:rsidRPr="00E027AC">
        <w:rPr>
          <w:rFonts w:hint="eastAsia"/>
        </w:rPr>
        <w:t xml:space="preserve">. Such an assessment change can account for the </w:t>
      </w:r>
      <w:r w:rsidRPr="00E027AC">
        <w:t>results</w:t>
      </w:r>
      <w:r w:rsidRPr="00E027AC">
        <w:rPr>
          <w:rFonts w:hint="eastAsia"/>
        </w:rPr>
        <w:t xml:space="preserve"> of the current review</w:t>
      </w:r>
      <w:r w:rsidRPr="00E027AC">
        <w:t>—</w:t>
      </w:r>
      <w:proofErr w:type="gramStart"/>
      <w:r w:rsidRPr="00E027AC">
        <w:rPr>
          <w:rFonts w:hint="eastAsia"/>
        </w:rPr>
        <w:t xml:space="preserve">a </w:t>
      </w:r>
      <w:r w:rsidRPr="00E027AC">
        <w:t>large</w:t>
      </w:r>
      <w:r w:rsidRPr="00E027AC">
        <w:rPr>
          <w:rFonts w:hint="eastAsia"/>
        </w:rPr>
        <w:t xml:space="preserve"> number of</w:t>
      </w:r>
      <w:proofErr w:type="gramEnd"/>
      <w:r w:rsidRPr="00E027AC">
        <w:rPr>
          <w:rFonts w:hint="eastAsia"/>
        </w:rPr>
        <w:t xml:space="preserve"> studies exploring what predicts the quality of the TOEFL integrated-writing tests. Such </w:t>
      </w:r>
      <w:r w:rsidRPr="00E027AC">
        <w:t>assessment-oriented</w:t>
      </w:r>
      <w:r w:rsidRPr="00E027AC">
        <w:rPr>
          <w:rFonts w:hint="eastAsia"/>
        </w:rPr>
        <w:t xml:space="preserve"> studies might have led to </w:t>
      </w:r>
      <w:r w:rsidRPr="00E027AC">
        <w:t>the increase in the</w:t>
      </w:r>
      <w:r w:rsidRPr="00E027AC">
        <w:rPr>
          <w:rFonts w:hint="eastAsia"/>
        </w:rPr>
        <w:t xml:space="preserve"> adoption of short-term quantitative designs, implemented in controlled environments </w:t>
      </w:r>
      <w:r w:rsidRPr="00E027AC">
        <w:fldChar w:fldCharType="begin"/>
      </w:r>
      <w:r w:rsidRPr="00E027AC">
        <w:instrText xml:space="preserve"> ADDIN ZOTERO_ITEM CSL_CITATION {"citationID":"FqAb93nD","properties":{"formattedCitation":"(McCulloch, 2013; Wingate &amp; Harper, 2021)","plainCitation":"(McCulloch, 2013; Wingate &amp; Harper, 2021)","noteIndex":0},"citationItems":[{"id":1607,"uris":["http://zotero.org/users/9207091/items/KESB4SGR"],"itemData":{"id":1607,"type":"article-journal","container-title":"Journal of English for Academic Purposes","issue":"2","note":"publisher: Elsevier","page":"136–147","source":"Google Scholar","title":"Investigating the reading-to-write processes and source use of L2 postgraduate students in real-life academic tasks: An exploratory study","title-short":"Investigating the reading-to-write processes and source use of L2 postgraduate students in real-life academic tasks","volume":"12","author":[{"family":"McCulloch","given":"Sharon"}],"issued":{"date-parts":[["2013"]]}}},{"id":1611,"uris":["http://zotero.org/users/9207091/items/7HHBBGAL"],"itemData":{"id":1611,"type":"article-journal","abstract":"Previous process-oriented research has predominantly investigated writing processes used by non-native speakers of English (L2) and found that more proﬁcient writers allocate more time to planning and revising than less proﬁcient writers who spend most of their time on formulating. There is so far no exploration of the process use by novice students at university and its relationship to writing performance. Using screen recordings and interviews, we compared the writing processes and behaviours of a successful and unsuccessful student and identiﬁed considerable differences in time allocation and the interaction and recursiveness of processes. The ﬁndings highlight the importance of integrating a focus on effective process use into academic writing instruction.","container-title":"Journal of English for Academic Purposes","DOI":"10.1016/j.jeap.2020.100948","ISSN":"14751585","journalAbbreviation":"Journal of English for Academic Purposes","language":"en","page":"100948","source":"DOI.org (Crossref)","title":"Completing the first assignment: A case study of the writing processes of a successful and an unsuccessful student","title-short":"Completing the first assignment","volume":"49","author":[{"family":"Wingate","given":"Ursula"},{"family":"Harper","given":"Rowena"}],"issued":{"date-parts":[["2021",1]]}}}],"schema":"https://github.com/citation-style-language/schema/raw/master/csl-citation.json"} </w:instrText>
      </w:r>
      <w:r w:rsidRPr="00E027AC">
        <w:fldChar w:fldCharType="separate"/>
      </w:r>
      <w:r w:rsidRPr="00E027AC">
        <w:t>(McCulloch, 2013; Wingate &amp; Harper, 2021)</w:t>
      </w:r>
      <w:r w:rsidRPr="00E027AC">
        <w:fldChar w:fldCharType="end"/>
      </w:r>
      <w:r w:rsidRPr="00E027AC">
        <w:rPr>
          <w:rFonts w:hint="eastAsia"/>
        </w:rPr>
        <w:t>.</w:t>
      </w:r>
    </w:p>
    <w:p w14:paraId="79749741" w14:textId="77777777" w:rsidR="00E027AC" w:rsidRPr="00E027AC" w:rsidRDefault="00E027AC" w:rsidP="00E027AC">
      <w:pPr>
        <w:pStyle w:val="L2JBody"/>
      </w:pPr>
      <w:r w:rsidRPr="00E027AC">
        <w:rPr>
          <w:rFonts w:hint="eastAsia"/>
        </w:rPr>
        <w:t>One unresolved issue emerg</w:t>
      </w:r>
      <w:r w:rsidRPr="00E027AC">
        <w:t>ing</w:t>
      </w:r>
      <w:r w:rsidRPr="00E027AC">
        <w:rPr>
          <w:rFonts w:hint="eastAsia"/>
        </w:rPr>
        <w:t xml:space="preserve"> from </w:t>
      </w:r>
      <w:r w:rsidRPr="00E027AC">
        <w:t>my</w:t>
      </w:r>
      <w:r w:rsidRPr="00E027AC">
        <w:rPr>
          <w:rFonts w:hint="eastAsia"/>
        </w:rPr>
        <w:t xml:space="preserve"> review </w:t>
      </w:r>
      <w:r w:rsidRPr="00E027AC">
        <w:t>is</w:t>
      </w:r>
      <w:r w:rsidRPr="00E027AC">
        <w:rPr>
          <w:rFonts w:hint="eastAsia"/>
        </w:rPr>
        <w:t xml:space="preserve"> that the construct </w:t>
      </w:r>
      <w:r w:rsidRPr="00E027AC">
        <w:t>“</w:t>
      </w:r>
      <w:r w:rsidRPr="00E027AC">
        <w:rPr>
          <w:rFonts w:hint="eastAsia"/>
        </w:rPr>
        <w:t>source use</w:t>
      </w:r>
      <w:r w:rsidRPr="00E027AC">
        <w:t>”</w:t>
      </w:r>
      <w:r w:rsidRPr="00E027AC">
        <w:rPr>
          <w:rFonts w:hint="eastAsia"/>
        </w:rPr>
        <w:t xml:space="preserve"> remains generic</w:t>
      </w:r>
      <w:r w:rsidRPr="00E027AC">
        <w:t xml:space="preserve">; the term </w:t>
      </w:r>
      <w:r w:rsidRPr="00E027AC">
        <w:rPr>
          <w:rFonts w:hint="eastAsia"/>
        </w:rPr>
        <w:t xml:space="preserve">could benefit from a more fine-grained conceptualization. </w:t>
      </w:r>
      <w:r w:rsidRPr="00E027AC">
        <w:fldChar w:fldCharType="begin"/>
      </w:r>
      <w:r w:rsidRPr="00E027AC">
        <w:instrText xml:space="preserve"> ADDIN ZOTERO_ITEM CSL_CITATION {"citationID":"V9z4OD9L","properties":{"formattedCitation":"(Nelson &amp; King, 2023)","plainCitation":"(Nelson &amp; King, 2023)","dontUpdate":true,"noteIndex":0},"citationItems":[{"id":2728,"uris":["http://zotero.org/users/9207091/items/XKWF42FP"],"itemData":{"id":2728,"type":"article-journal","abstract":"Research into discourse synthesis examines the ways in which writers make use of, and transform, multiple other texts in writing their own. It is intertextual research that has blurred boundaries of various kinds, not only the boundary between the processes of reading and writing but also boundaries across disciplines as well as regions of the world. Guided by a cognitive constructivist perspective, this research into discourse synthesis drew at its origin—and continues to draw now—from multidisciplinary theoretical and empirical work. This article, which establishes the foundations for this research and traces its development, attends to writers’ transformations of multiple source texts resulting from operations of organizing, selecting, and connecting. Studies into synthesis writing for varying academic tasks have shown that, by applying these operations to multiple textual sources, writers produce discourses that function as new texts in new contexts. Following a discussion of historical background, attention in this article goes to three major issues: the variation in synthesis associated with different academic genres; the kinds of insights into product and process that come from different research approaches; and the nature of new instructional approaches that emphasize elements of discourse synthesis. All facets of this research reveal continuity as well as change, the latter occurring, in large part, through contact and convergence of discourse synthesis research with related bodies of work. The conclusion, which centers on the notion of transformation, summarizes research conducted thus far and points to future directions.","container-title":"Reading and Writing","DOI":"10.1007/s11145-021-10243-5","ISSN":"0922-4777, 1573-0905","issue":"4","journalAbbreviation":"Read Writ","language":"en","page":"769-808","source":"DOI.org (Crossref)","title":"Discourse synthesis: Textual transformations in writing from sources","title-short":"Discourse synthesis","volume":"36","author":[{"family":"Nelson","given":"Nancy"},{"family":"King","given":"James R."}],"issued":{"date-parts":[["2023",4]]}}}],"schema":"https://github.com/citation-style-language/schema/raw/master/csl-citation.json"} </w:instrText>
      </w:r>
      <w:r w:rsidRPr="00E027AC">
        <w:fldChar w:fldCharType="separate"/>
      </w:r>
      <w:r w:rsidRPr="00E027AC">
        <w:t xml:space="preserve">Nelson </w:t>
      </w:r>
      <w:r w:rsidRPr="00E027AC">
        <w:rPr>
          <w:rFonts w:hint="eastAsia"/>
        </w:rPr>
        <w:t>and</w:t>
      </w:r>
      <w:r w:rsidRPr="00E027AC">
        <w:t xml:space="preserve"> King </w:t>
      </w:r>
      <w:r w:rsidRPr="00E027AC">
        <w:rPr>
          <w:rFonts w:hint="eastAsia"/>
        </w:rPr>
        <w:t>(</w:t>
      </w:r>
      <w:r w:rsidRPr="00E027AC">
        <w:t>2023)</w:t>
      </w:r>
      <w:r w:rsidRPr="00E027AC">
        <w:fldChar w:fldCharType="end"/>
      </w:r>
      <w:r w:rsidRPr="00E027AC">
        <w:t xml:space="preserve"> noted that</w:t>
      </w:r>
      <w:r w:rsidRPr="00E027AC">
        <w:rPr>
          <w:rFonts w:hint="eastAsia"/>
        </w:rPr>
        <w:t xml:space="preserve"> </w:t>
      </w:r>
      <w:r w:rsidRPr="00E027AC">
        <w:t>“</w:t>
      </w:r>
      <w:r w:rsidRPr="00E027AC">
        <w:rPr>
          <w:rFonts w:hint="eastAsia"/>
        </w:rPr>
        <w:t xml:space="preserve">blurred boundaries </w:t>
      </w:r>
      <w:r w:rsidRPr="00E027AC">
        <w:t xml:space="preserve">[exist] </w:t>
      </w:r>
      <w:r w:rsidRPr="00E027AC">
        <w:rPr>
          <w:rFonts w:hint="eastAsia"/>
        </w:rPr>
        <w:t>between reading and writing</w:t>
      </w:r>
      <w:r w:rsidRPr="00E027AC">
        <w:t>”</w:t>
      </w:r>
      <w:r w:rsidRPr="00E027AC">
        <w:rPr>
          <w:rFonts w:hint="eastAsia"/>
        </w:rPr>
        <w:t xml:space="preserve"> (p. 774) during synthesis writing. Similarly, </w:t>
      </w:r>
      <w:r w:rsidRPr="00E027AC">
        <w:t>“</w:t>
      </w:r>
      <w:r w:rsidRPr="00E027AC">
        <w:rPr>
          <w:rFonts w:hint="eastAsia"/>
        </w:rPr>
        <w:t>source use</w:t>
      </w:r>
      <w:r w:rsidRPr="00E027AC">
        <w:t>”</w:t>
      </w:r>
      <w:r w:rsidRPr="00E027AC">
        <w:rPr>
          <w:rFonts w:hint="eastAsia"/>
        </w:rPr>
        <w:t xml:space="preserve"> </w:t>
      </w:r>
      <w:r w:rsidRPr="00E027AC">
        <w:t>appears</w:t>
      </w:r>
      <w:r w:rsidRPr="00E027AC">
        <w:rPr>
          <w:rFonts w:hint="eastAsia"/>
        </w:rPr>
        <w:t xml:space="preserve"> to broadly cover multiple dimensions as a general term, referring to using source material for (a) reading purposes (e.g., searching for sources or comprehending the source material), (b) writing purposes (e.g., citing sources or establishing connections </w:t>
      </w:r>
      <w:r w:rsidRPr="00E027AC">
        <w:t>between</w:t>
      </w:r>
      <w:r w:rsidRPr="00E027AC">
        <w:rPr>
          <w:rFonts w:hint="eastAsia"/>
        </w:rPr>
        <w:t xml:space="preserve"> sources), or </w:t>
      </w:r>
      <w:r w:rsidRPr="00E027AC">
        <w:t xml:space="preserve">(c) </w:t>
      </w:r>
      <w:r w:rsidRPr="00E027AC">
        <w:rPr>
          <w:rFonts w:hint="eastAsia"/>
        </w:rPr>
        <w:t>other purposes (e.g., understand</w:t>
      </w:r>
      <w:r w:rsidRPr="00E027AC">
        <w:t>ing</w:t>
      </w:r>
      <w:r w:rsidRPr="00E027AC">
        <w:rPr>
          <w:rFonts w:hint="eastAsia"/>
        </w:rPr>
        <w:t xml:space="preserve"> the topic or enhanc</w:t>
      </w:r>
      <w:r w:rsidRPr="00E027AC">
        <w:t>ing</w:t>
      </w:r>
      <w:r w:rsidRPr="00E027AC">
        <w:rPr>
          <w:rFonts w:hint="eastAsia"/>
        </w:rPr>
        <w:t xml:space="preserve"> one</w:t>
      </w:r>
      <w:r w:rsidRPr="00E027AC">
        <w:t>’</w:t>
      </w:r>
      <w:r w:rsidRPr="00E027AC">
        <w:rPr>
          <w:rFonts w:hint="eastAsia"/>
        </w:rPr>
        <w:t xml:space="preserve">s language). This issue has been also noted by other researchers, which motivated </w:t>
      </w:r>
      <w:r w:rsidRPr="00E027AC">
        <w:fldChar w:fldCharType="begin"/>
      </w:r>
      <w:r w:rsidRPr="00E027AC">
        <w:instrText xml:space="preserve"> ADDIN ZOTERO_ITEM CSL_CITATION {"citationID":"pterY8Vp","properties":{"formattedCitation":"(Uludag &amp; McDonough, 2022)","plainCitation":"(Uludag &amp; McDonough, 2022)","dontUpdate":true,"noteIndex":0},"citationItems":[{"id":3053,"uris":["http://zotero.org/users/9207091/items/ICFGWFMZ"],"itemData":{"id":3053,"type":"article-journal","abstract":"Due to its authenticity as an academic writing task, integrated writing assessment has become widely used for assessing the writing ability of English for academic purposes (EAP) students (Plakans &amp; Gebril, 2017). However, apart from validation studies focusing on a common set of standardized test rubrics (e.g., Chan, Inoue, &amp; Taylor, 2015), little research has explored the construct of integration or how to assess it effectively in EAP contexts. To provide second language (L2) writing researchers and practitioners with an empirically based model of source integration, this study explored EAP instructors' orientations when assessing integrated essays and investigated the relationship between instructor ratings and textual measures of source use. Six experienced EAP instructors first evaluated two sample argumentative essays written by undergraduate English L2 students and provided comments through a stimulated recall interview. Next, they evaluated 48 additional argumentative essays using an analytic rubric that included dimensions of source use and provided comments for each essay. Finally, the essays were analyzed for linguistic and rhetorical features associated with source integration. Triangulation of data sources revealed that the instructors oriented to three aspects of source integration: using source information to support personal claims, incorporating source</w:instrText>
      </w:r>
      <w:r w:rsidRPr="00E027AC">
        <w:rPr>
          <w:rFonts w:ascii="Cambria Math" w:hAnsi="Cambria Math" w:cs="Cambria Math"/>
        </w:rPr>
        <w:instrText>‐</w:instrText>
      </w:r>
      <w:r w:rsidRPr="00E027AC">
        <w:instrText>text language in students' own words, and representing source content accurately. Their ratings were correlated with text</w:instrText>
      </w:r>
      <w:r w:rsidRPr="00E027AC">
        <w:rPr>
          <w:rFonts w:ascii="Cambria Math" w:hAnsi="Cambria Math" w:cs="Cambria Math"/>
        </w:rPr>
        <w:instrText>‐</w:instrText>
      </w:r>
      <w:r w:rsidRPr="00E027AC">
        <w:instrText xml:space="preserve">based measures of students' source use. Implications for teaching and assessing integrated writing in EAP settings are discussed.","container-title":"TESOL Journal","DOI":"10.1002/tesj.670","ISSN":"1056-7941, 1949-3533","issue":"3","journalAbbreviation":"TESOL Journal","language":"en","page":"e670","source":"DOI.org (Crossref)","title":"Exploring EAP instructors' evaluation of classroom-based integrated essays","title-short":"Exploring &lt;span style=\"font-variant","volume":"13","author":[{"family":"Uludag","given":"Pakize"},{"family":"McDonough","given":"Kim"}],"issued":{"date-parts":[["2022",9]]}}}],"schema":"https://github.com/citation-style-language/schema/raw/master/csl-citation.json"} </w:instrText>
      </w:r>
      <w:r w:rsidRPr="00E027AC">
        <w:fldChar w:fldCharType="separate"/>
      </w:r>
      <w:proofErr w:type="spellStart"/>
      <w:r w:rsidRPr="00E027AC">
        <w:t>Uludag</w:t>
      </w:r>
      <w:proofErr w:type="spellEnd"/>
      <w:r w:rsidRPr="00E027AC">
        <w:t xml:space="preserve"> </w:t>
      </w:r>
      <w:r w:rsidRPr="00E027AC">
        <w:rPr>
          <w:rFonts w:hint="eastAsia"/>
        </w:rPr>
        <w:t>and</w:t>
      </w:r>
      <w:r w:rsidRPr="00E027AC">
        <w:t xml:space="preserve"> McDonough</w:t>
      </w:r>
      <w:r w:rsidRPr="00E027AC">
        <w:rPr>
          <w:rFonts w:hint="eastAsia"/>
        </w:rPr>
        <w:t xml:space="preserve"> (</w:t>
      </w:r>
      <w:r w:rsidRPr="00E027AC">
        <w:t>2022)</w:t>
      </w:r>
      <w:r w:rsidRPr="00E027AC">
        <w:fldChar w:fldCharType="end"/>
      </w:r>
      <w:r w:rsidRPr="00E027AC">
        <w:rPr>
          <w:rFonts w:hint="eastAsia"/>
        </w:rPr>
        <w:t xml:space="preserve"> to provide a three-step model</w:t>
      </w:r>
      <w:r w:rsidRPr="00E027AC">
        <w:t>,</w:t>
      </w:r>
      <w:r w:rsidRPr="00E027AC">
        <w:rPr>
          <w:rFonts w:hint="eastAsia"/>
        </w:rPr>
        <w:t xml:space="preserve"> illustrating what source integration is and what it involves conceptually. </w:t>
      </w:r>
      <w:r w:rsidRPr="00E027AC">
        <w:t>M</w:t>
      </w:r>
      <w:r w:rsidRPr="00E027AC">
        <w:rPr>
          <w:rFonts w:hint="eastAsia"/>
        </w:rPr>
        <w:t xml:space="preserve">ore effort </w:t>
      </w:r>
      <w:r w:rsidRPr="00E027AC">
        <w:t>is needed</w:t>
      </w:r>
      <w:r w:rsidRPr="00E027AC">
        <w:rPr>
          <w:rFonts w:hint="eastAsia"/>
        </w:rPr>
        <w:t xml:space="preserve"> to clarify the </w:t>
      </w:r>
      <w:r w:rsidRPr="00E027AC">
        <w:t>precise</w:t>
      </w:r>
      <w:r w:rsidRPr="00E027AC">
        <w:rPr>
          <w:rFonts w:hint="eastAsia"/>
        </w:rPr>
        <w:t xml:space="preserve"> underlying elements of source use</w:t>
      </w:r>
      <w:r w:rsidRPr="00E027AC">
        <w:t>. Such effort would assure that</w:t>
      </w:r>
      <w:r w:rsidRPr="00E027AC">
        <w:rPr>
          <w:rFonts w:hint="eastAsia"/>
        </w:rPr>
        <w:t xml:space="preserve"> researchers conduct studies with clarity and </w:t>
      </w:r>
      <w:r w:rsidRPr="00E027AC">
        <w:t xml:space="preserve">would </w:t>
      </w:r>
      <w:r w:rsidRPr="00E027AC">
        <w:rPr>
          <w:rFonts w:hint="eastAsia"/>
        </w:rPr>
        <w:t xml:space="preserve">help </w:t>
      </w:r>
      <w:r w:rsidRPr="00E027AC">
        <w:t>practitioners</w:t>
      </w:r>
      <w:r w:rsidRPr="00E027AC">
        <w:rPr>
          <w:rFonts w:hint="eastAsia"/>
        </w:rPr>
        <w:t xml:space="preserve"> choose instructional methods more appropriate to help</w:t>
      </w:r>
      <w:r w:rsidRPr="00E027AC">
        <w:t>ing</w:t>
      </w:r>
      <w:r w:rsidRPr="00E027AC">
        <w:rPr>
          <w:rFonts w:hint="eastAsia"/>
        </w:rPr>
        <w:t xml:space="preserve"> students improve.</w:t>
      </w:r>
    </w:p>
    <w:p w14:paraId="2E22E3D3" w14:textId="77777777" w:rsidR="00E027AC" w:rsidRPr="006368A5" w:rsidRDefault="00E027AC" w:rsidP="00E027AC">
      <w:pPr>
        <w:pStyle w:val="L2JBody"/>
        <w:rPr>
          <w:rFonts w:ascii="Times New Roman" w:eastAsia="Malgun Gothic" w:hAnsi="Times New Roman" w:cs="Times New Roman"/>
          <w:shd w:val="clear" w:color="auto" w:fill="FFFFFF"/>
        </w:rPr>
      </w:pPr>
    </w:p>
    <w:p w14:paraId="08DB8F01" w14:textId="77777777" w:rsidR="00E027AC" w:rsidRDefault="00E027AC" w:rsidP="00E027AC">
      <w:pPr>
        <w:pStyle w:val="L2JH2"/>
        <w:rPr>
          <w:shd w:val="clear" w:color="auto" w:fill="FFFFFF"/>
        </w:rPr>
      </w:pPr>
      <w:r w:rsidRPr="006368A5">
        <w:rPr>
          <w:rFonts w:hint="eastAsia"/>
          <w:shd w:val="clear" w:color="auto" w:fill="FFFFFF"/>
        </w:rPr>
        <w:t>Limited Discussion o</w:t>
      </w:r>
      <w:r w:rsidRPr="006368A5">
        <w:rPr>
          <w:shd w:val="clear" w:color="auto" w:fill="FFFFFF"/>
        </w:rPr>
        <w:t>f</w:t>
      </w:r>
      <w:r w:rsidRPr="006368A5">
        <w:rPr>
          <w:rFonts w:hint="eastAsia"/>
          <w:shd w:val="clear" w:color="auto" w:fill="FFFFFF"/>
        </w:rPr>
        <w:t xml:space="preserve"> Theory Expansion</w:t>
      </w:r>
    </w:p>
    <w:p w14:paraId="6939F54E" w14:textId="77777777" w:rsidR="00E027AC" w:rsidRDefault="00E027AC" w:rsidP="00E027AC">
      <w:pPr>
        <w:pStyle w:val="L2JBody"/>
        <w:ind w:firstLine="0"/>
        <w:rPr>
          <w:shd w:val="clear" w:color="auto" w:fill="FFFFFF"/>
        </w:rPr>
      </w:pPr>
    </w:p>
    <w:p w14:paraId="6A09CC89" w14:textId="09785AA4" w:rsidR="00E027AC" w:rsidRPr="00E027AC" w:rsidRDefault="00E027AC" w:rsidP="00E027AC">
      <w:pPr>
        <w:pStyle w:val="L2JBody"/>
        <w:ind w:firstLine="0"/>
      </w:pPr>
      <w:r w:rsidRPr="00E027AC">
        <w:rPr>
          <w:rFonts w:hint="eastAsia"/>
        </w:rPr>
        <w:t xml:space="preserve">Nancy Spivey </w:t>
      </w:r>
      <w:r w:rsidRPr="00E027AC">
        <w:t xml:space="preserve">(1984), </w:t>
      </w:r>
      <w:r w:rsidRPr="00E027AC">
        <w:rPr>
          <w:rFonts w:hint="eastAsia"/>
        </w:rPr>
        <w:t>a founder of the model of discourse synthesis</w:t>
      </w:r>
      <w:r w:rsidRPr="00E027AC">
        <w:t xml:space="preserve">, </w:t>
      </w:r>
      <w:r w:rsidRPr="00E027AC">
        <w:rPr>
          <w:rFonts w:hint="eastAsia"/>
        </w:rPr>
        <w:t>played a decisive role in the development</w:t>
      </w:r>
      <w:r w:rsidRPr="00E027AC">
        <w:t xml:space="preserve"> of</w:t>
      </w:r>
      <w:r w:rsidRPr="00E027AC">
        <w:rPr>
          <w:rFonts w:hint="eastAsia"/>
        </w:rPr>
        <w:t xml:space="preserve"> academic discussion on synthesis writing</w:t>
      </w:r>
      <w:r w:rsidRPr="00E027AC">
        <w:t>; h</w:t>
      </w:r>
      <w:r w:rsidRPr="00E027AC">
        <w:rPr>
          <w:rFonts w:hint="eastAsia"/>
        </w:rPr>
        <w:t xml:space="preserve">owever, the model was </w:t>
      </w:r>
      <w:r w:rsidRPr="00E027AC">
        <w:t>developed</w:t>
      </w:r>
      <w:r w:rsidRPr="00E027AC">
        <w:rPr>
          <w:rFonts w:hint="eastAsia"/>
        </w:rPr>
        <w:t xml:space="preserve"> over 40 years ago with L1 student data. </w:t>
      </w:r>
      <w:r w:rsidRPr="00E027AC">
        <w:t>I was intrigued by the minimal</w:t>
      </w:r>
      <w:r w:rsidRPr="00E027AC">
        <w:rPr>
          <w:rFonts w:hint="eastAsia"/>
        </w:rPr>
        <w:t xml:space="preserve"> discussion in L2 </w:t>
      </w:r>
      <w:r w:rsidRPr="00E027AC">
        <w:t>scholarship</w:t>
      </w:r>
      <w:r w:rsidRPr="00E027AC">
        <w:rPr>
          <w:rFonts w:hint="eastAsia"/>
        </w:rPr>
        <w:t xml:space="preserve"> regarding how to expand and transform the existing </w:t>
      </w:r>
      <w:r w:rsidRPr="00E027AC">
        <w:t>discourse</w:t>
      </w:r>
      <w:r w:rsidRPr="00E027AC">
        <w:rPr>
          <w:rFonts w:hint="eastAsia"/>
        </w:rPr>
        <w:t xml:space="preserve"> synthesis model for L2 students, keeping pace with changes in society. Over the four decades, </w:t>
      </w:r>
      <w:r w:rsidRPr="00E027AC">
        <w:t>scholars in the</w:t>
      </w:r>
      <w:r w:rsidRPr="00E027AC">
        <w:rPr>
          <w:rFonts w:hint="eastAsia"/>
        </w:rPr>
        <w:t xml:space="preserve"> field </w:t>
      </w:r>
      <w:r w:rsidRPr="00E027AC">
        <w:t xml:space="preserve">have </w:t>
      </w:r>
      <w:r w:rsidRPr="00E027AC">
        <w:rPr>
          <w:rFonts w:hint="eastAsia"/>
        </w:rPr>
        <w:t>observed that various factors can influence source-</w:t>
      </w:r>
      <w:r w:rsidRPr="00E027AC">
        <w:t>based</w:t>
      </w:r>
      <w:r w:rsidRPr="00E027AC">
        <w:rPr>
          <w:rFonts w:hint="eastAsia"/>
        </w:rPr>
        <w:t xml:space="preserve"> writing processes, </w:t>
      </w:r>
      <w:r w:rsidRPr="00E027AC">
        <w:rPr>
          <w:rFonts w:hint="eastAsia"/>
        </w:rPr>
        <w:lastRenderedPageBreak/>
        <w:t>including writer identity, agency, community discourses, and technology</w:t>
      </w:r>
      <w:r w:rsidRPr="00E027AC">
        <w:t>;</w:t>
      </w:r>
      <w:r w:rsidRPr="00E027AC">
        <w:rPr>
          <w:rFonts w:hint="eastAsia"/>
        </w:rPr>
        <w:t xml:space="preserve"> </w:t>
      </w:r>
      <w:r w:rsidRPr="00E027AC">
        <w:t>h</w:t>
      </w:r>
      <w:r w:rsidRPr="00E027AC">
        <w:rPr>
          <w:rFonts w:hint="eastAsia"/>
        </w:rPr>
        <w:t xml:space="preserve">owever, insufficient discussion </w:t>
      </w:r>
      <w:r w:rsidRPr="00E027AC">
        <w:t xml:space="preserve">has taken place </w:t>
      </w:r>
      <w:r w:rsidRPr="00E027AC">
        <w:rPr>
          <w:rFonts w:hint="eastAsia"/>
        </w:rPr>
        <w:t xml:space="preserve">regarding how to make connections </w:t>
      </w:r>
      <w:r w:rsidRPr="00E027AC">
        <w:t>between</w:t>
      </w:r>
      <w:r w:rsidRPr="00E027AC">
        <w:rPr>
          <w:rFonts w:hint="eastAsia"/>
        </w:rPr>
        <w:t xml:space="preserve"> these factors and the existing model </w:t>
      </w:r>
      <w:r w:rsidRPr="00E027AC">
        <w:t>(Yoo, 2023).</w:t>
      </w:r>
    </w:p>
    <w:p w14:paraId="14F8A64C" w14:textId="77777777" w:rsidR="00E027AC" w:rsidRPr="00E027AC" w:rsidRDefault="00E027AC" w:rsidP="00E027AC">
      <w:pPr>
        <w:pStyle w:val="L2JBody"/>
      </w:pPr>
      <w:r w:rsidRPr="00E027AC">
        <w:rPr>
          <w:rFonts w:hint="eastAsia"/>
        </w:rPr>
        <w:t>Some attempts</w:t>
      </w:r>
      <w:r w:rsidRPr="00E027AC">
        <w:t>, however,</w:t>
      </w:r>
      <w:r w:rsidRPr="00E027AC">
        <w:rPr>
          <w:rFonts w:hint="eastAsia"/>
        </w:rPr>
        <w:t xml:space="preserve"> have been made. </w:t>
      </w:r>
      <w:r w:rsidRPr="00E027AC">
        <w:fldChar w:fldCharType="begin"/>
      </w:r>
      <w:r w:rsidRPr="00E027AC">
        <w:instrText xml:space="preserve"> ADDIN ZOTERO_ITEM CSL_CITATION {"citationID":"5pnvsmxA","properties":{"formattedCitation":"(Plakans et al., 2019)","plainCitation":"(Plakans et al., 2019)","dontUpdate":true,"noteIndex":0},"citationItems":[{"id":723,"uris":["http://zotero.org/users/9207091/items/SWCLBBRU"],"itemData":{"id":723,"type":"article-journal","abstract":"Researchers do not yet fully understand the complex processes linking reading and writing in a second language. A number of recent studies have focused on reading to write integrated tasks in language assessment, with an eye toward eliciting the underlying construct of reading-writing integration. To extend this conversation, we designed an iterative integrated task (writingreading-writing) including a pre-writing task, reading passages, reading-based questions, and a sourced-based writing task. This task was used to explore the processes shared by reading and writing. Eleven second language writers of English completed this iterative integrated task, followed by a questionnaire and an interview. All writers performed concurrent (non-stop) verbal reporting while completing the task. Data were analyzed qualitatively to identify categories and patterns related to reading, writing, and shared overlapping processes. The processes that appeared during both reading and writing stages included the following: (1) focusing at the word level, (2) drawing on background knowledge, (3) metacognitive monitoring for comprehension, (4) rereading, and (5) summarizing. These ﬁve process categories provide insight into the reciprocal nature of second language reading and writing skills in integrated assessment tasks.","container-title":"Assessing Writing","DOI":"10.1016/j.asw.2019.03.003","ISSN":"10752935","journalAbbreviation":"Assessing Writing","language":"en","page":"14-26","source":"DOI.org (Crossref)","title":"“I should summarize this whole paragraph”: Shared processes of reading and writing in iterative integrated assessment tasks","title-short":"“I should summarize this whole paragraph”","volume":"40","author":[{"family":"Plakans","given":"Lia"},{"family":"Liao","given":"Jui-Teng"},{"family":"Wang","given":"Fang"}],"issued":{"date-parts":[["2019",4]]}}}],"schema":"https://github.com/citation-style-language/schema/raw/master/csl-citation.json"} </w:instrText>
      </w:r>
      <w:r w:rsidRPr="00E027AC">
        <w:fldChar w:fldCharType="separate"/>
      </w:r>
      <w:proofErr w:type="spellStart"/>
      <w:r w:rsidRPr="00E027AC">
        <w:t>Plakans</w:t>
      </w:r>
      <w:proofErr w:type="spellEnd"/>
      <w:r w:rsidRPr="00E027AC">
        <w:t xml:space="preserve"> et al.</w:t>
      </w:r>
      <w:r w:rsidRPr="00E027AC">
        <w:rPr>
          <w:rFonts w:hint="eastAsia"/>
        </w:rPr>
        <w:t xml:space="preserve"> (</w:t>
      </w:r>
      <w:r w:rsidRPr="00E027AC">
        <w:t>2019)</w:t>
      </w:r>
      <w:r w:rsidRPr="00E027AC">
        <w:fldChar w:fldCharType="end"/>
      </w:r>
      <w:r w:rsidRPr="00E027AC">
        <w:rPr>
          <w:rFonts w:hint="eastAsia"/>
        </w:rPr>
        <w:t xml:space="preserve"> specified five subprocesses of integrated writing</w:t>
      </w:r>
      <w:r w:rsidRPr="00E027AC">
        <w:t xml:space="preserve"> among L2 undergraduate and graduate students,</w:t>
      </w:r>
      <w:r w:rsidRPr="00E027AC">
        <w:rPr>
          <w:rFonts w:hint="eastAsia"/>
        </w:rPr>
        <w:t xml:space="preserve"> some of which include u</w:t>
      </w:r>
      <w:r w:rsidRPr="00E027AC">
        <w:t>s</w:t>
      </w:r>
      <w:r w:rsidRPr="00E027AC">
        <w:rPr>
          <w:rFonts w:hint="eastAsia"/>
        </w:rPr>
        <w:t xml:space="preserve">ing prior knowledge and metacognitive monitoring. </w:t>
      </w:r>
      <w:r w:rsidRPr="00E027AC">
        <w:fldChar w:fldCharType="begin"/>
      </w:r>
      <w:r w:rsidRPr="00E027AC">
        <w:instrText xml:space="preserve"> ADDIN ZOTERO_ITEM CSL_CITATION {"citationID":"cDrhw7dE","properties":{"formattedCitation":"(Schneider, 2022)","plainCitation":"(Schneider, 2022)","dontUpdate":true,"noteIndex":0},"citationItems":[{"id":82,"uris":["http://zotero.org/users/9207091/items/CUKW63SF"],"itemData":{"id":82,"type":"article-journal","abstract":"Working within the framework of language learner strategies, and more speciﬁcally strategies employed by L2 writers, this article presents ﬁndings from a qualitative, longitudinal study of seven international college students in the United States. On the basis of data comprising 54 interviews with the students over a period of four years, and over 100 samples of their written work, three questions are addressed: 1) What strategies did the students use to achieve writing success within their academic discourse community? 2) How did the writers’ decisions to employ speciﬁc strategies reﬂect academic and other goals? 3) How did the students’ uses of strategies over time reﬂect their evolving identities? Findings indicate that the students all used diverse strategic repertoires, and that their implementations of speciﬁc actions in speciﬁc contexts were reﬂective of unique goals and aspirations. By highlighting links among strategies, goals, and identities, this article proposes an understanding of advanced EAL writers as nimble, self-aware actors whose approaches to composing indicate not only their interests in developing new competencies in English, but also their desires to construct future selves.","container-title":"TESOL Quarterly","DOI":"10.1002/tesq.3061","ISSN":"0039-8322, 1545-7249","issue":"1","journalAbbreviation":"TESOL Quarterly","language":"en","page":"230-253","source":"DOI.org (Crossref)","title":"Writing strategies as acts of identity","volume":"56","author":[{"family":"Schneider","given":"Jason"}],"issued":{"date-parts":[["2022",3]]}}}],"schema":"https://github.com/citation-style-language/schema/raw/master/csl-citation.json"} </w:instrText>
      </w:r>
      <w:r w:rsidRPr="00E027AC">
        <w:fldChar w:fldCharType="separate"/>
      </w:r>
      <w:r w:rsidRPr="00E027AC">
        <w:t xml:space="preserve">Schneider </w:t>
      </w:r>
      <w:r w:rsidRPr="00E027AC">
        <w:rPr>
          <w:rFonts w:hint="eastAsia"/>
        </w:rPr>
        <w:t>(</w:t>
      </w:r>
      <w:r w:rsidRPr="00E027AC">
        <w:t>2022)</w:t>
      </w:r>
      <w:r w:rsidRPr="00E027AC">
        <w:fldChar w:fldCharType="end"/>
      </w:r>
      <w:r w:rsidRPr="00E027AC">
        <w:rPr>
          <w:rFonts w:hint="eastAsia"/>
        </w:rPr>
        <w:t xml:space="preserve"> demonstrated the criticality of writers</w:t>
      </w:r>
      <w:r w:rsidRPr="00E027AC">
        <w:t>’</w:t>
      </w:r>
      <w:r w:rsidRPr="00E027AC">
        <w:rPr>
          <w:rFonts w:hint="eastAsia"/>
        </w:rPr>
        <w:t xml:space="preserve"> identity and their imagined communities in composing with sources. </w:t>
      </w:r>
      <w:r w:rsidRPr="00E027AC">
        <w:fldChar w:fldCharType="begin"/>
      </w:r>
      <w:r w:rsidRPr="00E027AC">
        <w:instrText xml:space="preserve"> ADDIN ZOTERO_ITEM CSL_CITATION {"citationID":"EMkzV2Ti","properties":{"formattedCitation":"(Hirvela &amp; Belcher, 2016)","plainCitation":"(Hirvela &amp; Belcher, 2016)","dontUpdate":true,"noteIndex":0},"citationItems":[{"id":31,"uris":["http://zotero.org/users/9207091/items/5IGK5LUE"],"itemData":{"id":31,"type":"chapter","container-title":"Handbook of second and foreign language writing","ISBN":"1-61451-133-0","note":"publisher: Walter de Gruyter GmbH &amp; Co KG","page":"587-612","publisher":"Walter de Gruyter","title":"Reading/writing and speaking/writing connections: The advantages of multimodal pedagogy","volume":"11","editor":[{"family":"Manchón","given":"R. M."},{"family":"Matsuda","given":"P. K."}],"author":[{"family":"Hirvela","given":"Alan"},{"family":"Belcher","given":"Diane"}],"issued":{"date-parts":[["2016"]]}}}],"schema":"https://github.com/citation-style-language/schema/raw/master/csl-citation.json"} </w:instrText>
      </w:r>
      <w:r w:rsidRPr="00E027AC">
        <w:fldChar w:fldCharType="separate"/>
      </w:r>
      <w:r w:rsidRPr="00E027AC">
        <w:t xml:space="preserve">Hirvela </w:t>
      </w:r>
      <w:r w:rsidRPr="00E027AC">
        <w:rPr>
          <w:rFonts w:hint="eastAsia"/>
        </w:rPr>
        <w:t>and</w:t>
      </w:r>
      <w:r w:rsidRPr="00E027AC">
        <w:t xml:space="preserve"> Belcher </w:t>
      </w:r>
      <w:r w:rsidRPr="00E027AC">
        <w:rPr>
          <w:rFonts w:hint="eastAsia"/>
        </w:rPr>
        <w:t>(</w:t>
      </w:r>
      <w:r w:rsidRPr="00E027AC">
        <w:t>2016)</w:t>
      </w:r>
      <w:r w:rsidRPr="00E027AC">
        <w:fldChar w:fldCharType="end"/>
      </w:r>
      <w:r w:rsidRPr="00E027AC">
        <w:rPr>
          <w:rFonts w:hint="eastAsia"/>
        </w:rPr>
        <w:t xml:space="preserve"> and </w:t>
      </w:r>
      <w:r w:rsidRPr="00E027AC">
        <w:fldChar w:fldCharType="begin"/>
      </w:r>
      <w:r w:rsidRPr="00E027AC">
        <w:instrText xml:space="preserve"> ADDIN ZOTERO_ITEM CSL_CITATION {"citationID":"aOHVMIIO","properties":{"formattedCitation":"(Barzilai et al., 2023)","plainCitation":"(Barzilai et al., 2023)","dontUpdate":true,"noteIndex":0},"citationItems":[{"id":2830,"uris":["http://zotero.org/users/9207091/items/YZ2TJQ5W"],"itemData":{"id":2830,"type":"article-journal","abstract":"Visualizations may help students understand the network of connections among multiple documents. This study explored how ninth-grade students used a novel digital document mapping scaffold to construct models of multiple documents. We examined students’ maps and mapping processes in order to understand how they used the scaffold to visually represent multiple scientific documents on a controversial issue. We also investigated the relations between document mapping and argumentative writing in order to clarify how mapping might support written argumentation. Lastly, we explored how students perceived the purposes of document mapping. We found that students used the scaffold to construct several types of models that varied in their degree of source vs. content separation and integration. About half of the students constructed full documents models. Interleaving reading and mapping led to construction of more elaborate and well-integrated maps. Students who created more elaborate and two-sided maps also wrote essays that better integrated multiple documents in order to synthesize and weigh competing arguments. Students who revisited the maps and the documents while writing wrote essays that included and cited more documents. Students described document mapping as a tool for selecting and connecting sources and claims in order to support understanding and writing. These findings reveal how document mapping can support comprehension and integration of multiple documents. The findings also shed new light on how students construct documents models and on the relations between representations of multiple documents and argumentative writing. These results have implications for both theory and instruction.","container-title":"Reading and Writing","DOI":"10.1007/s11145-021-10208-8","ISSN":"0922-4777, 1573-0905","issue":"4","journalAbbreviation":"Read Writ","language":"en","page":"809-847","source":"DOI.org (Crossref)","title":"Mapping multiple documents: From constructing multiple document models to argumentative writing","title-short":"Mapping multiple documents","volume":"36","author":[{"family":"Barzilai","given":"Sarit"},{"family":"Tal-Savir","given":"Danna"},{"family":"Abed","given":"Fayez"},{"family":"Mor-Hagani","given":"Shiri"},{"family":"Zohar","given":"Asnat R."}],"issued":{"date-parts":[["2023",4]]}}}],"schema":"https://github.com/citation-style-language/schema/raw/master/csl-citation.json"} </w:instrText>
      </w:r>
      <w:r w:rsidRPr="00E027AC">
        <w:fldChar w:fldCharType="separate"/>
      </w:r>
      <w:r w:rsidRPr="00E027AC">
        <w:t xml:space="preserve">Barzilai et al. </w:t>
      </w:r>
      <w:r w:rsidRPr="00E027AC">
        <w:rPr>
          <w:rFonts w:hint="eastAsia"/>
        </w:rPr>
        <w:t>(</w:t>
      </w:r>
      <w:r w:rsidRPr="00E027AC">
        <w:t>2023)</w:t>
      </w:r>
      <w:r w:rsidRPr="00E027AC">
        <w:fldChar w:fldCharType="end"/>
      </w:r>
      <w:r w:rsidRPr="00E027AC">
        <w:rPr>
          <w:rFonts w:hint="eastAsia"/>
        </w:rPr>
        <w:t xml:space="preserve"> also noted how technology and multimodality can play a </w:t>
      </w:r>
      <w:r w:rsidRPr="00E027AC">
        <w:t>pivotal</w:t>
      </w:r>
      <w:r w:rsidRPr="00E027AC">
        <w:rPr>
          <w:rFonts w:hint="eastAsia"/>
        </w:rPr>
        <w:t xml:space="preserve"> role in synthesis writing. Currently, </w:t>
      </w:r>
      <w:r w:rsidRPr="00E027AC">
        <w:t>despite the attention to GenAI</w:t>
      </w:r>
      <w:r w:rsidRPr="00E027AC">
        <w:rPr>
          <w:rFonts w:hint="eastAsia"/>
        </w:rPr>
        <w:t>, little research effor</w:t>
      </w:r>
      <w:r w:rsidRPr="00E027AC">
        <w:t>t</w:t>
      </w:r>
      <w:r w:rsidRPr="00E027AC">
        <w:rPr>
          <w:rFonts w:hint="eastAsia"/>
        </w:rPr>
        <w:t xml:space="preserve"> </w:t>
      </w:r>
      <w:r w:rsidRPr="00E027AC">
        <w:t>has</w:t>
      </w:r>
      <w:r w:rsidRPr="00E027AC">
        <w:rPr>
          <w:rFonts w:hint="eastAsia"/>
        </w:rPr>
        <w:t xml:space="preserve"> been made to address </w:t>
      </w:r>
      <w:r w:rsidRPr="00E027AC">
        <w:t>its</w:t>
      </w:r>
      <w:r w:rsidRPr="00E027AC">
        <w:rPr>
          <w:rFonts w:hint="eastAsia"/>
        </w:rPr>
        <w:t xml:space="preserve"> role in synthesis writing, which has </w:t>
      </w:r>
      <w:r w:rsidRPr="00E027AC">
        <w:t>considerable</w:t>
      </w:r>
      <w:r w:rsidRPr="00E027AC">
        <w:rPr>
          <w:rFonts w:hint="eastAsia"/>
        </w:rPr>
        <w:t xml:space="preserve"> potential for theory expansion.</w:t>
      </w:r>
      <w:r w:rsidRPr="00E027AC">
        <w:t xml:space="preserve"> T</w:t>
      </w:r>
      <w:r w:rsidRPr="00E027AC">
        <w:rPr>
          <w:rFonts w:hint="eastAsia"/>
        </w:rPr>
        <w:t>hus, future</w:t>
      </w:r>
      <w:r w:rsidRPr="00E027AC">
        <w:t xml:space="preserve"> researchers’ examination of</w:t>
      </w:r>
      <w:r w:rsidRPr="00E027AC">
        <w:rPr>
          <w:rFonts w:hint="eastAsia"/>
        </w:rPr>
        <w:t xml:space="preserve"> up-to-date </w:t>
      </w:r>
      <w:r w:rsidRPr="00E027AC">
        <w:t>elements</w:t>
      </w:r>
      <w:r w:rsidRPr="00E027AC">
        <w:rPr>
          <w:rFonts w:hint="eastAsia"/>
        </w:rPr>
        <w:t xml:space="preserve"> that can be added to the model of discourse synthesis would be highly beneficial</w:t>
      </w:r>
      <w:r w:rsidRPr="00E027AC">
        <w:t xml:space="preserve"> in</w:t>
      </w:r>
      <w:r w:rsidRPr="00E027AC">
        <w:rPr>
          <w:rFonts w:hint="eastAsia"/>
        </w:rPr>
        <w:t xml:space="preserve"> advancing the scholarly discussion to the next level. </w:t>
      </w:r>
    </w:p>
    <w:p w14:paraId="5FAEAAB0" w14:textId="77777777" w:rsidR="00E027AC" w:rsidRPr="006368A5" w:rsidRDefault="00E027AC" w:rsidP="00E027AC">
      <w:pPr>
        <w:pStyle w:val="L2JBody"/>
        <w:rPr>
          <w:shd w:val="clear" w:color="auto" w:fill="FFFFFF"/>
        </w:rPr>
      </w:pPr>
    </w:p>
    <w:p w14:paraId="2210751F" w14:textId="080A75B5" w:rsidR="00E027AC" w:rsidRPr="006368A5" w:rsidRDefault="00E027AC" w:rsidP="00E027AC">
      <w:pPr>
        <w:pStyle w:val="L2JH1"/>
        <w:rPr>
          <w:shd w:val="clear" w:color="auto" w:fill="FFFFFF"/>
        </w:rPr>
      </w:pPr>
      <w:r w:rsidRPr="006368A5">
        <w:rPr>
          <w:shd w:val="clear" w:color="auto" w:fill="FFFFFF"/>
        </w:rPr>
        <w:t xml:space="preserve">IMPLICATIONS </w:t>
      </w:r>
    </w:p>
    <w:p w14:paraId="777CB5AD" w14:textId="77777777" w:rsidR="00E027AC" w:rsidRDefault="00E027AC" w:rsidP="00E027AC">
      <w:pPr>
        <w:pStyle w:val="L2JBody"/>
        <w:ind w:firstLine="0"/>
        <w:rPr>
          <w:shd w:val="clear" w:color="auto" w:fill="FFFFFF"/>
        </w:rPr>
      </w:pPr>
    </w:p>
    <w:p w14:paraId="6C69F2FC" w14:textId="4101A751" w:rsidR="00E027AC" w:rsidRPr="006368A5" w:rsidRDefault="00E027AC" w:rsidP="00E027AC">
      <w:pPr>
        <w:pStyle w:val="L2JBody"/>
        <w:ind w:firstLine="0"/>
        <w:rPr>
          <w:shd w:val="clear" w:color="auto" w:fill="FFFFFF"/>
        </w:rPr>
      </w:pPr>
      <w:r w:rsidRPr="006368A5">
        <w:rPr>
          <w:rFonts w:hint="eastAsia"/>
          <w:shd w:val="clear" w:color="auto" w:fill="FFFFFF"/>
        </w:rPr>
        <w:t>Given that th</w:t>
      </w:r>
      <w:r w:rsidRPr="006368A5">
        <w:rPr>
          <w:shd w:val="clear" w:color="auto" w:fill="FFFFFF"/>
        </w:rPr>
        <w:t>is</w:t>
      </w:r>
      <w:r w:rsidRPr="006368A5">
        <w:rPr>
          <w:rFonts w:hint="eastAsia"/>
          <w:shd w:val="clear" w:color="auto" w:fill="FFFFFF"/>
        </w:rPr>
        <w:t xml:space="preserve"> review </w:t>
      </w:r>
      <w:r w:rsidRPr="006368A5">
        <w:rPr>
          <w:shd w:val="clear" w:color="auto" w:fill="FFFFFF"/>
        </w:rPr>
        <w:t xml:space="preserve">showed the </w:t>
      </w:r>
      <w:r w:rsidRPr="006368A5">
        <w:rPr>
          <w:rFonts w:hint="eastAsia"/>
          <w:shd w:val="clear" w:color="auto" w:fill="FFFFFF"/>
        </w:rPr>
        <w:t>positive role of instruction in improving students</w:t>
      </w:r>
      <w:r w:rsidRPr="006368A5">
        <w:rPr>
          <w:shd w:val="clear" w:color="auto" w:fill="FFFFFF"/>
        </w:rPr>
        <w:t>’</w:t>
      </w:r>
      <w:r w:rsidRPr="006368A5">
        <w:rPr>
          <w:rFonts w:hint="eastAsia"/>
          <w:shd w:val="clear" w:color="auto" w:fill="FFFFFF"/>
        </w:rPr>
        <w:t xml:space="preserve"> synthesis writing skills, discuss</w:t>
      </w:r>
      <w:r w:rsidRPr="006368A5">
        <w:rPr>
          <w:shd w:val="clear" w:color="auto" w:fill="FFFFFF"/>
        </w:rPr>
        <w:t>ing</w:t>
      </w:r>
      <w:r w:rsidRPr="006368A5">
        <w:rPr>
          <w:rFonts w:hint="eastAsia"/>
          <w:shd w:val="clear" w:color="auto" w:fill="FFFFFF"/>
        </w:rPr>
        <w:t xml:space="preserve"> exactly how to provide such effective pedagogies to truly </w:t>
      </w:r>
      <w:r w:rsidRPr="006368A5">
        <w:rPr>
          <w:shd w:val="clear" w:color="auto" w:fill="FFFFFF"/>
        </w:rPr>
        <w:t>facilitate</w:t>
      </w:r>
      <w:r w:rsidRPr="006368A5">
        <w:rPr>
          <w:rFonts w:hint="eastAsia"/>
          <w:shd w:val="clear" w:color="auto" w:fill="FFFFFF"/>
        </w:rPr>
        <w:t xml:space="preserve"> students</w:t>
      </w:r>
      <w:r w:rsidRPr="006368A5">
        <w:rPr>
          <w:shd w:val="clear" w:color="auto" w:fill="FFFFFF"/>
        </w:rPr>
        <w:t>’</w:t>
      </w:r>
      <w:r w:rsidRPr="006368A5">
        <w:rPr>
          <w:rFonts w:hint="eastAsia"/>
          <w:shd w:val="clear" w:color="auto" w:fill="FFFFFF"/>
        </w:rPr>
        <w:t xml:space="preserve"> learning</w:t>
      </w:r>
      <w:r w:rsidRPr="006368A5">
        <w:rPr>
          <w:shd w:val="clear" w:color="auto" w:fill="FFFFFF"/>
        </w:rPr>
        <w:t xml:space="preserve"> may be beneficial</w:t>
      </w:r>
      <w:r w:rsidRPr="006368A5">
        <w:rPr>
          <w:rFonts w:hint="eastAsia"/>
          <w:shd w:val="clear" w:color="auto" w:fill="FFFFFF"/>
        </w:rPr>
        <w:t xml:space="preserve">. </w:t>
      </w:r>
      <w:r w:rsidRPr="006368A5">
        <w:rPr>
          <w:shd w:val="clear" w:color="auto" w:fill="FFFFFF"/>
        </w:rPr>
        <w:t>The following t</w:t>
      </w:r>
      <w:r w:rsidRPr="006368A5">
        <w:rPr>
          <w:rFonts w:hint="eastAsia"/>
          <w:shd w:val="clear" w:color="auto" w:fill="FFFFFF"/>
        </w:rPr>
        <w:t xml:space="preserve">hree pedagogical approaches </w:t>
      </w:r>
      <w:r w:rsidRPr="006368A5">
        <w:rPr>
          <w:shd w:val="clear" w:color="auto" w:fill="FFFFFF"/>
        </w:rPr>
        <w:t>are</w:t>
      </w:r>
      <w:r w:rsidRPr="006368A5">
        <w:rPr>
          <w:rFonts w:hint="eastAsia"/>
          <w:shd w:val="clear" w:color="auto" w:fill="FFFFFF"/>
        </w:rPr>
        <w:t xml:space="preserve"> recommended for instructors and practitioners teaching synthesis writing. First, </w:t>
      </w:r>
      <w:r w:rsidRPr="006368A5">
        <w:rPr>
          <w:shd w:val="clear" w:color="auto" w:fill="FFFFFF"/>
        </w:rPr>
        <w:t xml:space="preserve">the teacher can </w:t>
      </w:r>
      <w:r w:rsidRPr="006368A5">
        <w:rPr>
          <w:rFonts w:hint="eastAsia"/>
          <w:shd w:val="clear" w:color="auto" w:fill="FFFFFF"/>
        </w:rPr>
        <w:t>incorporate instruction that bolsters student agency as a writer. Previous studies demonstrated that when students</w:t>
      </w:r>
      <w:r w:rsidRPr="006368A5">
        <w:rPr>
          <w:shd w:val="clear" w:color="auto" w:fill="FFFFFF"/>
        </w:rPr>
        <w:t>’</w:t>
      </w:r>
      <w:r w:rsidRPr="006368A5">
        <w:rPr>
          <w:rFonts w:hint="eastAsia"/>
          <w:shd w:val="clear" w:color="auto" w:fill="FFFFFF"/>
        </w:rPr>
        <w:t xml:space="preserve"> sense of agency is enhanced (i.e., having greater control over their writing), their willingness to voluntarily develop and implement various strategies to improve their writing is </w:t>
      </w:r>
      <w:r w:rsidRPr="006368A5">
        <w:rPr>
          <w:shd w:val="clear" w:color="auto" w:fill="FFFFFF"/>
        </w:rPr>
        <w:t>bolstered</w:t>
      </w:r>
      <w:r w:rsidRPr="006368A5">
        <w:rPr>
          <w:rFonts w:hint="eastAsia"/>
          <w:shd w:val="clear" w:color="auto" w:fill="FFFFFF"/>
        </w:rPr>
        <w:t xml:space="preserve"> naturally </w:t>
      </w:r>
      <w:r w:rsidRPr="006368A5">
        <w:rPr>
          <w:shd w:val="clear" w:color="auto" w:fill="FFFFFF"/>
        </w:rPr>
        <w:fldChar w:fldCharType="begin"/>
      </w:r>
      <w:r w:rsidRPr="006368A5">
        <w:rPr>
          <w:shd w:val="clear" w:color="auto" w:fill="FFFFFF"/>
        </w:rPr>
        <w:instrText xml:space="preserve"> ADDIN ZOTERO_ITEM CSL_CITATION {"citationID":"ZJcX6rky","properties":{"formattedCitation":"(Bhowmik, 2016; Rutemeyer, 2024)","plainCitation":"(Bhowmik, 2016; Rutemeyer, 2024)","noteIndex":0},"citationItems":[{"id":3696,"uris":["http://zotero.org/users/9207091/items/QCJPJ492"],"itemData":{"id":3696,"type":"article-journal","container-title":"Writing &amp; Pedagogy","issue":"2","note":"ISBN: 1756-5839\npublisher: University of Toronto Press","page":"275-308","title":"Agency, identity and ideology in L2 writing","volume":"8","author":[{"family":"Bhowmik","given":"Subrata Kumar"}],"issued":{"date-parts":[["2016"]]}}},{"id":3664,"uris":["http://zotero.org/users/9207091/items/MDXPZC9G"],"itemData":{"id":3664,"type":"article-journal","container-title":"Second Language Research &amp; Practice","issue":"1","note":"ISBN: 2694-6610\npublisher: University of Hawaii National Foreign Language Resource Center","page":"112-132","title":"Learner agency and investment in a basic language program","volume":"5","author":[{"family":"Rutemeyer","given":"Mary Ellen"}],"issued":{"date-parts":[["2024"]]}}}],"schema":"https://github.com/citation-style-language/schema/raw/master/csl-citation.json"} </w:instrText>
      </w:r>
      <w:r w:rsidRPr="006368A5">
        <w:rPr>
          <w:shd w:val="clear" w:color="auto" w:fill="FFFFFF"/>
        </w:rPr>
        <w:fldChar w:fldCharType="separate"/>
      </w:r>
      <w:r w:rsidRPr="006368A5">
        <w:rPr>
          <w:rFonts w:cs="Times New Roman"/>
        </w:rPr>
        <w:t xml:space="preserve">(Bhowmik, 2016; </w:t>
      </w:r>
      <w:proofErr w:type="spellStart"/>
      <w:r w:rsidRPr="006368A5">
        <w:rPr>
          <w:rFonts w:cs="Times New Roman"/>
        </w:rPr>
        <w:t>Rutemeyer</w:t>
      </w:r>
      <w:proofErr w:type="spellEnd"/>
      <w:r w:rsidRPr="006368A5">
        <w:rPr>
          <w:rFonts w:cs="Times New Roman"/>
        </w:rPr>
        <w:t>, 2024)</w:t>
      </w:r>
      <w:r w:rsidRPr="006368A5">
        <w:rPr>
          <w:shd w:val="clear" w:color="auto" w:fill="FFFFFF"/>
        </w:rPr>
        <w:fldChar w:fldCharType="end"/>
      </w:r>
      <w:r w:rsidRPr="006368A5">
        <w:rPr>
          <w:rFonts w:hint="eastAsia"/>
          <w:shd w:val="clear" w:color="auto" w:fill="FFFFFF"/>
        </w:rPr>
        <w:t xml:space="preserve">. </w:t>
      </w:r>
    </w:p>
    <w:p w14:paraId="379BADC0" w14:textId="77777777" w:rsidR="00E027AC" w:rsidRPr="006368A5" w:rsidRDefault="00E027AC" w:rsidP="00E027AC">
      <w:pPr>
        <w:pStyle w:val="L2JBody"/>
        <w:rPr>
          <w:shd w:val="clear" w:color="auto" w:fill="FFFFFF"/>
        </w:rPr>
      </w:pPr>
      <w:r w:rsidRPr="006368A5">
        <w:rPr>
          <w:rFonts w:hint="eastAsia"/>
          <w:shd w:val="clear" w:color="auto" w:fill="FFFFFF"/>
        </w:rPr>
        <w:t xml:space="preserve">One way to foster student agency is </w:t>
      </w:r>
      <w:r w:rsidRPr="006368A5">
        <w:rPr>
          <w:shd w:val="clear" w:color="auto" w:fill="FFFFFF"/>
        </w:rPr>
        <w:t>by assigning</w:t>
      </w:r>
      <w:r w:rsidRPr="006368A5">
        <w:rPr>
          <w:rFonts w:hint="eastAsia"/>
          <w:shd w:val="clear" w:color="auto" w:fill="FFFFFF"/>
        </w:rPr>
        <w:t xml:space="preserve"> highly authentic writing task</w:t>
      </w:r>
      <w:r w:rsidRPr="006368A5">
        <w:rPr>
          <w:shd w:val="clear" w:color="auto" w:fill="FFFFFF"/>
        </w:rPr>
        <w:t>s</w:t>
      </w:r>
      <w:r w:rsidRPr="006368A5">
        <w:rPr>
          <w:rFonts w:hint="eastAsia"/>
          <w:shd w:val="clear" w:color="auto" w:fill="FFFFFF"/>
        </w:rPr>
        <w:t xml:space="preserve">. </w:t>
      </w:r>
      <w:r w:rsidRPr="006368A5">
        <w:rPr>
          <w:shd w:val="clear" w:color="auto" w:fill="FFFFFF"/>
        </w:rPr>
        <w:t>The instructor can d</w:t>
      </w:r>
      <w:r w:rsidRPr="006368A5">
        <w:rPr>
          <w:rFonts w:hint="eastAsia"/>
          <w:shd w:val="clear" w:color="auto" w:fill="FFFFFF"/>
        </w:rPr>
        <w:t xml:space="preserve">esign a writing task that </w:t>
      </w:r>
      <w:r w:rsidRPr="006368A5">
        <w:rPr>
          <w:shd w:val="clear" w:color="auto" w:fill="FFFFFF"/>
        </w:rPr>
        <w:t>carr</w:t>
      </w:r>
      <w:r w:rsidRPr="006368A5">
        <w:rPr>
          <w:rFonts w:hint="eastAsia"/>
          <w:shd w:val="clear" w:color="auto" w:fill="FFFFFF"/>
        </w:rPr>
        <w:t xml:space="preserve">ies significant </w:t>
      </w:r>
      <w:r w:rsidRPr="006368A5">
        <w:rPr>
          <w:shd w:val="clear" w:color="auto" w:fill="FFFFFF"/>
        </w:rPr>
        <w:t>meaning</w:t>
      </w:r>
      <w:r w:rsidRPr="006368A5">
        <w:rPr>
          <w:rFonts w:hint="eastAsia"/>
          <w:shd w:val="clear" w:color="auto" w:fill="FFFFFF"/>
        </w:rPr>
        <w:t xml:space="preserve"> beyond the writing classroom and is genuinely connected to students</w:t>
      </w:r>
      <w:r w:rsidRPr="006368A5">
        <w:rPr>
          <w:shd w:val="clear" w:color="auto" w:fill="FFFFFF"/>
        </w:rPr>
        <w:t>’</w:t>
      </w:r>
      <w:r w:rsidRPr="006368A5">
        <w:rPr>
          <w:rFonts w:hint="eastAsia"/>
          <w:shd w:val="clear" w:color="auto" w:fill="FFFFFF"/>
        </w:rPr>
        <w:t xml:space="preserve"> personal lives, identities, or future aspirations. For example, when students worked on a project closely connected to self</w:t>
      </w:r>
      <w:r w:rsidRPr="006368A5">
        <w:rPr>
          <w:shd w:val="clear" w:color="auto" w:fill="FFFFFF"/>
        </w:rPr>
        <w:t>-identity</w:t>
      </w:r>
      <w:r w:rsidRPr="006368A5">
        <w:rPr>
          <w:rFonts w:hint="eastAsia"/>
          <w:shd w:val="clear" w:color="auto" w:fill="FFFFFF"/>
        </w:rPr>
        <w:t xml:space="preserve"> (e.g., racial identity) or future jobs</w:t>
      </w:r>
      <w:r w:rsidRPr="006368A5">
        <w:rPr>
          <w:shd w:val="clear" w:color="auto" w:fill="FFFFFF"/>
        </w:rPr>
        <w:t xml:space="preserve">, </w:t>
      </w:r>
      <w:r w:rsidRPr="006368A5">
        <w:rPr>
          <w:rFonts w:hint="eastAsia"/>
          <w:shd w:val="clear" w:color="auto" w:fill="FFFFFF"/>
        </w:rPr>
        <w:t>they voluntarily practiced investment strategies to fully express themselves and communicate their messages</w:t>
      </w:r>
      <w:r w:rsidRPr="006368A5">
        <w:rPr>
          <w:shd w:val="clear" w:color="auto" w:fill="FFFFFF"/>
        </w:rPr>
        <w:t xml:space="preserve"> (</w:t>
      </w:r>
      <w:r w:rsidRPr="006368A5">
        <w:rPr>
          <w:shd w:val="clear" w:color="auto" w:fill="FFFFFF"/>
        </w:rPr>
        <w:fldChar w:fldCharType="begin"/>
      </w:r>
      <w:r w:rsidRPr="006368A5">
        <w:rPr>
          <w:shd w:val="clear" w:color="auto" w:fill="FFFFFF"/>
        </w:rPr>
        <w:instrText xml:space="preserve"> ADDIN ZOTERO_ITEM CSL_CITATION {"citationID":"cDrhw7dE","properties":{"formattedCitation":"(Schneider, 2022)","plainCitation":"(Schneider, 2022)","dontUpdate":true,"noteIndex":0},"citationItems":[{"id":82,"uris":["http://zotero.org/users/9207091/items/CUKW63SF"],"itemData":{"id":82,"type":"article-journal","abstract":"Working within the framework of language learner strategies, and more speciﬁcally strategies employed by L2 writers, this article presents ﬁndings from a qualitative, longitudinal study of seven international college students in the United States. On the basis of data comprising 54 interviews with the students over a period of four years, and over 100 samples of their written work, three questions are addressed: 1) What strategies did the students use to achieve writing success within their academic discourse community? 2) How did the writers’ decisions to employ speciﬁc strategies reﬂect academic and other goals? 3) How did the students’ uses of strategies over time reﬂect their evolving identities? Findings indicate that the students all used diverse strategic repertoires, and that their implementations of speciﬁc actions in speciﬁc contexts were reﬂective of unique goals and aspirations. By highlighting links among strategies, goals, and identities, this article proposes an understanding of advanced EAL writers as nimble, self-aware actors whose approaches to composing indicate not only their interests in developing new competencies in English, but also their desires to construct future selves.","container-title":"TESOL Quarterly","DOI":"10.1002/tesq.3061","ISSN":"0039-8322, 1545-7249","issue":"1","journalAbbreviation":"TESOL Quarterly","language":"en","page":"230-253","source":"DOI.org (Crossref)","title":"Writing strategies as acts of identity","volume":"56","author":[{"family":"Schneider","given":"Jason"}],"issued":{"date-parts":[["2022",3]]}}}],"schema":"https://github.com/citation-style-language/schema/raw/master/csl-citation.json"} </w:instrText>
      </w:r>
      <w:r w:rsidRPr="006368A5">
        <w:rPr>
          <w:shd w:val="clear" w:color="auto" w:fill="FFFFFF"/>
        </w:rPr>
        <w:fldChar w:fldCharType="separate"/>
      </w:r>
      <w:r w:rsidRPr="006368A5">
        <w:rPr>
          <w:rFonts w:cs="Times New Roman"/>
        </w:rPr>
        <w:t>Schneider, 2022)</w:t>
      </w:r>
      <w:r w:rsidRPr="006368A5">
        <w:rPr>
          <w:shd w:val="clear" w:color="auto" w:fill="FFFFFF"/>
        </w:rPr>
        <w:fldChar w:fldCharType="end"/>
      </w:r>
      <w:r w:rsidRPr="006368A5">
        <w:rPr>
          <w:rFonts w:hint="eastAsia"/>
          <w:shd w:val="clear" w:color="auto" w:fill="FFFFFF"/>
        </w:rPr>
        <w:t xml:space="preserve">. Personal connections to their academic tasks powerfully motivated students internally to (re)examine available resources to </w:t>
      </w:r>
      <w:r w:rsidRPr="006368A5">
        <w:rPr>
          <w:shd w:val="clear" w:color="auto" w:fill="FFFFFF"/>
        </w:rPr>
        <w:t>continuously</w:t>
      </w:r>
      <w:r w:rsidRPr="006368A5">
        <w:rPr>
          <w:rFonts w:hint="eastAsia"/>
          <w:shd w:val="clear" w:color="auto" w:fill="FFFFFF"/>
        </w:rPr>
        <w:t xml:space="preserve"> </w:t>
      </w:r>
      <w:r w:rsidRPr="006368A5">
        <w:rPr>
          <w:shd w:val="clear" w:color="auto" w:fill="FFFFFF"/>
        </w:rPr>
        <w:t>improve</w:t>
      </w:r>
      <w:r w:rsidRPr="006368A5">
        <w:rPr>
          <w:rFonts w:hint="eastAsia"/>
          <w:shd w:val="clear" w:color="auto" w:fill="FFFFFF"/>
        </w:rPr>
        <w:t xml:space="preserve"> their work. One way to create such connections between EAP courses and the students</w:t>
      </w:r>
      <w:r w:rsidRPr="006368A5">
        <w:rPr>
          <w:shd w:val="clear" w:color="auto" w:fill="FFFFFF"/>
        </w:rPr>
        <w:t>’</w:t>
      </w:r>
      <w:r w:rsidRPr="006368A5">
        <w:rPr>
          <w:rFonts w:hint="eastAsia"/>
          <w:shd w:val="clear" w:color="auto" w:fill="FFFFFF"/>
        </w:rPr>
        <w:t xml:space="preserve"> majors is to design graded tasks </w:t>
      </w:r>
      <w:r w:rsidRPr="006368A5">
        <w:rPr>
          <w:shd w:val="clear" w:color="auto" w:fill="FFFFFF"/>
        </w:rPr>
        <w:t>in which</w:t>
      </w:r>
      <w:r w:rsidRPr="006368A5">
        <w:rPr>
          <w:rFonts w:hint="eastAsia"/>
          <w:shd w:val="clear" w:color="auto" w:fill="FFFFFF"/>
        </w:rPr>
        <w:t xml:space="preserve"> students consult a disciplinary-focused writing topic with their advisor in their program and seek their feedback on initial drafts. This not only empower</w:t>
      </w:r>
      <w:r w:rsidRPr="006368A5">
        <w:rPr>
          <w:shd w:val="clear" w:color="auto" w:fill="FFFFFF"/>
        </w:rPr>
        <w:t>s</w:t>
      </w:r>
      <w:r w:rsidRPr="006368A5">
        <w:rPr>
          <w:rFonts w:hint="eastAsia"/>
          <w:shd w:val="clear" w:color="auto" w:fill="FFFFFF"/>
        </w:rPr>
        <w:t xml:space="preserve"> students to identify a </w:t>
      </w:r>
      <w:r w:rsidRPr="006368A5">
        <w:rPr>
          <w:shd w:val="clear" w:color="auto" w:fill="FFFFFF"/>
        </w:rPr>
        <w:t>significant</w:t>
      </w:r>
      <w:r w:rsidRPr="006368A5">
        <w:rPr>
          <w:rFonts w:hint="eastAsia"/>
          <w:shd w:val="clear" w:color="auto" w:fill="FFFFFF"/>
        </w:rPr>
        <w:t xml:space="preserve"> and meaningful topic in their major, expand their knowledge, and enrich their identity in their field</w:t>
      </w:r>
      <w:r w:rsidRPr="006368A5">
        <w:rPr>
          <w:shd w:val="clear" w:color="auto" w:fill="FFFFFF"/>
        </w:rPr>
        <w:t xml:space="preserve">, but it also </w:t>
      </w:r>
      <w:r w:rsidRPr="006368A5">
        <w:rPr>
          <w:rFonts w:hint="eastAsia"/>
          <w:shd w:val="clear" w:color="auto" w:fill="FFFFFF"/>
        </w:rPr>
        <w:t>help</w:t>
      </w:r>
      <w:r w:rsidRPr="006368A5">
        <w:rPr>
          <w:shd w:val="clear" w:color="auto" w:fill="FFFFFF"/>
        </w:rPr>
        <w:t>s</w:t>
      </w:r>
      <w:r w:rsidRPr="006368A5">
        <w:rPr>
          <w:rFonts w:hint="eastAsia"/>
          <w:shd w:val="clear" w:color="auto" w:fill="FFFFFF"/>
        </w:rPr>
        <w:t xml:space="preserve"> </w:t>
      </w:r>
      <w:r w:rsidRPr="006368A5">
        <w:rPr>
          <w:shd w:val="clear" w:color="auto" w:fill="FFFFFF"/>
        </w:rPr>
        <w:t>dispel</w:t>
      </w:r>
      <w:r w:rsidRPr="006368A5">
        <w:rPr>
          <w:rFonts w:hint="eastAsia"/>
          <w:shd w:val="clear" w:color="auto" w:fill="FFFFFF"/>
        </w:rPr>
        <w:t xml:space="preserve"> a common myth of EAP as generic writing and promote students</w:t>
      </w:r>
      <w:r w:rsidRPr="006368A5">
        <w:rPr>
          <w:shd w:val="clear" w:color="auto" w:fill="FFFFFF"/>
        </w:rPr>
        <w:t>’</w:t>
      </w:r>
      <w:r w:rsidRPr="006368A5">
        <w:rPr>
          <w:rFonts w:hint="eastAsia"/>
          <w:shd w:val="clear" w:color="auto" w:fill="FFFFFF"/>
        </w:rPr>
        <w:t xml:space="preserve"> greater awareness of transferability between EAP and their disciplinary writing. </w:t>
      </w:r>
    </w:p>
    <w:p w14:paraId="6A65707F" w14:textId="77777777" w:rsidR="00E027AC" w:rsidRPr="006368A5" w:rsidRDefault="00E027AC" w:rsidP="00E027AC">
      <w:pPr>
        <w:pStyle w:val="L2JBody"/>
        <w:rPr>
          <w:shd w:val="clear" w:color="auto" w:fill="FFFFFF"/>
        </w:rPr>
      </w:pPr>
      <w:r w:rsidRPr="006368A5">
        <w:rPr>
          <w:rFonts w:hint="eastAsia"/>
          <w:shd w:val="clear" w:color="auto" w:fill="FFFFFF"/>
        </w:rPr>
        <w:t>Second, embrac</w:t>
      </w:r>
      <w:r w:rsidRPr="006368A5">
        <w:rPr>
          <w:shd w:val="clear" w:color="auto" w:fill="FFFFFF"/>
        </w:rPr>
        <w:t>ing</w:t>
      </w:r>
      <w:r w:rsidRPr="006368A5">
        <w:rPr>
          <w:rFonts w:hint="eastAsia"/>
          <w:shd w:val="clear" w:color="auto" w:fill="FFFFFF"/>
        </w:rPr>
        <w:t xml:space="preserve"> inclusive teaching approaches in EAP contexts</w:t>
      </w:r>
      <w:r w:rsidRPr="006368A5">
        <w:rPr>
          <w:shd w:val="clear" w:color="auto" w:fill="FFFFFF"/>
        </w:rPr>
        <w:t xml:space="preserve"> is essential</w:t>
      </w:r>
      <w:r w:rsidRPr="006368A5">
        <w:rPr>
          <w:rFonts w:hint="eastAsia"/>
          <w:shd w:val="clear" w:color="auto" w:fill="FFFFFF"/>
        </w:rPr>
        <w:t xml:space="preserve">. </w:t>
      </w:r>
      <w:r w:rsidRPr="006368A5">
        <w:rPr>
          <w:shd w:val="clear" w:color="auto" w:fill="FFFFFF"/>
        </w:rPr>
        <w:t>One</w:t>
      </w:r>
      <w:r w:rsidRPr="006368A5">
        <w:rPr>
          <w:rFonts w:hint="eastAsia"/>
          <w:shd w:val="clear" w:color="auto" w:fill="FFFFFF"/>
        </w:rPr>
        <w:t xml:space="preserve"> way to </w:t>
      </w:r>
      <w:r w:rsidRPr="006368A5">
        <w:rPr>
          <w:shd w:val="clear" w:color="auto" w:fill="FFFFFF"/>
        </w:rPr>
        <w:t>do so</w:t>
      </w:r>
      <w:r w:rsidRPr="006368A5">
        <w:rPr>
          <w:rFonts w:hint="eastAsia"/>
          <w:shd w:val="clear" w:color="auto" w:fill="FFFFFF"/>
        </w:rPr>
        <w:t xml:space="preserve"> is </w:t>
      </w:r>
      <w:r w:rsidRPr="006368A5">
        <w:rPr>
          <w:shd w:val="clear" w:color="auto" w:fill="FFFFFF"/>
        </w:rPr>
        <w:t xml:space="preserve">by </w:t>
      </w:r>
      <w:r w:rsidRPr="006368A5">
        <w:rPr>
          <w:rFonts w:hint="eastAsia"/>
          <w:shd w:val="clear" w:color="auto" w:fill="FFFFFF"/>
        </w:rPr>
        <w:t>actively acknowledging students</w:t>
      </w:r>
      <w:r w:rsidRPr="006368A5">
        <w:rPr>
          <w:shd w:val="clear" w:color="auto" w:fill="FFFFFF"/>
        </w:rPr>
        <w:t>’</w:t>
      </w:r>
      <w:r w:rsidRPr="006368A5">
        <w:rPr>
          <w:rFonts w:hint="eastAsia"/>
          <w:shd w:val="clear" w:color="auto" w:fill="FFFFFF"/>
        </w:rPr>
        <w:t xml:space="preserve"> funds of knowledge, constructed through their prior language and cultural </w:t>
      </w:r>
      <w:r w:rsidRPr="006368A5">
        <w:rPr>
          <w:shd w:val="clear" w:color="auto" w:fill="FFFFFF"/>
        </w:rPr>
        <w:t>experience</w:t>
      </w:r>
      <w:r w:rsidRPr="006368A5">
        <w:rPr>
          <w:rFonts w:hint="eastAsia"/>
          <w:shd w:val="clear" w:color="auto" w:fill="FFFFFF"/>
        </w:rPr>
        <w:t xml:space="preserve">s, as valuable assets for synthesis writing. </w:t>
      </w:r>
      <w:r w:rsidRPr="006368A5">
        <w:rPr>
          <w:shd w:val="clear" w:color="auto" w:fill="FFFFFF"/>
        </w:rPr>
        <w:t>I</w:t>
      </w:r>
      <w:r w:rsidRPr="006368A5">
        <w:rPr>
          <w:rFonts w:hint="eastAsia"/>
          <w:shd w:val="clear" w:color="auto" w:fill="FFFFFF"/>
        </w:rPr>
        <w:t xml:space="preserve">nstructors should </w:t>
      </w:r>
      <w:r w:rsidRPr="006368A5">
        <w:rPr>
          <w:shd w:val="clear" w:color="auto" w:fill="FFFFFF"/>
        </w:rPr>
        <w:t xml:space="preserve">also </w:t>
      </w:r>
      <w:r w:rsidRPr="006368A5">
        <w:rPr>
          <w:rFonts w:hint="eastAsia"/>
          <w:shd w:val="clear" w:color="auto" w:fill="FFFFFF"/>
        </w:rPr>
        <w:t xml:space="preserve">encourage students to express their ideas and insights through various modalities (e.g., images or diagrams) and use them as resources to help build their </w:t>
      </w:r>
      <w:r w:rsidRPr="006368A5">
        <w:rPr>
          <w:shd w:val="clear" w:color="auto" w:fill="FFFFFF"/>
        </w:rPr>
        <w:t>mental</w:t>
      </w:r>
      <w:r w:rsidRPr="006368A5">
        <w:rPr>
          <w:rFonts w:hint="eastAsia"/>
          <w:shd w:val="clear" w:color="auto" w:fill="FFFFFF"/>
        </w:rPr>
        <w:t xml:space="preserve"> synthesis effectively. </w:t>
      </w:r>
      <w:r w:rsidRPr="006368A5">
        <w:rPr>
          <w:shd w:val="clear" w:color="auto" w:fill="FFFFFF"/>
        </w:rPr>
        <w:t>Instructors of</w:t>
      </w:r>
      <w:r w:rsidRPr="006368A5">
        <w:rPr>
          <w:rFonts w:hint="eastAsia"/>
          <w:shd w:val="clear" w:color="auto" w:fill="FFFFFF"/>
        </w:rPr>
        <w:t xml:space="preserve"> EAP writing </w:t>
      </w:r>
      <w:r w:rsidRPr="006368A5">
        <w:rPr>
          <w:shd w:val="clear" w:color="auto" w:fill="FFFFFF"/>
        </w:rPr>
        <w:t xml:space="preserve">have </w:t>
      </w:r>
      <w:r w:rsidRPr="006368A5">
        <w:rPr>
          <w:rFonts w:hint="eastAsia"/>
          <w:shd w:val="clear" w:color="auto" w:fill="FFFFFF"/>
        </w:rPr>
        <w:t>traditionally prioritized familiarizing students with predetermined genre expectations and rhetoric</w:t>
      </w:r>
      <w:r w:rsidRPr="006368A5">
        <w:rPr>
          <w:shd w:val="clear" w:color="auto" w:fill="FFFFFF"/>
        </w:rPr>
        <w:t>al</w:t>
      </w:r>
      <w:r w:rsidRPr="006368A5">
        <w:rPr>
          <w:rFonts w:hint="eastAsia"/>
          <w:shd w:val="clear" w:color="auto" w:fill="FFFFFF"/>
        </w:rPr>
        <w:t xml:space="preserve"> structures informed by </w:t>
      </w:r>
      <w:r w:rsidRPr="006368A5">
        <w:rPr>
          <w:shd w:val="clear" w:color="auto" w:fill="FFFFFF"/>
        </w:rPr>
        <w:t>W</w:t>
      </w:r>
      <w:r w:rsidRPr="006368A5">
        <w:rPr>
          <w:rFonts w:hint="eastAsia"/>
          <w:shd w:val="clear" w:color="auto" w:fill="FFFFFF"/>
        </w:rPr>
        <w:t xml:space="preserve">estern ideologies of writing </w:t>
      </w:r>
      <w:r w:rsidRPr="006368A5">
        <w:rPr>
          <w:shd w:val="clear" w:color="auto" w:fill="FFFFFF"/>
        </w:rPr>
        <w:fldChar w:fldCharType="begin"/>
      </w:r>
      <w:r w:rsidRPr="006368A5">
        <w:rPr>
          <w:shd w:val="clear" w:color="auto" w:fill="FFFFFF"/>
        </w:rPr>
        <w:instrText xml:space="preserve"> ADDIN ZOTERO_ITEM CSL_CITATION {"citationID":"SLWr62U2","properties":{"formattedCitation":"(de Magalh\\uc0\\u227{}es et al., 2019)","plainCitation":"(de Magalhães et al., 2019)","noteIndex":0},"citationItems":[{"id":832,"uris":["http://zotero.org/users/9207091/items/CK3SVL5I"],"itemData":{"id":832,"type":"article-journal","container-title":"Journal of Second Language Writing","page":"4-14","title":"Identity, voice and agency in two EAL doctoral writing contexts","volume":"43","author":[{"family":"Magalhães","given":"M.B.","non-dropping-particle":"de"},{"family":"Cotterall","given":"S."},{"family":"Mideros","given":"D."}],"issued":{"date-parts":[["2019"]]}}}],"schema":"https://github.com/citation-style-language/schema/raw/master/csl-citation.json"} </w:instrText>
      </w:r>
      <w:r w:rsidRPr="006368A5">
        <w:rPr>
          <w:shd w:val="clear" w:color="auto" w:fill="FFFFFF"/>
        </w:rPr>
        <w:fldChar w:fldCharType="separate"/>
      </w:r>
      <w:r w:rsidRPr="006368A5">
        <w:rPr>
          <w:rFonts w:cs="Times New Roman"/>
        </w:rPr>
        <w:t>(de Magalhães et al., 2019)</w:t>
      </w:r>
      <w:r w:rsidRPr="006368A5">
        <w:rPr>
          <w:shd w:val="clear" w:color="auto" w:fill="FFFFFF"/>
        </w:rPr>
        <w:fldChar w:fldCharType="end"/>
      </w:r>
      <w:r w:rsidRPr="006368A5">
        <w:rPr>
          <w:rFonts w:hint="eastAsia"/>
          <w:shd w:val="clear" w:color="auto" w:fill="FFFFFF"/>
        </w:rPr>
        <w:t xml:space="preserve">, </w:t>
      </w:r>
      <w:r w:rsidRPr="006368A5">
        <w:rPr>
          <w:shd w:val="clear" w:color="auto" w:fill="FFFFFF"/>
        </w:rPr>
        <w:t xml:space="preserve">but </w:t>
      </w:r>
      <w:r w:rsidRPr="006368A5">
        <w:rPr>
          <w:rFonts w:hint="eastAsia"/>
          <w:shd w:val="clear" w:color="auto" w:fill="FFFFFF"/>
        </w:rPr>
        <w:t xml:space="preserve">some L2 students </w:t>
      </w:r>
      <w:r w:rsidRPr="006368A5">
        <w:rPr>
          <w:shd w:val="clear" w:color="auto" w:fill="FFFFFF"/>
        </w:rPr>
        <w:t xml:space="preserve">have </w:t>
      </w:r>
      <w:r w:rsidRPr="006368A5">
        <w:rPr>
          <w:rFonts w:hint="eastAsia"/>
          <w:shd w:val="clear" w:color="auto" w:fill="FFFFFF"/>
        </w:rPr>
        <w:t>chose</w:t>
      </w:r>
      <w:r w:rsidRPr="006368A5">
        <w:rPr>
          <w:shd w:val="clear" w:color="auto" w:fill="FFFFFF"/>
        </w:rPr>
        <w:t>n</w:t>
      </w:r>
      <w:r w:rsidRPr="006368A5">
        <w:rPr>
          <w:rFonts w:hint="eastAsia"/>
          <w:shd w:val="clear" w:color="auto" w:fill="FFFFFF"/>
        </w:rPr>
        <w:t xml:space="preserve"> to detach from their classroom writing practices if their perspectives were dismissed as </w:t>
      </w:r>
      <w:r w:rsidRPr="006368A5">
        <w:rPr>
          <w:rFonts w:hint="eastAsia"/>
          <w:shd w:val="clear" w:color="auto" w:fill="FFFFFF"/>
        </w:rPr>
        <w:lastRenderedPageBreak/>
        <w:t xml:space="preserve">unimportant or inadequate </w:t>
      </w:r>
      <w:r w:rsidRPr="006368A5">
        <w:rPr>
          <w:shd w:val="clear" w:color="auto" w:fill="FFFFFF"/>
        </w:rPr>
        <w:fldChar w:fldCharType="begin"/>
      </w:r>
      <w:r w:rsidRPr="006368A5">
        <w:rPr>
          <w:shd w:val="clear" w:color="auto" w:fill="FFFFFF"/>
        </w:rPr>
        <w:instrText xml:space="preserve"> ADDIN ZOTERO_ITEM CSL_CITATION {"citationID":"KxzkIcFO","properties":{"formattedCitation":"(Canagarajah, 2024)","plainCitation":"(Canagarajah, 2024)","noteIndex":0},"citationItems":[{"id":3704,"uris":["http://zotero.org/users/9207091/items/R26I3V28"],"itemData":{"id":3704,"type":"article-journal","container-title":"TESOL Quarterly","issue":"1","note":"ISBN: 0039-8322\npublisher: Wiley Online Library","page":"280-306","title":"Decolonizing academic writing pedagogies for multilingual students","volume":"58","author":[{"family":"Canagarajah","given":"Suresh"}],"issued":{"date-parts":[["2024"]]}}}],"schema":"https://github.com/citation-style-language/schema/raw/master/csl-citation.json"} </w:instrText>
      </w:r>
      <w:r w:rsidRPr="006368A5">
        <w:rPr>
          <w:shd w:val="clear" w:color="auto" w:fill="FFFFFF"/>
        </w:rPr>
        <w:fldChar w:fldCharType="separate"/>
      </w:r>
      <w:r w:rsidRPr="006368A5">
        <w:rPr>
          <w:rFonts w:cs="Times New Roman"/>
        </w:rPr>
        <w:t>(</w:t>
      </w:r>
      <w:proofErr w:type="spellStart"/>
      <w:r w:rsidRPr="006368A5">
        <w:rPr>
          <w:rFonts w:cs="Times New Roman"/>
        </w:rPr>
        <w:t>Canagarajah</w:t>
      </w:r>
      <w:proofErr w:type="spellEnd"/>
      <w:r w:rsidRPr="006368A5">
        <w:rPr>
          <w:rFonts w:cs="Times New Roman"/>
        </w:rPr>
        <w:t>, 2024)</w:t>
      </w:r>
      <w:r w:rsidRPr="006368A5">
        <w:rPr>
          <w:shd w:val="clear" w:color="auto" w:fill="FFFFFF"/>
        </w:rPr>
        <w:fldChar w:fldCharType="end"/>
      </w:r>
      <w:r w:rsidRPr="006368A5">
        <w:rPr>
          <w:rFonts w:hint="eastAsia"/>
          <w:shd w:val="clear" w:color="auto" w:fill="FFFFFF"/>
        </w:rPr>
        <w:t xml:space="preserve">. To </w:t>
      </w:r>
      <w:r w:rsidRPr="006368A5">
        <w:rPr>
          <w:shd w:val="clear" w:color="auto" w:fill="FFFFFF"/>
        </w:rPr>
        <w:t>foster</w:t>
      </w:r>
      <w:r w:rsidRPr="006368A5">
        <w:rPr>
          <w:rFonts w:hint="eastAsia"/>
          <w:shd w:val="clear" w:color="auto" w:fill="FFFFFF"/>
        </w:rPr>
        <w:t xml:space="preserve"> students</w:t>
      </w:r>
      <w:r w:rsidRPr="006368A5">
        <w:rPr>
          <w:shd w:val="clear" w:color="auto" w:fill="FFFFFF"/>
        </w:rPr>
        <w:t>’</w:t>
      </w:r>
      <w:r w:rsidRPr="006368A5">
        <w:rPr>
          <w:rFonts w:hint="eastAsia"/>
          <w:shd w:val="clear" w:color="auto" w:fill="FFFFFF"/>
        </w:rPr>
        <w:t xml:space="preserve"> engagement and their willingness to participate in class and learn, incorporating inclusive teaching approaches </w:t>
      </w:r>
      <w:r w:rsidRPr="006368A5">
        <w:rPr>
          <w:shd w:val="clear" w:color="auto" w:fill="FFFFFF"/>
        </w:rPr>
        <w:t>is vital</w:t>
      </w:r>
      <w:r w:rsidRPr="006368A5">
        <w:rPr>
          <w:rFonts w:hint="eastAsia"/>
          <w:shd w:val="clear" w:color="auto" w:fill="FFFFFF"/>
        </w:rPr>
        <w:t>.</w:t>
      </w:r>
    </w:p>
    <w:p w14:paraId="5099987E" w14:textId="77777777" w:rsidR="00E027AC" w:rsidRPr="006368A5" w:rsidRDefault="00E027AC" w:rsidP="00E027AC">
      <w:pPr>
        <w:pStyle w:val="L2JBody"/>
        <w:rPr>
          <w:shd w:val="clear" w:color="auto" w:fill="FFFFFF"/>
        </w:rPr>
      </w:pPr>
      <w:r w:rsidRPr="006368A5">
        <w:rPr>
          <w:rFonts w:hint="eastAsia"/>
          <w:shd w:val="clear" w:color="auto" w:fill="FFFFFF"/>
        </w:rPr>
        <w:t>Most importantly, students</w:t>
      </w:r>
      <w:r w:rsidRPr="006368A5">
        <w:rPr>
          <w:shd w:val="clear" w:color="auto" w:fill="FFFFFF"/>
        </w:rPr>
        <w:t>’</w:t>
      </w:r>
      <w:r w:rsidRPr="006368A5">
        <w:rPr>
          <w:rFonts w:hint="eastAsia"/>
          <w:shd w:val="clear" w:color="auto" w:fill="FFFFFF"/>
        </w:rPr>
        <w:t xml:space="preserve"> synthesis writing does not improve overnight </w:t>
      </w:r>
      <w:r w:rsidRPr="006368A5">
        <w:rPr>
          <w:shd w:val="clear" w:color="auto" w:fill="FFFFFF"/>
        </w:rPr>
        <w:t>(</w:t>
      </w:r>
      <w:r w:rsidRPr="006368A5">
        <w:rPr>
          <w:shd w:val="clear" w:color="auto" w:fill="FFFFFF"/>
        </w:rPr>
        <w:fldChar w:fldCharType="begin"/>
      </w:r>
      <w:r w:rsidRPr="006368A5">
        <w:rPr>
          <w:shd w:val="clear" w:color="auto" w:fill="FFFFFF"/>
        </w:rPr>
        <w:instrText xml:space="preserve"> ADDIN ZOTERO_ITEM CSL_CITATION {"citationID":"7XdKY0Uu","properties":{"formattedCitation":"(Hirvela, 2016)","plainCitation":"(Hirvela, 2016)","dontUpdate":true,"noteIndex":0},"citationItems":[{"id":892,"uris":["http://zotero.org/users/9207091/items/QGZJC3XZ"],"itemData":{"id":892,"type":"book","edition":"2nd","publisher":"University of Michigan Press","title":"Connecting reading and writing in second language writing instruction.","URL":"https://doi.org/10.3998/mpub.8122864","author":[{"family":"Hirvela","given":"Alan"}],"issued":{"date-parts":[["2016"]]}}}],"schema":"https://github.com/citation-style-language/schema/raw/master/csl-citation.json"} </w:instrText>
      </w:r>
      <w:r w:rsidRPr="006368A5">
        <w:rPr>
          <w:shd w:val="clear" w:color="auto" w:fill="FFFFFF"/>
        </w:rPr>
        <w:fldChar w:fldCharType="separate"/>
      </w:r>
      <w:r w:rsidRPr="006368A5">
        <w:rPr>
          <w:rFonts w:cs="Times New Roman"/>
        </w:rPr>
        <w:t>Hirvela, 2016)</w:t>
      </w:r>
      <w:r w:rsidRPr="006368A5">
        <w:rPr>
          <w:shd w:val="clear" w:color="auto" w:fill="FFFFFF"/>
        </w:rPr>
        <w:fldChar w:fldCharType="end"/>
      </w:r>
      <w:r w:rsidRPr="006368A5">
        <w:rPr>
          <w:shd w:val="clear" w:color="auto" w:fill="FFFFFF"/>
        </w:rPr>
        <w:t>;</w:t>
      </w:r>
      <w:r w:rsidRPr="006368A5">
        <w:rPr>
          <w:rFonts w:hint="eastAsia"/>
          <w:shd w:val="clear" w:color="auto" w:fill="FFFFFF"/>
        </w:rPr>
        <w:t xml:space="preserve"> </w:t>
      </w:r>
      <w:r w:rsidRPr="006368A5">
        <w:rPr>
          <w:shd w:val="clear" w:color="auto" w:fill="FFFFFF"/>
        </w:rPr>
        <w:t>thus,</w:t>
      </w:r>
      <w:r w:rsidRPr="006368A5">
        <w:rPr>
          <w:rFonts w:hint="eastAsia"/>
          <w:shd w:val="clear" w:color="auto" w:fill="FFFFFF"/>
        </w:rPr>
        <w:t xml:space="preserve"> careful step-by-step guidance </w:t>
      </w:r>
      <w:r w:rsidRPr="006368A5">
        <w:rPr>
          <w:shd w:val="clear" w:color="auto" w:fill="FFFFFF"/>
        </w:rPr>
        <w:t xml:space="preserve">is </w:t>
      </w:r>
      <w:r w:rsidRPr="006368A5">
        <w:rPr>
          <w:rFonts w:hint="eastAsia"/>
          <w:shd w:val="clear" w:color="auto" w:fill="FFFFFF"/>
        </w:rPr>
        <w:t>needed (</w:t>
      </w:r>
      <w:r w:rsidRPr="006368A5">
        <w:rPr>
          <w:shd w:val="clear" w:color="auto" w:fill="FFFFFF"/>
        </w:rPr>
        <w:fldChar w:fldCharType="begin"/>
      </w:r>
      <w:r w:rsidRPr="006368A5">
        <w:rPr>
          <w:shd w:val="clear" w:color="auto" w:fill="FFFFFF"/>
        </w:rPr>
        <w:instrText xml:space="preserve"> ADDIN ZOTERO_ITEM CSL_CITATION {"citationID":"GzsINLFe","properties":{"formattedCitation":"(Doolan &amp; Fitzsimmons-Doolan, 2024)","plainCitation":"(Doolan &amp; Fitzsimmons-Doolan, 2024)","dontUpdate":true,"noteIndex":0},"citationItems":[{"id":3423,"uris":["http://zotero.org/users/9207091/items/88HAG9PH"],"itemData":{"id":3423,"type":"chapter","container-title":"Teaching and learning source-based writing","edition":"1","page":"124–139","publisher":"Routledge","source":"Google Scholar","title":"Scaffolding instruction for post-secondary L2 synthesis writing","URL":"https://www.taylorfrancis.com/chapters/edit/10.4324/9781003283485-11/scaffolding-instruction-post-secondary-l2-synthesis-writing-stephen-doolan-shannon-fitzsimmons-doolan","author":[{"family":"Doolan","given":"Stephen M."},{"family":"Fitzsimmons-Doolan","given":"Shannon"}],"editor":[{"family":"Wette","given":"Rosemary"}],"accessed":{"date-parts":[["2024",11,6]]},"issued":{"date-parts":[["2024"]]}}}],"schema":"https://github.com/citation-style-language/schema/raw/master/csl-citation.json"} </w:instrText>
      </w:r>
      <w:r w:rsidRPr="006368A5">
        <w:rPr>
          <w:shd w:val="clear" w:color="auto" w:fill="FFFFFF"/>
        </w:rPr>
        <w:fldChar w:fldCharType="separate"/>
      </w:r>
      <w:r w:rsidRPr="006368A5">
        <w:rPr>
          <w:rFonts w:cs="Times New Roman"/>
        </w:rPr>
        <w:t>Doolan &amp; Fitzsimmons-Doolan</w:t>
      </w:r>
      <w:r w:rsidRPr="006368A5">
        <w:rPr>
          <w:rFonts w:cs="Times New Roman" w:hint="eastAsia"/>
        </w:rPr>
        <w:t xml:space="preserve">, </w:t>
      </w:r>
      <w:r w:rsidRPr="006368A5">
        <w:rPr>
          <w:rFonts w:cs="Times New Roman"/>
        </w:rPr>
        <w:t>2024)</w:t>
      </w:r>
      <w:r w:rsidRPr="006368A5">
        <w:rPr>
          <w:shd w:val="clear" w:color="auto" w:fill="FFFFFF"/>
        </w:rPr>
        <w:fldChar w:fldCharType="end"/>
      </w:r>
      <w:r w:rsidRPr="006368A5">
        <w:rPr>
          <w:shd w:val="clear" w:color="auto" w:fill="FFFFFF"/>
        </w:rPr>
        <w:t>,</w:t>
      </w:r>
      <w:r w:rsidRPr="006368A5">
        <w:rPr>
          <w:rFonts w:hint="eastAsia"/>
          <w:shd w:val="clear" w:color="auto" w:fill="FFFFFF"/>
        </w:rPr>
        <w:t xml:space="preserve"> ranging from source searching, </w:t>
      </w:r>
      <w:r w:rsidRPr="006368A5">
        <w:rPr>
          <w:shd w:val="clear" w:color="auto" w:fill="FFFFFF"/>
        </w:rPr>
        <w:t>extracting</w:t>
      </w:r>
      <w:r w:rsidRPr="006368A5">
        <w:rPr>
          <w:rFonts w:hint="eastAsia"/>
          <w:shd w:val="clear" w:color="auto" w:fill="FFFFFF"/>
        </w:rPr>
        <w:t xml:space="preserve"> common ideas, and effectively incorporating them into writing. </w:t>
      </w:r>
      <w:r w:rsidRPr="006368A5">
        <w:rPr>
          <w:shd w:val="clear" w:color="auto" w:fill="FFFFFF"/>
        </w:rPr>
        <w:t>M</w:t>
      </w:r>
      <w:r w:rsidRPr="006368A5">
        <w:rPr>
          <w:rFonts w:hint="eastAsia"/>
          <w:shd w:val="clear" w:color="auto" w:fill="FFFFFF"/>
        </w:rPr>
        <w:t xml:space="preserve">any studies have </w:t>
      </w:r>
      <w:r w:rsidRPr="006368A5">
        <w:rPr>
          <w:shd w:val="clear" w:color="auto" w:fill="FFFFFF"/>
        </w:rPr>
        <w:t>shown that</w:t>
      </w:r>
      <w:r w:rsidRPr="006368A5">
        <w:rPr>
          <w:rFonts w:hint="eastAsia"/>
          <w:shd w:val="clear" w:color="auto" w:fill="FFFFFF"/>
        </w:rPr>
        <w:t xml:space="preserve"> college students often struggle with synthesis </w:t>
      </w:r>
      <w:r w:rsidRPr="006368A5">
        <w:rPr>
          <w:shd w:val="clear" w:color="auto" w:fill="FFFFFF"/>
        </w:rPr>
        <w:t>writin</w:t>
      </w:r>
      <w:r w:rsidRPr="006368A5">
        <w:rPr>
          <w:rFonts w:hint="eastAsia"/>
          <w:shd w:val="clear" w:color="auto" w:fill="FFFFFF"/>
        </w:rPr>
        <w:t xml:space="preserve">g, </w:t>
      </w:r>
      <w:r w:rsidRPr="006368A5">
        <w:rPr>
          <w:shd w:val="clear" w:color="auto" w:fill="FFFFFF"/>
        </w:rPr>
        <w:t xml:space="preserve">perhaps </w:t>
      </w:r>
      <w:r w:rsidRPr="006368A5">
        <w:rPr>
          <w:rFonts w:hint="eastAsia"/>
          <w:shd w:val="clear" w:color="auto" w:fill="FFFFFF"/>
        </w:rPr>
        <w:t xml:space="preserve">because they are not well-trained </w:t>
      </w:r>
      <w:r w:rsidRPr="006368A5">
        <w:rPr>
          <w:shd w:val="clear" w:color="auto" w:fill="FFFFFF"/>
        </w:rPr>
        <w:t>in</w:t>
      </w:r>
      <w:r w:rsidRPr="006368A5">
        <w:rPr>
          <w:rFonts w:hint="eastAsia"/>
          <w:shd w:val="clear" w:color="auto" w:fill="FFFFFF"/>
        </w:rPr>
        <w:t xml:space="preserve"> K</w:t>
      </w:r>
      <w:r w:rsidRPr="006368A5">
        <w:rPr>
          <w:rFonts w:ascii="Times New Roman" w:hAnsi="Times New Roman" w:cs="Times New Roman"/>
          <w:shd w:val="clear" w:color="auto" w:fill="FFFFFF"/>
        </w:rPr>
        <w:t>‒</w:t>
      </w:r>
      <w:r w:rsidRPr="006368A5">
        <w:rPr>
          <w:rFonts w:hint="eastAsia"/>
          <w:shd w:val="clear" w:color="auto" w:fill="FFFFFF"/>
        </w:rPr>
        <w:t xml:space="preserve">12 education </w:t>
      </w:r>
      <w:r w:rsidRPr="006368A5">
        <w:rPr>
          <w:shd w:val="clear" w:color="auto" w:fill="FFFFFF"/>
        </w:rPr>
        <w:fldChar w:fldCharType="begin"/>
      </w:r>
      <w:r w:rsidRPr="006368A5">
        <w:rPr>
          <w:shd w:val="clear" w:color="auto" w:fill="FFFFFF"/>
        </w:rPr>
        <w:instrText xml:space="preserve"> ADDIN ZOTERO_ITEM CSL_CITATION {"citationID":"jKV2sx4v","properties":{"formattedCitation":"(Baxter &amp; Neumann, 2023)","plainCitation":"(Baxter &amp; Neumann, 2023)","noteIndex":0},"citationItems":[{"id":3242,"uris":["http://zotero.org/users/9207091/items/Y4QXT2RG"],"itemData":{"id":3242,"type":"article-journal","container-title":"Journal of Second Language Writing","note":"publisher: Elsevier","page":"101064","source":"Google Scholar","title":"Source-based writing of the high-and low-proficiency adolescent writer in the high-school L2 classroom","volume":"62","author":[{"family":"Baxter","given":"Gillian"},{"family":"Neumann","given":"Heike"}],"issued":{"date-parts":[["2023"]]}}}],"schema":"https://github.com/citation-style-language/schema/raw/master/csl-citation.json"} </w:instrText>
      </w:r>
      <w:r w:rsidRPr="006368A5">
        <w:rPr>
          <w:shd w:val="clear" w:color="auto" w:fill="FFFFFF"/>
        </w:rPr>
        <w:fldChar w:fldCharType="separate"/>
      </w:r>
      <w:r w:rsidRPr="006368A5">
        <w:rPr>
          <w:rFonts w:cs="Times New Roman"/>
        </w:rPr>
        <w:t>(Baxter &amp; Neumann, 2023)</w:t>
      </w:r>
      <w:r w:rsidRPr="006368A5">
        <w:rPr>
          <w:shd w:val="clear" w:color="auto" w:fill="FFFFFF"/>
        </w:rPr>
        <w:fldChar w:fldCharType="end"/>
      </w:r>
      <w:r w:rsidRPr="006368A5">
        <w:rPr>
          <w:rFonts w:hint="eastAsia"/>
          <w:shd w:val="clear" w:color="auto" w:fill="FFFFFF"/>
        </w:rPr>
        <w:t xml:space="preserve">. </w:t>
      </w:r>
      <w:r w:rsidRPr="006368A5">
        <w:rPr>
          <w:shd w:val="clear" w:color="auto" w:fill="FFFFFF"/>
        </w:rPr>
        <w:t>If so,</w:t>
      </w:r>
      <w:r w:rsidRPr="006368A5">
        <w:rPr>
          <w:rFonts w:hint="eastAsia"/>
          <w:shd w:val="clear" w:color="auto" w:fill="FFFFFF"/>
        </w:rPr>
        <w:t xml:space="preserve"> K</w:t>
      </w:r>
      <w:r w:rsidRPr="006368A5">
        <w:rPr>
          <w:rFonts w:ascii="Times New Roman" w:hAnsi="Times New Roman" w:cs="Times New Roman"/>
          <w:shd w:val="clear" w:color="auto" w:fill="FFFFFF"/>
        </w:rPr>
        <w:t>‒</w:t>
      </w:r>
      <w:r w:rsidRPr="006368A5">
        <w:rPr>
          <w:rFonts w:hint="eastAsia"/>
          <w:shd w:val="clear" w:color="auto" w:fill="FFFFFF"/>
        </w:rPr>
        <w:t>12 teachers</w:t>
      </w:r>
      <w:r w:rsidRPr="006368A5">
        <w:rPr>
          <w:shd w:val="clear" w:color="auto" w:fill="FFFFFF"/>
        </w:rPr>
        <w:t>,</w:t>
      </w:r>
      <w:r w:rsidRPr="006368A5">
        <w:rPr>
          <w:rFonts w:hint="eastAsia"/>
          <w:shd w:val="clear" w:color="auto" w:fill="FFFFFF"/>
        </w:rPr>
        <w:t xml:space="preserve"> especially</w:t>
      </w:r>
      <w:r w:rsidRPr="006368A5">
        <w:rPr>
          <w:shd w:val="clear" w:color="auto" w:fill="FFFFFF"/>
        </w:rPr>
        <w:t xml:space="preserve"> those</w:t>
      </w:r>
      <w:r w:rsidRPr="006368A5">
        <w:rPr>
          <w:rFonts w:hint="eastAsia"/>
          <w:shd w:val="clear" w:color="auto" w:fill="FFFFFF"/>
        </w:rPr>
        <w:t xml:space="preserve"> in high school, may need to allocate more time </w:t>
      </w:r>
      <w:r w:rsidRPr="006368A5">
        <w:rPr>
          <w:shd w:val="clear" w:color="auto" w:fill="FFFFFF"/>
        </w:rPr>
        <w:t>to</w:t>
      </w:r>
      <w:r w:rsidRPr="006368A5">
        <w:rPr>
          <w:rFonts w:hint="eastAsia"/>
          <w:shd w:val="clear" w:color="auto" w:fill="FFFFFF"/>
        </w:rPr>
        <w:t xml:space="preserve"> carefully guid</w:t>
      </w:r>
      <w:r w:rsidRPr="006368A5">
        <w:rPr>
          <w:shd w:val="clear" w:color="auto" w:fill="FFFFFF"/>
        </w:rPr>
        <w:t xml:space="preserve">e </w:t>
      </w:r>
      <w:r w:rsidRPr="006368A5">
        <w:rPr>
          <w:rFonts w:hint="eastAsia"/>
          <w:shd w:val="clear" w:color="auto" w:fill="FFFFFF"/>
        </w:rPr>
        <w:t xml:space="preserve">students </w:t>
      </w:r>
      <w:r w:rsidRPr="006368A5">
        <w:rPr>
          <w:shd w:val="clear" w:color="auto" w:fill="FFFFFF"/>
        </w:rPr>
        <w:t>in</w:t>
      </w:r>
      <w:r w:rsidRPr="006368A5">
        <w:rPr>
          <w:rFonts w:hint="eastAsia"/>
          <w:shd w:val="clear" w:color="auto" w:fill="FFFFFF"/>
        </w:rPr>
        <w:t xml:space="preserve"> compar</w:t>
      </w:r>
      <w:r w:rsidRPr="006368A5">
        <w:rPr>
          <w:shd w:val="clear" w:color="auto" w:fill="FFFFFF"/>
        </w:rPr>
        <w:t>ing</w:t>
      </w:r>
      <w:r w:rsidRPr="006368A5">
        <w:rPr>
          <w:rFonts w:hint="eastAsia"/>
          <w:shd w:val="clear" w:color="auto" w:fill="FFFFFF"/>
        </w:rPr>
        <w:t>, contrast</w:t>
      </w:r>
      <w:r w:rsidRPr="006368A5">
        <w:rPr>
          <w:shd w:val="clear" w:color="auto" w:fill="FFFFFF"/>
        </w:rPr>
        <w:t>ing</w:t>
      </w:r>
      <w:r w:rsidRPr="006368A5">
        <w:rPr>
          <w:rFonts w:hint="eastAsia"/>
          <w:shd w:val="clear" w:color="auto" w:fill="FFFFFF"/>
        </w:rPr>
        <w:t>, and analyz</w:t>
      </w:r>
      <w:r w:rsidRPr="006368A5">
        <w:rPr>
          <w:shd w:val="clear" w:color="auto" w:fill="FFFFFF"/>
        </w:rPr>
        <w:t>ing</w:t>
      </w:r>
      <w:r w:rsidRPr="006368A5">
        <w:rPr>
          <w:rFonts w:hint="eastAsia"/>
          <w:shd w:val="clear" w:color="auto" w:fill="FFFFFF"/>
        </w:rPr>
        <w:t xml:space="preserve"> multiple perspectives with greater specificity. A possible method to achieve this is teachers</w:t>
      </w:r>
      <w:r w:rsidRPr="006368A5">
        <w:rPr>
          <w:shd w:val="clear" w:color="auto" w:fill="FFFFFF"/>
        </w:rPr>
        <w:t>’</w:t>
      </w:r>
      <w:r w:rsidRPr="006368A5">
        <w:rPr>
          <w:rFonts w:hint="eastAsia"/>
          <w:shd w:val="clear" w:color="auto" w:fill="FFFFFF"/>
        </w:rPr>
        <w:t xml:space="preserve"> clear demonstrations of organizing arguments and perspectives, using mind maps or other semiotic resources to model </w:t>
      </w:r>
      <w:r w:rsidRPr="006368A5">
        <w:rPr>
          <w:shd w:val="clear" w:color="auto" w:fill="FFFFFF"/>
        </w:rPr>
        <w:t xml:space="preserve">for </w:t>
      </w:r>
      <w:r w:rsidRPr="006368A5">
        <w:rPr>
          <w:rFonts w:hint="eastAsia"/>
          <w:shd w:val="clear" w:color="auto" w:fill="FFFFFF"/>
        </w:rPr>
        <w:t>students how to use them to create and refine their syntheses. The effectiveness of these multimodal approaches in improving both</w:t>
      </w:r>
      <w:r w:rsidRPr="006368A5">
        <w:rPr>
          <w:shd w:val="clear" w:color="auto" w:fill="FFFFFF"/>
        </w:rPr>
        <w:t xml:space="preserve"> the</w:t>
      </w:r>
      <w:r w:rsidRPr="006368A5">
        <w:rPr>
          <w:rFonts w:hint="eastAsia"/>
          <w:shd w:val="clear" w:color="auto" w:fill="FFFFFF"/>
        </w:rPr>
        <w:t xml:space="preserve"> quality of students</w:t>
      </w:r>
      <w:r w:rsidRPr="006368A5">
        <w:rPr>
          <w:shd w:val="clear" w:color="auto" w:fill="FFFFFF"/>
        </w:rPr>
        <w:t xml:space="preserve">’ </w:t>
      </w:r>
      <w:r w:rsidRPr="006368A5">
        <w:rPr>
          <w:rFonts w:hint="eastAsia"/>
          <w:shd w:val="clear" w:color="auto" w:fill="FFFFFF"/>
        </w:rPr>
        <w:t>synthesis and written arguments has been supported by research findings (</w:t>
      </w:r>
      <w:r w:rsidRPr="006368A5">
        <w:rPr>
          <w:shd w:val="clear" w:color="auto" w:fill="FFFFFF"/>
        </w:rPr>
        <w:fldChar w:fldCharType="begin"/>
      </w:r>
      <w:r w:rsidRPr="006368A5">
        <w:rPr>
          <w:shd w:val="clear" w:color="auto" w:fill="FFFFFF"/>
        </w:rPr>
        <w:instrText xml:space="preserve"> ADDIN ZOTERO_ITEM CSL_CITATION {"citationID":"c72NZCtz","properties":{"formattedCitation":"(Barzilai et al., 2023)","plainCitation":"(Barzilai et al., 2023)","dontUpdate":true,"noteIndex":0},"citationItems":[{"id":2830,"uris":["http://zotero.org/users/9207091/items/YZ2TJQ5W"],"itemData":{"id":2830,"type":"article-journal","abstract":"Visualizations may help students understand the network of connections among multiple documents. This study explored how ninth-grade students used a novel digital document mapping scaffold to construct models of multiple documents. We examined students’ maps and mapping processes in order to understand how they used the scaffold to visually represent multiple scientific documents on a controversial issue. We also investigated the relations between document mapping and argumentative writing in order to clarify how mapping might support written argumentation. Lastly, we explored how students perceived the purposes of document mapping. We found that students used the scaffold to construct several types of models that varied in their degree of source vs. content separation and integration. About half of the students constructed full documents models. Interleaving reading and mapping led to construction of more elaborate and well-integrated maps. Students who created more elaborate and two-sided maps also wrote essays that better integrated multiple documents in order to synthesize and weigh competing arguments. Students who revisited the maps and the documents while writing wrote essays that included and cited more documents. Students described document mapping as a tool for selecting and connecting sources and claims in order to support understanding and writing. These findings reveal how document mapping can support comprehension and integration of multiple documents. The findings also shed new light on how students construct documents models and on the relations between representations of multiple documents and argumentative writing. These results have implications for both theory and instruction.","container-title":"Reading and Writing","DOI":"10.1007/s11145-021-10208-8","ISSN":"0922-4777, 1573-0905","issue":"4","journalAbbreviation":"Read Writ","language":"en","page":"809-847","source":"DOI.org (Crossref)","title":"Mapping multiple documents: From constructing multiple document models to argumentative writing","title-short":"Mapping multiple documents","volume":"36","author":[{"family":"Barzilai","given":"Sarit"},{"family":"Tal-Savir","given":"Danna"},{"family":"Abed","given":"Fayez"},{"family":"Mor-Hagani","given":"Shiri"},{"family":"Zohar","given":"Asnat R."}],"issued":{"date-parts":[["2023",4]]}}}],"schema":"https://github.com/citation-style-language/schema/raw/master/csl-citation.json"} </w:instrText>
      </w:r>
      <w:r w:rsidRPr="006368A5">
        <w:rPr>
          <w:shd w:val="clear" w:color="auto" w:fill="FFFFFF"/>
        </w:rPr>
        <w:fldChar w:fldCharType="separate"/>
      </w:r>
      <w:r w:rsidRPr="006368A5">
        <w:rPr>
          <w:rFonts w:cs="Times New Roman"/>
        </w:rPr>
        <w:t>Barzilai et al.</w:t>
      </w:r>
      <w:r w:rsidRPr="006368A5">
        <w:rPr>
          <w:rFonts w:cs="Times New Roman" w:hint="eastAsia"/>
        </w:rPr>
        <w:t xml:space="preserve">, </w:t>
      </w:r>
      <w:r w:rsidRPr="006368A5">
        <w:rPr>
          <w:rFonts w:cs="Times New Roman"/>
        </w:rPr>
        <w:t>2023)</w:t>
      </w:r>
      <w:r w:rsidRPr="006368A5">
        <w:rPr>
          <w:shd w:val="clear" w:color="auto" w:fill="FFFFFF"/>
        </w:rPr>
        <w:fldChar w:fldCharType="end"/>
      </w:r>
      <w:r w:rsidRPr="006368A5">
        <w:rPr>
          <w:rFonts w:hint="eastAsia"/>
          <w:shd w:val="clear" w:color="auto" w:fill="FFFFFF"/>
        </w:rPr>
        <w:t>.</w:t>
      </w:r>
    </w:p>
    <w:p w14:paraId="2F7C0A3E" w14:textId="77777777" w:rsidR="00E027AC" w:rsidRDefault="00E027AC" w:rsidP="00E027AC">
      <w:pPr>
        <w:pStyle w:val="L2JBody"/>
        <w:rPr>
          <w:shd w:val="clear" w:color="auto" w:fill="FFFFFF"/>
        </w:rPr>
      </w:pPr>
      <w:r w:rsidRPr="006368A5">
        <w:rPr>
          <w:rFonts w:hint="eastAsia"/>
          <w:shd w:val="clear" w:color="auto" w:fill="FFFFFF"/>
        </w:rPr>
        <w:t xml:space="preserve">Finally, for world </w:t>
      </w:r>
      <w:r w:rsidRPr="006368A5">
        <w:rPr>
          <w:shd w:val="clear" w:color="auto" w:fill="FFFFFF"/>
        </w:rPr>
        <w:t>language</w:t>
      </w:r>
      <w:r w:rsidRPr="006368A5">
        <w:rPr>
          <w:rFonts w:hint="eastAsia"/>
          <w:shd w:val="clear" w:color="auto" w:fill="FFFFFF"/>
        </w:rPr>
        <w:t xml:space="preserve"> teachers, invest</w:t>
      </w:r>
      <w:r w:rsidRPr="006368A5">
        <w:rPr>
          <w:shd w:val="clear" w:color="auto" w:fill="FFFFFF"/>
        </w:rPr>
        <w:t>ing</w:t>
      </w:r>
      <w:r w:rsidRPr="006368A5">
        <w:rPr>
          <w:rFonts w:hint="eastAsia"/>
          <w:shd w:val="clear" w:color="auto" w:fill="FFFFFF"/>
        </w:rPr>
        <w:t xml:space="preserve"> more time </w:t>
      </w:r>
      <w:r w:rsidRPr="006368A5">
        <w:rPr>
          <w:shd w:val="clear" w:color="auto" w:fill="FFFFFF"/>
        </w:rPr>
        <w:t xml:space="preserve">in </w:t>
      </w:r>
      <w:r w:rsidRPr="006368A5">
        <w:rPr>
          <w:rFonts w:hint="eastAsia"/>
          <w:shd w:val="clear" w:color="auto" w:fill="FFFFFF"/>
        </w:rPr>
        <w:t xml:space="preserve">examining </w:t>
      </w:r>
      <w:r w:rsidRPr="006368A5">
        <w:rPr>
          <w:shd w:val="clear" w:color="auto" w:fill="FFFFFF"/>
        </w:rPr>
        <w:t xml:space="preserve">the </w:t>
      </w:r>
      <w:r w:rsidRPr="006368A5">
        <w:rPr>
          <w:rFonts w:hint="eastAsia"/>
          <w:shd w:val="clear" w:color="auto" w:fill="FFFFFF"/>
        </w:rPr>
        <w:t>transfer effects between languages</w:t>
      </w:r>
      <w:r w:rsidRPr="006368A5">
        <w:rPr>
          <w:shd w:val="clear" w:color="auto" w:fill="FFFFFF"/>
        </w:rPr>
        <w:t xml:space="preserve"> would be beneficial; f</w:t>
      </w:r>
      <w:r w:rsidRPr="006368A5">
        <w:rPr>
          <w:rFonts w:hint="eastAsia"/>
          <w:shd w:val="clear" w:color="auto" w:fill="FFFFFF"/>
        </w:rPr>
        <w:t xml:space="preserve">or example, Spanish </w:t>
      </w:r>
      <w:r w:rsidRPr="006368A5">
        <w:rPr>
          <w:shd w:val="clear" w:color="auto" w:fill="FFFFFF"/>
        </w:rPr>
        <w:t>language</w:t>
      </w:r>
      <w:r w:rsidRPr="006368A5">
        <w:rPr>
          <w:rFonts w:hint="eastAsia"/>
          <w:shd w:val="clear" w:color="auto" w:fill="FFFFFF"/>
        </w:rPr>
        <w:t xml:space="preserve"> teacher</w:t>
      </w:r>
      <w:r w:rsidRPr="006368A5">
        <w:rPr>
          <w:shd w:val="clear" w:color="auto" w:fill="FFFFFF"/>
        </w:rPr>
        <w:t>s</w:t>
      </w:r>
      <w:r w:rsidRPr="006368A5">
        <w:rPr>
          <w:rFonts w:hint="eastAsia"/>
          <w:shd w:val="clear" w:color="auto" w:fill="FFFFFF"/>
        </w:rPr>
        <w:t xml:space="preserve"> </w:t>
      </w:r>
      <w:r w:rsidRPr="006368A5">
        <w:rPr>
          <w:shd w:val="clear" w:color="auto" w:fill="FFFFFF"/>
        </w:rPr>
        <w:t xml:space="preserve">with </w:t>
      </w:r>
      <w:r w:rsidRPr="006368A5">
        <w:rPr>
          <w:rFonts w:hint="eastAsia"/>
          <w:shd w:val="clear" w:color="auto" w:fill="FFFFFF"/>
        </w:rPr>
        <w:t>native English</w:t>
      </w:r>
      <w:r w:rsidRPr="006368A5">
        <w:rPr>
          <w:shd w:val="clear" w:color="auto" w:fill="FFFFFF"/>
        </w:rPr>
        <w:t>-speaking</w:t>
      </w:r>
      <w:r w:rsidRPr="006368A5">
        <w:rPr>
          <w:rFonts w:hint="eastAsia"/>
          <w:shd w:val="clear" w:color="auto" w:fill="FFFFFF"/>
        </w:rPr>
        <w:t xml:space="preserve"> students</w:t>
      </w:r>
      <w:r w:rsidRPr="006368A5">
        <w:rPr>
          <w:shd w:val="clear" w:color="auto" w:fill="FFFFFF"/>
        </w:rPr>
        <w:t xml:space="preserve"> can </w:t>
      </w:r>
      <w:r w:rsidRPr="006368A5">
        <w:rPr>
          <w:rFonts w:hint="eastAsia"/>
          <w:shd w:val="clear" w:color="auto" w:fill="FFFFFF"/>
        </w:rPr>
        <w:t>scrutiniz</w:t>
      </w:r>
      <w:r w:rsidRPr="006368A5">
        <w:rPr>
          <w:shd w:val="clear" w:color="auto" w:fill="FFFFFF"/>
        </w:rPr>
        <w:t>e</w:t>
      </w:r>
      <w:r w:rsidRPr="006368A5">
        <w:rPr>
          <w:rFonts w:hint="eastAsia"/>
          <w:shd w:val="clear" w:color="auto" w:fill="FFFFFF"/>
        </w:rPr>
        <w:t xml:space="preserve"> how synthesis writing in English is </w:t>
      </w:r>
      <w:proofErr w:type="gramStart"/>
      <w:r w:rsidRPr="006368A5">
        <w:rPr>
          <w:rFonts w:hint="eastAsia"/>
          <w:shd w:val="clear" w:color="auto" w:fill="FFFFFF"/>
        </w:rPr>
        <w:t xml:space="preserve">similar </w:t>
      </w:r>
      <w:r w:rsidRPr="006368A5">
        <w:rPr>
          <w:shd w:val="clear" w:color="auto" w:fill="FFFFFF"/>
        </w:rPr>
        <w:t>to</w:t>
      </w:r>
      <w:proofErr w:type="gramEnd"/>
      <w:r w:rsidRPr="006368A5">
        <w:rPr>
          <w:shd w:val="clear" w:color="auto" w:fill="FFFFFF"/>
        </w:rPr>
        <w:t xml:space="preserve"> </w:t>
      </w:r>
      <w:r w:rsidRPr="006368A5">
        <w:rPr>
          <w:rFonts w:hint="eastAsia"/>
          <w:shd w:val="clear" w:color="auto" w:fill="FFFFFF"/>
        </w:rPr>
        <w:t xml:space="preserve">and different </w:t>
      </w:r>
      <w:r w:rsidRPr="006368A5">
        <w:rPr>
          <w:shd w:val="clear" w:color="auto" w:fill="FFFFFF"/>
        </w:rPr>
        <w:t>from</w:t>
      </w:r>
      <w:r w:rsidRPr="006368A5">
        <w:rPr>
          <w:rFonts w:hint="eastAsia"/>
          <w:shd w:val="clear" w:color="auto" w:fill="FFFFFF"/>
        </w:rPr>
        <w:t xml:space="preserve"> that in Spanish in </w:t>
      </w:r>
      <w:r w:rsidRPr="006368A5">
        <w:rPr>
          <w:shd w:val="clear" w:color="auto" w:fill="FFFFFF"/>
        </w:rPr>
        <w:t>terms</w:t>
      </w:r>
      <w:r w:rsidRPr="006368A5">
        <w:rPr>
          <w:rFonts w:hint="eastAsia"/>
          <w:shd w:val="clear" w:color="auto" w:fill="FFFFFF"/>
        </w:rPr>
        <w:t xml:space="preserve"> of genre, rhetoric, and source use norms</w:t>
      </w:r>
      <w:r w:rsidRPr="006368A5">
        <w:rPr>
          <w:shd w:val="clear" w:color="auto" w:fill="FFFFFF"/>
        </w:rPr>
        <w:t>. Surpassing</w:t>
      </w:r>
      <w:r w:rsidRPr="006368A5">
        <w:rPr>
          <w:rFonts w:hint="eastAsia"/>
          <w:shd w:val="clear" w:color="auto" w:fill="FFFFFF"/>
        </w:rPr>
        <w:t xml:space="preserve"> mere </w:t>
      </w:r>
      <w:r w:rsidRPr="006368A5">
        <w:rPr>
          <w:shd w:val="clear" w:color="auto" w:fill="FFFFFF"/>
        </w:rPr>
        <w:t>contrastive</w:t>
      </w:r>
      <w:r w:rsidRPr="006368A5">
        <w:rPr>
          <w:rFonts w:hint="eastAsia"/>
          <w:shd w:val="clear" w:color="auto" w:fill="FFFFFF"/>
        </w:rPr>
        <w:t xml:space="preserve"> analyses, language teachers </w:t>
      </w:r>
      <w:r w:rsidRPr="006368A5">
        <w:rPr>
          <w:shd w:val="clear" w:color="auto" w:fill="FFFFFF"/>
        </w:rPr>
        <w:t>can collaborate</w:t>
      </w:r>
      <w:r w:rsidRPr="006368A5">
        <w:rPr>
          <w:rFonts w:hint="eastAsia"/>
          <w:shd w:val="clear" w:color="auto" w:fill="FFFFFF"/>
        </w:rPr>
        <w:t xml:space="preserve"> </w:t>
      </w:r>
      <w:r w:rsidRPr="006368A5">
        <w:rPr>
          <w:shd w:val="clear" w:color="auto" w:fill="FFFFFF"/>
        </w:rPr>
        <w:t>to</w:t>
      </w:r>
      <w:r w:rsidRPr="006368A5">
        <w:rPr>
          <w:rFonts w:hint="eastAsia"/>
          <w:shd w:val="clear" w:color="auto" w:fill="FFFFFF"/>
        </w:rPr>
        <w:t xml:space="preserve"> discuss common patterns and struggles experienced by students from </w:t>
      </w:r>
      <w:r w:rsidRPr="006368A5">
        <w:rPr>
          <w:shd w:val="clear" w:color="auto" w:fill="FFFFFF"/>
        </w:rPr>
        <w:t xml:space="preserve">a range of </w:t>
      </w:r>
      <w:r w:rsidRPr="006368A5">
        <w:rPr>
          <w:rFonts w:hint="eastAsia"/>
          <w:shd w:val="clear" w:color="auto" w:fill="FFFFFF"/>
        </w:rPr>
        <w:t xml:space="preserve">backgrounds and examine the underlying </w:t>
      </w:r>
      <w:r w:rsidRPr="006368A5">
        <w:rPr>
          <w:shd w:val="clear" w:color="auto" w:fill="FFFFFF"/>
        </w:rPr>
        <w:t>rationale</w:t>
      </w:r>
      <w:r w:rsidRPr="006368A5">
        <w:rPr>
          <w:rFonts w:hint="eastAsia"/>
          <w:shd w:val="clear" w:color="auto" w:fill="FFFFFF"/>
        </w:rPr>
        <w:t xml:space="preserve"> </w:t>
      </w:r>
      <w:r w:rsidRPr="006368A5">
        <w:rPr>
          <w:shd w:val="clear" w:color="auto" w:fill="FFFFFF"/>
        </w:rPr>
        <w:t xml:space="preserve">for </w:t>
      </w:r>
      <w:r w:rsidRPr="006368A5">
        <w:rPr>
          <w:rFonts w:hint="eastAsia"/>
          <w:shd w:val="clear" w:color="auto" w:fill="FFFFFF"/>
        </w:rPr>
        <w:t>better support</w:t>
      </w:r>
      <w:r w:rsidRPr="006368A5">
        <w:rPr>
          <w:shd w:val="clear" w:color="auto" w:fill="FFFFFF"/>
        </w:rPr>
        <w:t>ing</w:t>
      </w:r>
      <w:r w:rsidRPr="006368A5">
        <w:rPr>
          <w:rFonts w:hint="eastAsia"/>
          <w:shd w:val="clear" w:color="auto" w:fill="FFFFFF"/>
        </w:rPr>
        <w:t xml:space="preserve"> students</w:t>
      </w:r>
      <w:r w:rsidRPr="006368A5">
        <w:rPr>
          <w:shd w:val="clear" w:color="auto" w:fill="FFFFFF"/>
        </w:rPr>
        <w:t>’</w:t>
      </w:r>
      <w:r w:rsidRPr="006368A5">
        <w:rPr>
          <w:rFonts w:hint="eastAsia"/>
          <w:shd w:val="clear" w:color="auto" w:fill="FFFFFF"/>
        </w:rPr>
        <w:t xml:space="preserve"> needs in their literacy development. </w:t>
      </w:r>
      <w:r w:rsidRPr="006368A5">
        <w:rPr>
          <w:shd w:val="clear" w:color="auto" w:fill="FFFFFF"/>
        </w:rPr>
        <w:t>This</w:t>
      </w:r>
      <w:r w:rsidRPr="006368A5">
        <w:rPr>
          <w:rFonts w:hint="eastAsia"/>
          <w:shd w:val="clear" w:color="auto" w:fill="FFFFFF"/>
        </w:rPr>
        <w:t xml:space="preserve"> </w:t>
      </w:r>
      <w:r w:rsidRPr="006368A5">
        <w:rPr>
          <w:shd w:val="clear" w:color="auto" w:fill="FFFFFF"/>
        </w:rPr>
        <w:t>review</w:t>
      </w:r>
      <w:r w:rsidRPr="006368A5">
        <w:rPr>
          <w:rFonts w:hint="eastAsia"/>
          <w:shd w:val="clear" w:color="auto" w:fill="FFFFFF"/>
        </w:rPr>
        <w:t xml:space="preserve"> suggest</w:t>
      </w:r>
      <w:r w:rsidRPr="006368A5">
        <w:rPr>
          <w:shd w:val="clear" w:color="auto" w:fill="FFFFFF"/>
        </w:rPr>
        <w:t>s that</w:t>
      </w:r>
      <w:r w:rsidRPr="006368A5">
        <w:rPr>
          <w:rFonts w:hint="eastAsia"/>
          <w:shd w:val="clear" w:color="auto" w:fill="FFFFFF"/>
        </w:rPr>
        <w:t xml:space="preserve"> teachers</w:t>
      </w:r>
      <w:r w:rsidRPr="006368A5">
        <w:rPr>
          <w:shd w:val="clear" w:color="auto" w:fill="FFFFFF"/>
        </w:rPr>
        <w:t xml:space="preserve"> may </w:t>
      </w:r>
      <w:r w:rsidRPr="006368A5">
        <w:rPr>
          <w:rFonts w:hint="eastAsia"/>
          <w:shd w:val="clear" w:color="auto" w:fill="FFFFFF"/>
        </w:rPr>
        <w:t>understand the same task</w:t>
      </w:r>
      <w:r w:rsidRPr="006368A5">
        <w:rPr>
          <w:shd w:val="clear" w:color="auto" w:fill="FFFFFF"/>
        </w:rPr>
        <w:t xml:space="preserve"> differently, so </w:t>
      </w:r>
      <w:r w:rsidRPr="006368A5">
        <w:rPr>
          <w:rFonts w:hint="eastAsia"/>
          <w:shd w:val="clear" w:color="auto" w:fill="FFFFFF"/>
        </w:rPr>
        <w:t>regularly engag</w:t>
      </w:r>
      <w:r w:rsidRPr="006368A5">
        <w:rPr>
          <w:shd w:val="clear" w:color="auto" w:fill="FFFFFF"/>
        </w:rPr>
        <w:t>ing</w:t>
      </w:r>
      <w:r w:rsidRPr="006368A5">
        <w:rPr>
          <w:rFonts w:hint="eastAsia"/>
          <w:shd w:val="clear" w:color="auto" w:fill="FFFFFF"/>
        </w:rPr>
        <w:t xml:space="preserve"> in structured discussion to share one another</w:t>
      </w:r>
      <w:r w:rsidRPr="006368A5">
        <w:rPr>
          <w:shd w:val="clear" w:color="auto" w:fill="FFFFFF"/>
        </w:rPr>
        <w:t>’</w:t>
      </w:r>
      <w:r w:rsidRPr="006368A5">
        <w:rPr>
          <w:rFonts w:hint="eastAsia"/>
          <w:shd w:val="clear" w:color="auto" w:fill="FFFFFF"/>
        </w:rPr>
        <w:t xml:space="preserve">s beliefs, experiences, and expectations for </w:t>
      </w:r>
      <w:r w:rsidRPr="006368A5">
        <w:rPr>
          <w:shd w:val="clear" w:color="auto" w:fill="FFFFFF"/>
        </w:rPr>
        <w:t>a</w:t>
      </w:r>
      <w:r w:rsidRPr="006368A5">
        <w:rPr>
          <w:rFonts w:hint="eastAsia"/>
          <w:shd w:val="clear" w:color="auto" w:fill="FFFFFF"/>
        </w:rPr>
        <w:t xml:space="preserve"> task</w:t>
      </w:r>
      <w:r w:rsidRPr="006368A5">
        <w:rPr>
          <w:shd w:val="clear" w:color="auto" w:fill="FFFFFF"/>
        </w:rPr>
        <w:t xml:space="preserve"> for</w:t>
      </w:r>
      <w:r w:rsidRPr="006368A5">
        <w:rPr>
          <w:rFonts w:hint="eastAsia"/>
          <w:shd w:val="clear" w:color="auto" w:fill="FFFFFF"/>
        </w:rPr>
        <w:t xml:space="preserve"> </w:t>
      </w:r>
      <w:r w:rsidRPr="006368A5">
        <w:rPr>
          <w:shd w:val="clear" w:color="auto" w:fill="FFFFFF"/>
        </w:rPr>
        <w:t xml:space="preserve">the sake of </w:t>
      </w:r>
      <w:r w:rsidRPr="006368A5">
        <w:rPr>
          <w:rFonts w:hint="eastAsia"/>
          <w:shd w:val="clear" w:color="auto" w:fill="FFFFFF"/>
        </w:rPr>
        <w:t>professional learning and development</w:t>
      </w:r>
      <w:r w:rsidRPr="006368A5">
        <w:rPr>
          <w:shd w:val="clear" w:color="auto" w:fill="FFFFFF"/>
        </w:rPr>
        <w:t xml:space="preserve"> would be helpful</w:t>
      </w:r>
      <w:r w:rsidRPr="006368A5">
        <w:rPr>
          <w:rFonts w:hint="eastAsia"/>
          <w:shd w:val="clear" w:color="auto" w:fill="FFFFFF"/>
        </w:rPr>
        <w:t>.</w:t>
      </w:r>
      <w:r w:rsidRPr="006368A5">
        <w:rPr>
          <w:shd w:val="clear" w:color="auto" w:fill="FFFFFF"/>
        </w:rPr>
        <w:t xml:space="preserve"> </w:t>
      </w:r>
    </w:p>
    <w:p w14:paraId="714270CF" w14:textId="77777777" w:rsidR="00E027AC" w:rsidRPr="006368A5" w:rsidRDefault="00E027AC" w:rsidP="00E027AC">
      <w:pPr>
        <w:pStyle w:val="L2JBody"/>
        <w:rPr>
          <w:shd w:val="clear" w:color="auto" w:fill="FFFFFF"/>
        </w:rPr>
      </w:pPr>
    </w:p>
    <w:p w14:paraId="44A1B8A7" w14:textId="6BB6DB44" w:rsidR="00E027AC" w:rsidRPr="006368A5" w:rsidRDefault="00E027AC" w:rsidP="00E027AC">
      <w:pPr>
        <w:pStyle w:val="L2JH1"/>
        <w:rPr>
          <w:shd w:val="clear" w:color="auto" w:fill="FFFFFF"/>
        </w:rPr>
      </w:pPr>
      <w:r w:rsidRPr="006368A5">
        <w:rPr>
          <w:shd w:val="clear" w:color="auto" w:fill="FFFFFF"/>
        </w:rPr>
        <w:t>CONCLUSION</w:t>
      </w:r>
    </w:p>
    <w:p w14:paraId="27617C48" w14:textId="77777777" w:rsidR="00E027AC" w:rsidRDefault="00E027AC" w:rsidP="00E027AC">
      <w:pPr>
        <w:pStyle w:val="L2JBody"/>
        <w:ind w:firstLine="0"/>
        <w:rPr>
          <w:shd w:val="clear" w:color="auto" w:fill="FFFFFF"/>
        </w:rPr>
      </w:pPr>
    </w:p>
    <w:p w14:paraId="0B35A721" w14:textId="338F9C07" w:rsidR="00E027AC" w:rsidRPr="006368A5" w:rsidRDefault="00E027AC" w:rsidP="00E027AC">
      <w:pPr>
        <w:pStyle w:val="L2JBody"/>
        <w:ind w:firstLine="0"/>
        <w:rPr>
          <w:shd w:val="clear" w:color="auto" w:fill="FFFFFF"/>
        </w:rPr>
      </w:pPr>
      <w:r w:rsidRPr="006368A5">
        <w:rPr>
          <w:rFonts w:hint="eastAsia"/>
          <w:shd w:val="clear" w:color="auto" w:fill="FFFFFF"/>
        </w:rPr>
        <w:t xml:space="preserve">Overall, </w:t>
      </w:r>
      <w:r w:rsidRPr="006368A5">
        <w:rPr>
          <w:shd w:val="clear" w:color="auto" w:fill="FFFFFF"/>
        </w:rPr>
        <w:t>in my</w:t>
      </w:r>
      <w:r w:rsidRPr="006368A5">
        <w:rPr>
          <w:rFonts w:hint="eastAsia"/>
          <w:shd w:val="clear" w:color="auto" w:fill="FFFFFF"/>
        </w:rPr>
        <w:t xml:space="preserve"> systematic review of the literature</w:t>
      </w:r>
      <w:r w:rsidRPr="006368A5">
        <w:rPr>
          <w:shd w:val="clear" w:color="auto" w:fill="FFFFFF"/>
        </w:rPr>
        <w:t>, I</w:t>
      </w:r>
      <w:r w:rsidRPr="006368A5">
        <w:rPr>
          <w:rFonts w:hint="eastAsia"/>
          <w:shd w:val="clear" w:color="auto" w:fill="FFFFFF"/>
        </w:rPr>
        <w:t xml:space="preserve"> </w:t>
      </w:r>
      <w:r w:rsidRPr="006368A5">
        <w:rPr>
          <w:shd w:val="clear" w:color="auto" w:fill="FFFFFF"/>
        </w:rPr>
        <w:t>suggest</w:t>
      </w:r>
      <w:r w:rsidRPr="006368A5">
        <w:rPr>
          <w:rFonts w:hint="eastAsia"/>
          <w:shd w:val="clear" w:color="auto" w:fill="FFFFFF"/>
        </w:rPr>
        <w:t xml:space="preserve"> that students continue to struggle with synthesis writing, especially from a</w:t>
      </w:r>
      <w:r w:rsidRPr="006368A5">
        <w:rPr>
          <w:rFonts w:hint="eastAsia"/>
          <w:i/>
          <w:iCs/>
          <w:shd w:val="clear" w:color="auto" w:fill="FFFFFF"/>
        </w:rPr>
        <w:t xml:space="preserve"> transformative </w:t>
      </w:r>
      <w:r w:rsidRPr="006368A5">
        <w:rPr>
          <w:rFonts w:hint="eastAsia"/>
          <w:shd w:val="clear" w:color="auto" w:fill="FFFFFF"/>
        </w:rPr>
        <w:t>perspective</w:t>
      </w:r>
      <w:r w:rsidRPr="006368A5">
        <w:rPr>
          <w:shd w:val="clear" w:color="auto" w:fill="FFFFFF"/>
        </w:rPr>
        <w:t xml:space="preserve">, in which </w:t>
      </w:r>
      <w:r w:rsidRPr="006368A5">
        <w:rPr>
          <w:rFonts w:hint="eastAsia"/>
          <w:shd w:val="clear" w:color="auto" w:fill="FFFFFF"/>
        </w:rPr>
        <w:t>synthesis writing</w:t>
      </w:r>
      <w:r w:rsidRPr="006368A5">
        <w:rPr>
          <w:shd w:val="clear" w:color="auto" w:fill="FFFFFF"/>
        </w:rPr>
        <w:t xml:space="preserve"> </w:t>
      </w:r>
      <w:r w:rsidRPr="006368A5">
        <w:rPr>
          <w:rFonts w:hint="eastAsia"/>
          <w:shd w:val="clear" w:color="auto" w:fill="FFFFFF"/>
        </w:rPr>
        <w:t xml:space="preserve">is understood as an act of producing a novel perspective rather than simply </w:t>
      </w:r>
      <w:r w:rsidRPr="006368A5">
        <w:rPr>
          <w:shd w:val="clear" w:color="auto" w:fill="FFFFFF"/>
        </w:rPr>
        <w:t>amalgamating</w:t>
      </w:r>
      <w:r w:rsidRPr="006368A5">
        <w:rPr>
          <w:rFonts w:hint="eastAsia"/>
          <w:shd w:val="clear" w:color="auto" w:fill="FFFFFF"/>
        </w:rPr>
        <w:t xml:space="preserve"> source ideas. This created an important implication that long-term, focused</w:t>
      </w:r>
      <w:r w:rsidRPr="006368A5">
        <w:rPr>
          <w:shd w:val="clear" w:color="auto" w:fill="FFFFFF"/>
        </w:rPr>
        <w:t xml:space="preserve"> instruction</w:t>
      </w:r>
      <w:r w:rsidRPr="006368A5">
        <w:rPr>
          <w:rFonts w:hint="eastAsia"/>
          <w:shd w:val="clear" w:color="auto" w:fill="FFFFFF"/>
        </w:rPr>
        <w:t xml:space="preserve"> with scaffolding feedback </w:t>
      </w:r>
      <w:r w:rsidRPr="006368A5">
        <w:rPr>
          <w:shd w:val="clear" w:color="auto" w:fill="FFFFFF"/>
        </w:rPr>
        <w:t>is</w:t>
      </w:r>
      <w:r w:rsidRPr="006368A5">
        <w:rPr>
          <w:rFonts w:hint="eastAsia"/>
          <w:shd w:val="clear" w:color="auto" w:fill="FFFFFF"/>
        </w:rPr>
        <w:t xml:space="preserve"> crucial to help students understand the nature of the task and develop </w:t>
      </w:r>
      <w:r w:rsidRPr="006368A5">
        <w:rPr>
          <w:shd w:val="clear" w:color="auto" w:fill="FFFFFF"/>
        </w:rPr>
        <w:t>effective</w:t>
      </w:r>
      <w:r w:rsidRPr="006368A5">
        <w:rPr>
          <w:rFonts w:hint="eastAsia"/>
          <w:shd w:val="clear" w:color="auto" w:fill="FFFFFF"/>
        </w:rPr>
        <w:t xml:space="preserve"> strategies </w:t>
      </w:r>
      <w:r w:rsidRPr="006368A5">
        <w:rPr>
          <w:shd w:val="clear" w:color="auto" w:fill="FFFFFF"/>
        </w:rPr>
        <w:t>for</w:t>
      </w:r>
      <w:r w:rsidRPr="006368A5">
        <w:rPr>
          <w:rFonts w:hint="eastAsia"/>
          <w:shd w:val="clear" w:color="auto" w:fill="FFFFFF"/>
        </w:rPr>
        <w:t xml:space="preserve"> success in synthesizing and integrating sources.</w:t>
      </w:r>
    </w:p>
    <w:p w14:paraId="245942E7" w14:textId="77777777" w:rsidR="00E027AC" w:rsidRPr="006368A5" w:rsidRDefault="00E027AC" w:rsidP="00E027AC">
      <w:pPr>
        <w:pStyle w:val="L2JBody"/>
        <w:rPr>
          <w:shd w:val="clear" w:color="auto" w:fill="FFFFFF"/>
        </w:rPr>
      </w:pPr>
      <w:r w:rsidRPr="006368A5">
        <w:rPr>
          <w:shd w:val="clear" w:color="auto" w:fill="FFFFFF"/>
        </w:rPr>
        <w:t xml:space="preserve"> Although</w:t>
      </w:r>
      <w:r w:rsidRPr="006368A5">
        <w:rPr>
          <w:rFonts w:hint="eastAsia"/>
          <w:shd w:val="clear" w:color="auto" w:fill="FFFFFF"/>
        </w:rPr>
        <w:t xml:space="preserve"> </w:t>
      </w:r>
      <w:r w:rsidRPr="006368A5">
        <w:rPr>
          <w:shd w:val="clear" w:color="auto" w:fill="FFFFFF"/>
        </w:rPr>
        <w:t>I aimed to conduct an exhaustive</w:t>
      </w:r>
      <w:r w:rsidRPr="006368A5">
        <w:rPr>
          <w:rFonts w:hint="eastAsia"/>
          <w:shd w:val="clear" w:color="auto" w:fill="FFFFFF"/>
        </w:rPr>
        <w:t xml:space="preserve"> review, </w:t>
      </w:r>
      <w:r w:rsidRPr="006368A5">
        <w:rPr>
          <w:shd w:val="clear" w:color="auto" w:fill="FFFFFF"/>
        </w:rPr>
        <w:t xml:space="preserve">several </w:t>
      </w:r>
      <w:r w:rsidRPr="006368A5">
        <w:rPr>
          <w:rFonts w:hint="eastAsia"/>
          <w:shd w:val="clear" w:color="auto" w:fill="FFFFFF"/>
        </w:rPr>
        <w:t>limitations</w:t>
      </w:r>
      <w:r w:rsidRPr="006368A5">
        <w:rPr>
          <w:shd w:val="clear" w:color="auto" w:fill="FFFFFF"/>
        </w:rPr>
        <w:t xml:space="preserve"> remain</w:t>
      </w:r>
      <w:r w:rsidRPr="006368A5">
        <w:rPr>
          <w:rFonts w:hint="eastAsia"/>
          <w:shd w:val="clear" w:color="auto" w:fill="FFFFFF"/>
        </w:rPr>
        <w:t xml:space="preserve">. Reviewing 92 studies </w:t>
      </w:r>
      <w:r w:rsidRPr="006368A5">
        <w:rPr>
          <w:shd w:val="clear" w:color="auto" w:fill="FFFFFF"/>
        </w:rPr>
        <w:t>required</w:t>
      </w:r>
      <w:r w:rsidRPr="006368A5">
        <w:rPr>
          <w:rFonts w:hint="eastAsia"/>
          <w:shd w:val="clear" w:color="auto" w:fill="FFFFFF"/>
        </w:rPr>
        <w:t xml:space="preserve"> considerable effort</w:t>
      </w:r>
      <w:r w:rsidRPr="006368A5">
        <w:rPr>
          <w:shd w:val="clear" w:color="auto" w:fill="FFFFFF"/>
        </w:rPr>
        <w:t>, but I may have overlooked some</w:t>
      </w:r>
      <w:r w:rsidRPr="006368A5">
        <w:rPr>
          <w:rFonts w:hint="eastAsia"/>
          <w:shd w:val="clear" w:color="auto" w:fill="FFFFFF"/>
        </w:rPr>
        <w:t xml:space="preserve"> L2 synthesis-writing studies. Moreover</w:t>
      </w:r>
      <w:r w:rsidRPr="006368A5">
        <w:rPr>
          <w:shd w:val="clear" w:color="auto" w:fill="FFFFFF"/>
        </w:rPr>
        <w:t>, s</w:t>
      </w:r>
      <w:r w:rsidRPr="006368A5">
        <w:rPr>
          <w:rFonts w:hint="eastAsia"/>
          <w:shd w:val="clear" w:color="auto" w:fill="FFFFFF"/>
        </w:rPr>
        <w:t xml:space="preserve">ome </w:t>
      </w:r>
      <w:r w:rsidRPr="006368A5">
        <w:rPr>
          <w:shd w:val="clear" w:color="auto" w:fill="FFFFFF"/>
        </w:rPr>
        <w:t xml:space="preserve">of the reviewed </w:t>
      </w:r>
      <w:r w:rsidRPr="006368A5">
        <w:rPr>
          <w:rFonts w:hint="eastAsia"/>
          <w:shd w:val="clear" w:color="auto" w:fill="FFFFFF"/>
        </w:rPr>
        <w:t>studies</w:t>
      </w:r>
      <w:r w:rsidRPr="006368A5">
        <w:rPr>
          <w:shd w:val="clear" w:color="auto" w:fill="FFFFFF"/>
        </w:rPr>
        <w:t xml:space="preserve"> provided limited</w:t>
      </w:r>
      <w:r w:rsidRPr="006368A5">
        <w:rPr>
          <w:rFonts w:hint="eastAsia"/>
          <w:shd w:val="clear" w:color="auto" w:fill="FFFFFF"/>
        </w:rPr>
        <w:t xml:space="preserve"> detail about </w:t>
      </w:r>
      <w:r w:rsidRPr="006368A5">
        <w:rPr>
          <w:shd w:val="clear" w:color="auto" w:fill="FFFFFF"/>
        </w:rPr>
        <w:t xml:space="preserve">the </w:t>
      </w:r>
      <w:r w:rsidRPr="006368A5">
        <w:rPr>
          <w:rFonts w:hint="eastAsia"/>
          <w:shd w:val="clear" w:color="auto" w:fill="FFFFFF"/>
        </w:rPr>
        <w:t>source texts used and how students were guided to synthesize.</w:t>
      </w:r>
      <w:r w:rsidRPr="006368A5">
        <w:rPr>
          <w:shd w:val="clear" w:color="auto" w:fill="FFFFFF"/>
        </w:rPr>
        <w:t xml:space="preserve"> Had I been </w:t>
      </w:r>
      <w:r w:rsidRPr="006368A5">
        <w:rPr>
          <w:rFonts w:hint="eastAsia"/>
          <w:shd w:val="clear" w:color="auto" w:fill="FFFFFF"/>
        </w:rPr>
        <w:t>able to include s</w:t>
      </w:r>
      <w:r w:rsidRPr="006368A5">
        <w:rPr>
          <w:shd w:val="clear" w:color="auto" w:fill="FFFFFF"/>
        </w:rPr>
        <w:t>uch information, I</w:t>
      </w:r>
      <w:r w:rsidRPr="006368A5">
        <w:rPr>
          <w:rFonts w:hint="eastAsia"/>
          <w:shd w:val="clear" w:color="auto" w:fill="FFFFFF"/>
        </w:rPr>
        <w:t xml:space="preserve"> could have </w:t>
      </w:r>
      <w:r w:rsidRPr="006368A5">
        <w:rPr>
          <w:shd w:val="clear" w:color="auto" w:fill="FFFFFF"/>
        </w:rPr>
        <w:t xml:space="preserve">achieved greater </w:t>
      </w:r>
      <w:r w:rsidRPr="006368A5">
        <w:rPr>
          <w:rFonts w:hint="eastAsia"/>
          <w:shd w:val="clear" w:color="auto" w:fill="FFFFFF"/>
        </w:rPr>
        <w:t>depth</w:t>
      </w:r>
      <w:r w:rsidRPr="006368A5">
        <w:rPr>
          <w:shd w:val="clear" w:color="auto" w:fill="FFFFFF"/>
        </w:rPr>
        <w:t xml:space="preserve"> in the review; n</w:t>
      </w:r>
      <w:r w:rsidRPr="006368A5">
        <w:rPr>
          <w:rFonts w:hint="eastAsia"/>
          <w:shd w:val="clear" w:color="auto" w:fill="FFFFFF"/>
        </w:rPr>
        <w:t xml:space="preserve">evertheless, </w:t>
      </w:r>
      <w:r w:rsidRPr="006368A5">
        <w:rPr>
          <w:shd w:val="clear" w:color="auto" w:fill="FFFFFF"/>
        </w:rPr>
        <w:t>this</w:t>
      </w:r>
      <w:r w:rsidRPr="006368A5">
        <w:rPr>
          <w:rFonts w:hint="eastAsia"/>
          <w:shd w:val="clear" w:color="auto" w:fill="FFFFFF"/>
        </w:rPr>
        <w:t xml:space="preserve"> study </w:t>
      </w:r>
      <w:r w:rsidRPr="006368A5">
        <w:rPr>
          <w:shd w:val="clear" w:color="auto" w:fill="FFFFFF"/>
        </w:rPr>
        <w:t xml:space="preserve">has </w:t>
      </w:r>
      <w:r w:rsidRPr="006368A5">
        <w:rPr>
          <w:rFonts w:hint="eastAsia"/>
          <w:shd w:val="clear" w:color="auto" w:fill="FFFFFF"/>
        </w:rPr>
        <w:t xml:space="preserve">generated a </w:t>
      </w:r>
      <w:r w:rsidRPr="006368A5">
        <w:rPr>
          <w:shd w:val="clear" w:color="auto" w:fill="FFFFFF"/>
        </w:rPr>
        <w:t>valuable</w:t>
      </w:r>
      <w:r w:rsidRPr="006368A5">
        <w:rPr>
          <w:rFonts w:hint="eastAsia"/>
          <w:shd w:val="clear" w:color="auto" w:fill="FFFFFF"/>
        </w:rPr>
        <w:t xml:space="preserve"> overview of the current scholarship o</w:t>
      </w:r>
      <w:r w:rsidRPr="006368A5">
        <w:rPr>
          <w:shd w:val="clear" w:color="auto" w:fill="FFFFFF"/>
        </w:rPr>
        <w:t>n</w:t>
      </w:r>
      <w:r w:rsidRPr="006368A5">
        <w:rPr>
          <w:rFonts w:hint="eastAsia"/>
          <w:shd w:val="clear" w:color="auto" w:fill="FFFFFF"/>
        </w:rPr>
        <w:t xml:space="preserve"> synthesis writing. Moving forward, if future </w:t>
      </w:r>
      <w:r w:rsidRPr="006368A5">
        <w:rPr>
          <w:shd w:val="clear" w:color="auto" w:fill="FFFFFF"/>
        </w:rPr>
        <w:t>researchers</w:t>
      </w:r>
      <w:r w:rsidRPr="006368A5">
        <w:rPr>
          <w:rFonts w:hint="eastAsia"/>
          <w:shd w:val="clear" w:color="auto" w:fill="FFFFFF"/>
        </w:rPr>
        <w:t xml:space="preserve"> </w:t>
      </w:r>
      <w:r w:rsidRPr="006368A5">
        <w:rPr>
          <w:shd w:val="clear" w:color="auto" w:fill="FFFFFF"/>
        </w:rPr>
        <w:t>investigate</w:t>
      </w:r>
      <w:r w:rsidRPr="006368A5">
        <w:rPr>
          <w:rFonts w:hint="eastAsia"/>
          <w:shd w:val="clear" w:color="auto" w:fill="FFFFFF"/>
        </w:rPr>
        <w:t xml:space="preserve"> the roles of underexplored topics (e.g., translanguaging or GenAI technology) in synthesis writing, </w:t>
      </w:r>
      <w:r w:rsidRPr="006368A5">
        <w:rPr>
          <w:shd w:val="clear" w:color="auto" w:fill="FFFFFF"/>
        </w:rPr>
        <w:t>they can</w:t>
      </w:r>
      <w:r w:rsidRPr="006368A5">
        <w:rPr>
          <w:rFonts w:hint="eastAsia"/>
          <w:shd w:val="clear" w:color="auto" w:fill="FFFFFF"/>
        </w:rPr>
        <w:t xml:space="preserve"> enrich existing discourse and knowledge in the field.</w:t>
      </w:r>
    </w:p>
    <w:p w14:paraId="39E188F7" w14:textId="77777777" w:rsidR="00E027AC" w:rsidRPr="006368A5" w:rsidRDefault="00E027AC" w:rsidP="00E027AC">
      <w:pPr>
        <w:spacing w:line="480" w:lineRule="auto"/>
        <w:rPr>
          <w:rFonts w:ascii="Times New Roman" w:hAnsi="Times New Roman"/>
          <w:b/>
          <w:bCs/>
          <w:sz w:val="24"/>
          <w:szCs w:val="24"/>
          <w:shd w:val="clear" w:color="auto" w:fill="FFFFFF"/>
        </w:rPr>
      </w:pPr>
    </w:p>
    <w:p w14:paraId="2FF78E8D" w14:textId="77777777" w:rsidR="00E027AC" w:rsidRPr="00362839" w:rsidRDefault="00E027AC" w:rsidP="00362839">
      <w:pPr>
        <w:pStyle w:val="L2Jfootnote"/>
        <w:rPr>
          <w:rFonts w:cs="Times New Roman"/>
        </w:rPr>
      </w:pPr>
    </w:p>
    <w:p w14:paraId="4534BEB2" w14:textId="77777777" w:rsidR="00E753F2" w:rsidRPr="00362839" w:rsidRDefault="00E753F2" w:rsidP="00362839">
      <w:pPr>
        <w:pStyle w:val="L2Jfootnote"/>
      </w:pPr>
    </w:p>
    <w:p w14:paraId="24B70226" w14:textId="232BF01A" w:rsidR="00302D1C" w:rsidRPr="00626EB6" w:rsidRDefault="00542A9F" w:rsidP="00626EB6">
      <w:pPr>
        <w:pStyle w:val="L2JH1"/>
        <w:rPr>
          <w:rFonts w:asciiTheme="majorBidi" w:hAnsiTheme="majorBidi" w:cstheme="majorBidi"/>
          <w:color w:val="000000" w:themeColor="text1"/>
          <w:sz w:val="24"/>
          <w:szCs w:val="24"/>
          <w:shd w:val="clear" w:color="auto" w:fill="FFFFFF"/>
          <w:vertAlign w:val="superscript"/>
        </w:rPr>
      </w:pPr>
      <w:r w:rsidRPr="00542A9F">
        <w:lastRenderedPageBreak/>
        <w:t>REFERENCES</w:t>
      </w:r>
      <w:r w:rsidR="00626EB6" w:rsidRPr="006368A5">
        <w:rPr>
          <w:rStyle w:val="FootnoteReference"/>
        </w:rPr>
        <w:footnoteReference w:id="1"/>
      </w:r>
      <w:r w:rsidRPr="00542A9F">
        <w:t xml:space="preserve">  </w:t>
      </w:r>
    </w:p>
    <w:p w14:paraId="396D6CC1" w14:textId="77777777" w:rsidR="00302D1C" w:rsidRDefault="00302D1C" w:rsidP="00302D1C">
      <w:pPr>
        <w:pStyle w:val="L2JReferences"/>
      </w:pPr>
    </w:p>
    <w:p w14:paraId="2A6C64E2"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w:t>
      </w:r>
      <w:proofErr w:type="spellStart"/>
      <w:r w:rsidRPr="00911388">
        <w:rPr>
          <w:rFonts w:ascii="Garamond" w:eastAsia="Malgun Gothic" w:hAnsi="Garamond" w:cs="Times New Roman"/>
          <w:color w:val="000000" w:themeColor="text1"/>
          <w:sz w:val="20"/>
          <w:szCs w:val="20"/>
        </w:rPr>
        <w:t>Alinasab</w:t>
      </w:r>
      <w:proofErr w:type="spellEnd"/>
      <w:r w:rsidRPr="00911388">
        <w:rPr>
          <w:rFonts w:ascii="Garamond" w:eastAsia="Malgun Gothic" w:hAnsi="Garamond" w:cs="Times New Roman"/>
          <w:color w:val="000000" w:themeColor="text1"/>
          <w:sz w:val="20"/>
          <w:szCs w:val="20"/>
        </w:rPr>
        <w:t xml:space="preserve">, M., Gholami, J., &amp; Mohammadnia, Z. (2021). Genre-based revising strategies of </w:t>
      </w:r>
    </w:p>
    <w:p w14:paraId="1B6708B9"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graduate students in applied linguistics: Insights from term papers. J</w:t>
      </w:r>
      <w:r w:rsidRPr="00911388">
        <w:rPr>
          <w:rFonts w:ascii="Garamond" w:eastAsia="Malgun Gothic" w:hAnsi="Garamond" w:cs="Times New Roman"/>
          <w:i/>
          <w:iCs/>
          <w:color w:val="000000" w:themeColor="text1"/>
          <w:sz w:val="20"/>
          <w:szCs w:val="20"/>
        </w:rPr>
        <w:t>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49</w:t>
      </w:r>
      <w:r w:rsidRPr="00911388">
        <w:rPr>
          <w:rFonts w:ascii="Garamond" w:eastAsia="Malgun Gothic" w:hAnsi="Garamond" w:cs="Times New Roman"/>
          <w:color w:val="000000" w:themeColor="text1"/>
          <w:sz w:val="20"/>
          <w:szCs w:val="20"/>
        </w:rPr>
        <w:t xml:space="preserve">, Article 100941. </w:t>
      </w:r>
      <w:hyperlink r:id="rId11" w:tgtFrame="_blank" w:history="1">
        <w:r w:rsidRPr="00911388">
          <w:rPr>
            <w:rStyle w:val="Hyperlink"/>
            <w:rFonts w:ascii="Garamond" w:eastAsia="Malgun Gothic" w:hAnsi="Garamond" w:cs="Times New Roman"/>
            <w:sz w:val="20"/>
            <w:szCs w:val="20"/>
          </w:rPr>
          <w:t>https://doi.org/10.1016/j.jeap.2020.100941</w:t>
        </w:r>
      </w:hyperlink>
    </w:p>
    <w:p w14:paraId="5AC653C8" w14:textId="77777777" w:rsidR="00626EB6" w:rsidRPr="00911388" w:rsidRDefault="00626EB6" w:rsidP="00626EB6">
      <w:pPr>
        <w:rPr>
          <w:rFonts w:ascii="Garamond" w:eastAsia="Malgun Gothic" w:hAnsi="Garamond" w:cs="Times New Roman"/>
          <w:color w:val="000000" w:themeColor="text1"/>
          <w:sz w:val="20"/>
          <w:szCs w:val="20"/>
        </w:rPr>
      </w:pPr>
      <w:proofErr w:type="spellStart"/>
      <w:r w:rsidRPr="00911388">
        <w:rPr>
          <w:rFonts w:ascii="Garamond" w:eastAsia="Malgun Gothic" w:hAnsi="Garamond" w:cs="Times New Roman"/>
          <w:color w:val="000000" w:themeColor="text1"/>
          <w:sz w:val="20"/>
          <w:szCs w:val="20"/>
          <w:lang w:val="es-ES"/>
        </w:rPr>
        <w:t>Alkema</w:t>
      </w:r>
      <w:proofErr w:type="spellEnd"/>
      <w:r w:rsidRPr="00911388">
        <w:rPr>
          <w:rFonts w:ascii="Garamond" w:eastAsia="Malgun Gothic" w:hAnsi="Garamond" w:cs="Times New Roman"/>
          <w:color w:val="000000" w:themeColor="text1"/>
          <w:sz w:val="20"/>
          <w:szCs w:val="20"/>
          <w:lang w:val="es-ES"/>
        </w:rPr>
        <w:t xml:space="preserve">, E., Van </w:t>
      </w:r>
      <w:proofErr w:type="spellStart"/>
      <w:r w:rsidRPr="00911388">
        <w:rPr>
          <w:rFonts w:ascii="Garamond" w:eastAsia="Malgun Gothic" w:hAnsi="Garamond" w:cs="Times New Roman"/>
          <w:color w:val="000000" w:themeColor="text1"/>
          <w:sz w:val="20"/>
          <w:szCs w:val="20"/>
          <w:lang w:val="es-ES"/>
        </w:rPr>
        <w:t>Weijen</w:t>
      </w:r>
      <w:proofErr w:type="spellEnd"/>
      <w:r w:rsidRPr="00911388">
        <w:rPr>
          <w:rFonts w:ascii="Garamond" w:eastAsia="Malgun Gothic" w:hAnsi="Garamond" w:cs="Times New Roman"/>
          <w:color w:val="000000" w:themeColor="text1"/>
          <w:sz w:val="20"/>
          <w:szCs w:val="20"/>
          <w:lang w:val="es-ES"/>
        </w:rPr>
        <w:t xml:space="preserve">, D., &amp; </w:t>
      </w:r>
      <w:proofErr w:type="spellStart"/>
      <w:r w:rsidRPr="00911388">
        <w:rPr>
          <w:rFonts w:ascii="Garamond" w:eastAsia="Malgun Gothic" w:hAnsi="Garamond" w:cs="Times New Roman"/>
          <w:color w:val="000000" w:themeColor="text1"/>
          <w:sz w:val="20"/>
          <w:szCs w:val="20"/>
          <w:lang w:val="es-ES"/>
        </w:rPr>
        <w:t>Rijlaarsdam</w:t>
      </w:r>
      <w:proofErr w:type="spellEnd"/>
      <w:r w:rsidRPr="00911388">
        <w:rPr>
          <w:rFonts w:ascii="Garamond" w:eastAsia="Malgun Gothic" w:hAnsi="Garamond" w:cs="Times New Roman"/>
          <w:color w:val="000000" w:themeColor="text1"/>
          <w:sz w:val="20"/>
          <w:szCs w:val="20"/>
          <w:lang w:val="es-ES"/>
        </w:rPr>
        <w:t xml:space="preserve">, G. (2023). </w:t>
      </w:r>
      <w:r w:rsidRPr="00911388">
        <w:rPr>
          <w:rFonts w:ascii="Garamond" w:eastAsia="Malgun Gothic" w:hAnsi="Garamond" w:cs="Times New Roman"/>
          <w:color w:val="000000" w:themeColor="text1"/>
          <w:sz w:val="20"/>
          <w:szCs w:val="20"/>
        </w:rPr>
        <w:t xml:space="preserve">Synthesis writing in science orientation   </w:t>
      </w:r>
    </w:p>
    <w:p w14:paraId="058910CD"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classes: An instructional design study. </w:t>
      </w:r>
      <w:r w:rsidRPr="00911388">
        <w:rPr>
          <w:rFonts w:ascii="Garamond" w:eastAsia="Malgun Gothic" w:hAnsi="Garamond" w:cs="Times New Roman"/>
          <w:i/>
          <w:iCs/>
          <w:color w:val="000000" w:themeColor="text1"/>
          <w:sz w:val="20"/>
          <w:szCs w:val="20"/>
        </w:rPr>
        <w:t>Journal of Writing Research</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15</w:t>
      </w:r>
      <w:r w:rsidRPr="00911388">
        <w:rPr>
          <w:rFonts w:ascii="Garamond" w:eastAsia="Malgun Gothic" w:hAnsi="Garamond" w:cs="Times New Roman"/>
          <w:color w:val="000000" w:themeColor="text1"/>
          <w:sz w:val="20"/>
          <w:szCs w:val="20"/>
        </w:rPr>
        <w:t xml:space="preserve">(1), 133–165. </w:t>
      </w:r>
      <w:hyperlink r:id="rId12" w:history="1">
        <w:r w:rsidRPr="00911388">
          <w:rPr>
            <w:rStyle w:val="Hyperlink"/>
            <w:rFonts w:ascii="Garamond" w:eastAsia="Malgun Gothic" w:hAnsi="Garamond" w:cs="Times New Roman"/>
            <w:sz w:val="20"/>
            <w:szCs w:val="20"/>
          </w:rPr>
          <w:t>https://doi.org/10.17239/jowr-2023.15.01.06</w:t>
        </w:r>
      </w:hyperlink>
    </w:p>
    <w:p w14:paraId="76564696" w14:textId="77777777" w:rsidR="00626EB6" w:rsidRPr="00911388" w:rsidRDefault="00626EB6" w:rsidP="00626EB6">
      <w:pPr>
        <w:pStyle w:val="Bibliography"/>
        <w:ind w:left="720" w:hanging="720"/>
        <w:rPr>
          <w:rFonts w:ascii="Garamond" w:hAnsi="Garamond"/>
          <w:color w:val="000000" w:themeColor="text1"/>
          <w:sz w:val="20"/>
          <w:szCs w:val="20"/>
        </w:rPr>
      </w:pPr>
      <w:r w:rsidRPr="00911388">
        <w:rPr>
          <w:rFonts w:ascii="Garamond" w:hAnsi="Garamond" w:cstheme="majorBidi"/>
          <w:color w:val="000000" w:themeColor="text1"/>
          <w:sz w:val="20"/>
          <w:szCs w:val="20"/>
          <w:lang w:val="es-ES"/>
        </w:rPr>
        <w:t xml:space="preserve">*Awada, G. M., &amp; </w:t>
      </w:r>
      <w:proofErr w:type="spellStart"/>
      <w:r w:rsidRPr="00911388">
        <w:rPr>
          <w:rFonts w:ascii="Garamond" w:hAnsi="Garamond" w:cstheme="majorBidi"/>
          <w:color w:val="000000" w:themeColor="text1"/>
          <w:sz w:val="20"/>
          <w:szCs w:val="20"/>
          <w:lang w:val="es-ES"/>
        </w:rPr>
        <w:t>Diab</w:t>
      </w:r>
      <w:proofErr w:type="spellEnd"/>
      <w:r w:rsidRPr="00911388">
        <w:rPr>
          <w:rFonts w:ascii="Garamond" w:hAnsi="Garamond" w:cstheme="majorBidi"/>
          <w:color w:val="000000" w:themeColor="text1"/>
          <w:sz w:val="20"/>
          <w:szCs w:val="20"/>
          <w:lang w:val="es-ES"/>
        </w:rPr>
        <w:t xml:space="preserve">, N. M. (2023). </w:t>
      </w:r>
      <w:r w:rsidRPr="00911388">
        <w:rPr>
          <w:rFonts w:ascii="Garamond" w:hAnsi="Garamond" w:cstheme="majorBidi"/>
          <w:color w:val="000000" w:themeColor="text1"/>
          <w:sz w:val="20"/>
          <w:szCs w:val="20"/>
        </w:rPr>
        <w:t xml:space="preserve">Effect of online peer review versus face-to-face peer review on argumentative writing achievement of EFL learners. </w:t>
      </w:r>
      <w:r w:rsidRPr="00911388">
        <w:rPr>
          <w:rFonts w:ascii="Garamond" w:hAnsi="Garamond" w:cstheme="majorBidi"/>
          <w:i/>
          <w:iCs/>
          <w:color w:val="000000" w:themeColor="text1"/>
          <w:sz w:val="20"/>
          <w:szCs w:val="20"/>
        </w:rPr>
        <w:t>Computer Assisted Language Learning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36</w:t>
      </w:r>
      <w:r w:rsidRPr="00911388">
        <w:rPr>
          <w:rFonts w:ascii="Garamond" w:hAnsi="Garamond" w:cstheme="majorBidi"/>
          <w:color w:val="000000" w:themeColor="text1"/>
          <w:sz w:val="20"/>
          <w:szCs w:val="20"/>
        </w:rPr>
        <w:t xml:space="preserve">(1–2), 238–256. </w:t>
      </w:r>
      <w:hyperlink r:id="rId13" w:history="1">
        <w:r w:rsidRPr="00911388">
          <w:rPr>
            <w:rStyle w:val="Hyperlink"/>
            <w:rFonts w:ascii="Garamond" w:hAnsi="Garamond" w:cs="Times New Roman"/>
            <w:color w:val="0070C0"/>
            <w:sz w:val="20"/>
            <w:szCs w:val="20"/>
          </w:rPr>
          <w:t>https://doi.org/10.1080/09588221.2021.1912104</w:t>
        </w:r>
      </w:hyperlink>
    </w:p>
    <w:p w14:paraId="66DED895"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w:t>
      </w:r>
      <w:proofErr w:type="spellStart"/>
      <w:r w:rsidRPr="00911388">
        <w:rPr>
          <w:rFonts w:ascii="Garamond" w:hAnsi="Garamond" w:cstheme="majorBidi"/>
          <w:color w:val="000000" w:themeColor="text1"/>
          <w:sz w:val="20"/>
          <w:szCs w:val="20"/>
        </w:rPr>
        <w:t>Barkaoui</w:t>
      </w:r>
      <w:proofErr w:type="spellEnd"/>
      <w:r w:rsidRPr="00911388">
        <w:rPr>
          <w:rFonts w:ascii="Garamond" w:hAnsi="Garamond" w:cstheme="majorBidi"/>
          <w:color w:val="000000" w:themeColor="text1"/>
          <w:sz w:val="20"/>
          <w:szCs w:val="20"/>
        </w:rPr>
        <w:t xml:space="preserve">, K. (2014). Examining the impact of L2 proficiency and keyboarding skills on scores on TOEFL-iBT writing tasks. </w:t>
      </w:r>
      <w:r w:rsidRPr="00911388">
        <w:rPr>
          <w:rFonts w:ascii="Garamond" w:hAnsi="Garamond" w:cstheme="majorBidi"/>
          <w:i/>
          <w:iCs/>
          <w:color w:val="000000" w:themeColor="text1"/>
          <w:sz w:val="20"/>
          <w:szCs w:val="20"/>
        </w:rPr>
        <w:t>Language Testing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31</w:t>
      </w:r>
      <w:r w:rsidRPr="00911388">
        <w:rPr>
          <w:rFonts w:ascii="Garamond" w:hAnsi="Garamond" w:cstheme="majorBidi"/>
          <w:color w:val="000000" w:themeColor="text1"/>
          <w:sz w:val="20"/>
          <w:szCs w:val="20"/>
        </w:rPr>
        <w:t xml:space="preserve">(2), 241–259. </w:t>
      </w:r>
      <w:hyperlink r:id="rId14" w:history="1">
        <w:r w:rsidRPr="00911388">
          <w:rPr>
            <w:rStyle w:val="Hyperlink"/>
            <w:rFonts w:ascii="Garamond" w:hAnsi="Garamond" w:cstheme="majorBidi"/>
            <w:color w:val="0070C0"/>
            <w:sz w:val="20"/>
            <w:szCs w:val="20"/>
          </w:rPr>
          <w:t>https://doi.org/10.1177/0265532213509810</w:t>
        </w:r>
      </w:hyperlink>
    </w:p>
    <w:p w14:paraId="0E27C225"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w:t>
      </w:r>
      <w:proofErr w:type="spellStart"/>
      <w:r w:rsidRPr="00911388">
        <w:rPr>
          <w:rFonts w:ascii="Garamond" w:hAnsi="Garamond" w:cstheme="majorBidi"/>
          <w:color w:val="000000" w:themeColor="text1"/>
          <w:sz w:val="20"/>
          <w:szCs w:val="20"/>
        </w:rPr>
        <w:t>Barkaoui</w:t>
      </w:r>
      <w:proofErr w:type="spellEnd"/>
      <w:r w:rsidRPr="00911388">
        <w:rPr>
          <w:rFonts w:ascii="Garamond" w:hAnsi="Garamond" w:cstheme="majorBidi"/>
          <w:color w:val="000000" w:themeColor="text1"/>
          <w:sz w:val="20"/>
          <w:szCs w:val="20"/>
        </w:rPr>
        <w:t xml:space="preserve">, K. (2015). </w:t>
      </w:r>
      <w:r w:rsidRPr="00911388">
        <w:rPr>
          <w:rFonts w:ascii="Garamond" w:hAnsi="Garamond" w:cstheme="majorBidi"/>
          <w:i/>
          <w:iCs/>
          <w:color w:val="000000" w:themeColor="text1"/>
          <w:sz w:val="20"/>
          <w:szCs w:val="20"/>
        </w:rPr>
        <w:t>Test takers’ writing activities during the TOEFL iBT writing tasks: A stimulated recall study</w:t>
      </w:r>
      <w:r w:rsidRPr="00911388">
        <w:rPr>
          <w:rFonts w:ascii="Garamond" w:hAnsi="Garamond" w:cstheme="majorBidi"/>
          <w:color w:val="000000" w:themeColor="text1"/>
          <w:sz w:val="20"/>
          <w:szCs w:val="20"/>
        </w:rPr>
        <w:t xml:space="preserve"> (TOEFL iBT Research Report No. 25; ETS Research Report No. RR-15-04). Educational Testing Service.</w:t>
      </w:r>
      <w:r w:rsidRPr="00911388">
        <w:rPr>
          <w:rFonts w:ascii="Garamond" w:hAnsi="Garamond"/>
          <w:sz w:val="20"/>
          <w:szCs w:val="20"/>
        </w:rPr>
        <w:t xml:space="preserve"> </w:t>
      </w:r>
      <w:hyperlink r:id="rId15" w:history="1">
        <w:r w:rsidRPr="00911388">
          <w:rPr>
            <w:rStyle w:val="Hyperlink"/>
            <w:rFonts w:ascii="Garamond" w:hAnsi="Garamond" w:cstheme="majorBidi"/>
            <w:color w:val="0070C0"/>
            <w:sz w:val="20"/>
            <w:szCs w:val="20"/>
          </w:rPr>
          <w:t>https://doi.org/10.1002/ets2.12050</w:t>
        </w:r>
      </w:hyperlink>
    </w:p>
    <w:p w14:paraId="264FBC24"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w:t>
      </w:r>
      <w:proofErr w:type="spellStart"/>
      <w:r w:rsidRPr="00911388">
        <w:rPr>
          <w:rFonts w:ascii="Garamond" w:hAnsi="Garamond" w:cstheme="majorBidi"/>
          <w:color w:val="000000" w:themeColor="text1"/>
          <w:sz w:val="20"/>
          <w:szCs w:val="20"/>
        </w:rPr>
        <w:t>Barkaoui</w:t>
      </w:r>
      <w:proofErr w:type="spellEnd"/>
      <w:r w:rsidRPr="00911388">
        <w:rPr>
          <w:rFonts w:ascii="Garamond" w:hAnsi="Garamond" w:cstheme="majorBidi"/>
          <w:color w:val="000000" w:themeColor="text1"/>
          <w:sz w:val="20"/>
          <w:szCs w:val="20"/>
        </w:rPr>
        <w:t xml:space="preserve">, K. (2016). What and when second-language learners revise when responding to timed writing tasks on the computer: The roles of task type, second language proficiency, and keyboarding skills. </w:t>
      </w:r>
      <w:r w:rsidRPr="00911388">
        <w:rPr>
          <w:rFonts w:ascii="Garamond" w:hAnsi="Garamond" w:cstheme="majorBidi"/>
          <w:i/>
          <w:iCs/>
          <w:color w:val="000000" w:themeColor="text1"/>
          <w:sz w:val="20"/>
          <w:szCs w:val="20"/>
        </w:rPr>
        <w:t>The Modern Language Journal</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100</w:t>
      </w:r>
      <w:r w:rsidRPr="00911388">
        <w:rPr>
          <w:rFonts w:ascii="Garamond" w:hAnsi="Garamond" w:cstheme="majorBidi"/>
          <w:color w:val="000000" w:themeColor="text1"/>
          <w:sz w:val="20"/>
          <w:szCs w:val="20"/>
        </w:rPr>
        <w:t xml:space="preserve">(1), 320–340. </w:t>
      </w:r>
      <w:hyperlink r:id="rId16" w:history="1">
        <w:r w:rsidRPr="00911388">
          <w:rPr>
            <w:rStyle w:val="Hyperlink"/>
            <w:rFonts w:ascii="Garamond" w:hAnsi="Garamond" w:cstheme="majorBidi"/>
            <w:color w:val="0070C0"/>
            <w:sz w:val="20"/>
            <w:szCs w:val="20"/>
          </w:rPr>
          <w:t>https://doi.org/10.1111/modl.12316</w:t>
        </w:r>
      </w:hyperlink>
    </w:p>
    <w:p w14:paraId="5BF17B7B"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Barnett, L. (2024, July 31). </w:t>
      </w:r>
      <w:r w:rsidRPr="00911388">
        <w:rPr>
          <w:rFonts w:ascii="Garamond" w:eastAsia="Malgun Gothic" w:hAnsi="Garamond" w:cs="Times New Roman"/>
          <w:i/>
          <w:iCs/>
          <w:color w:val="000000" w:themeColor="text1"/>
          <w:sz w:val="20"/>
          <w:szCs w:val="20"/>
        </w:rPr>
        <w:t>UF writing courses redefine the role of AI</w:t>
      </w:r>
      <w:r w:rsidRPr="00911388">
        <w:rPr>
          <w:rFonts w:ascii="Garamond" w:eastAsia="Malgun Gothic" w:hAnsi="Garamond" w:cs="Times New Roman"/>
          <w:color w:val="000000" w:themeColor="text1"/>
          <w:sz w:val="20"/>
          <w:szCs w:val="20"/>
        </w:rPr>
        <w:t xml:space="preserve">. UF Liberal </w:t>
      </w:r>
    </w:p>
    <w:p w14:paraId="5A1B05AF"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Arts and Sciences. </w:t>
      </w:r>
      <w:hyperlink r:id="rId17" w:history="1">
        <w:r w:rsidRPr="00911388">
          <w:rPr>
            <w:rStyle w:val="Hyperlink"/>
            <w:rFonts w:ascii="Garamond" w:eastAsia="Malgun Gothic" w:hAnsi="Garamond" w:cs="Times New Roman"/>
            <w:sz w:val="20"/>
            <w:szCs w:val="20"/>
          </w:rPr>
          <w:t>https://news.clas.ufl.edu/uf-writing-courses-redefine-the-role-of-ai/</w:t>
        </w:r>
      </w:hyperlink>
    </w:p>
    <w:p w14:paraId="59B5E8E8" w14:textId="77777777" w:rsidR="00626EB6" w:rsidRPr="00911388" w:rsidRDefault="00626EB6" w:rsidP="00626EB6">
      <w:pPr>
        <w:rPr>
          <w:rFonts w:ascii="Garamond" w:eastAsia="Malgun Gothic" w:hAnsi="Garamond" w:cs="Times New Roman"/>
          <w:color w:val="000000" w:themeColor="text1"/>
          <w:sz w:val="20"/>
          <w:szCs w:val="20"/>
        </w:rPr>
      </w:pPr>
      <w:proofErr w:type="spellStart"/>
      <w:r w:rsidRPr="00911388">
        <w:rPr>
          <w:rFonts w:ascii="Garamond" w:eastAsia="Malgun Gothic" w:hAnsi="Garamond" w:cs="Times New Roman"/>
          <w:color w:val="000000" w:themeColor="text1"/>
          <w:sz w:val="20"/>
          <w:szCs w:val="20"/>
          <w:lang w:val="es-ES"/>
        </w:rPr>
        <w:t>Barzilai</w:t>
      </w:r>
      <w:proofErr w:type="spellEnd"/>
      <w:r w:rsidRPr="00911388">
        <w:rPr>
          <w:rFonts w:ascii="Garamond" w:eastAsia="Malgun Gothic" w:hAnsi="Garamond" w:cs="Times New Roman"/>
          <w:color w:val="000000" w:themeColor="text1"/>
          <w:sz w:val="20"/>
          <w:szCs w:val="20"/>
          <w:lang w:val="es-ES"/>
        </w:rPr>
        <w:t>, S., Tal-</w:t>
      </w:r>
      <w:proofErr w:type="spellStart"/>
      <w:r w:rsidRPr="00911388">
        <w:rPr>
          <w:rFonts w:ascii="Garamond" w:eastAsia="Malgun Gothic" w:hAnsi="Garamond" w:cs="Times New Roman"/>
          <w:color w:val="000000" w:themeColor="text1"/>
          <w:sz w:val="20"/>
          <w:szCs w:val="20"/>
          <w:lang w:val="es-ES"/>
        </w:rPr>
        <w:t>Savir</w:t>
      </w:r>
      <w:proofErr w:type="spellEnd"/>
      <w:r w:rsidRPr="00911388">
        <w:rPr>
          <w:rFonts w:ascii="Garamond" w:eastAsia="Malgun Gothic" w:hAnsi="Garamond" w:cs="Times New Roman"/>
          <w:color w:val="000000" w:themeColor="text1"/>
          <w:sz w:val="20"/>
          <w:szCs w:val="20"/>
          <w:lang w:val="es-ES"/>
        </w:rPr>
        <w:t>, D., Abed, F., Mor-</w:t>
      </w:r>
      <w:proofErr w:type="spellStart"/>
      <w:r w:rsidRPr="00911388">
        <w:rPr>
          <w:rFonts w:ascii="Garamond" w:eastAsia="Malgun Gothic" w:hAnsi="Garamond" w:cs="Times New Roman"/>
          <w:color w:val="000000" w:themeColor="text1"/>
          <w:sz w:val="20"/>
          <w:szCs w:val="20"/>
          <w:lang w:val="es-ES"/>
        </w:rPr>
        <w:t>Hagani</w:t>
      </w:r>
      <w:proofErr w:type="spellEnd"/>
      <w:r w:rsidRPr="00911388">
        <w:rPr>
          <w:rFonts w:ascii="Garamond" w:eastAsia="Malgun Gothic" w:hAnsi="Garamond" w:cs="Times New Roman"/>
          <w:color w:val="000000" w:themeColor="text1"/>
          <w:sz w:val="20"/>
          <w:szCs w:val="20"/>
          <w:lang w:val="es-ES"/>
        </w:rPr>
        <w:t xml:space="preserve">, S., &amp; </w:t>
      </w:r>
      <w:proofErr w:type="spellStart"/>
      <w:r w:rsidRPr="00911388">
        <w:rPr>
          <w:rFonts w:ascii="Garamond" w:eastAsia="Malgun Gothic" w:hAnsi="Garamond" w:cs="Times New Roman"/>
          <w:color w:val="000000" w:themeColor="text1"/>
          <w:sz w:val="20"/>
          <w:szCs w:val="20"/>
          <w:lang w:val="es-ES"/>
        </w:rPr>
        <w:t>Zohar</w:t>
      </w:r>
      <w:proofErr w:type="spellEnd"/>
      <w:r w:rsidRPr="00911388">
        <w:rPr>
          <w:rFonts w:ascii="Garamond" w:eastAsia="Malgun Gothic" w:hAnsi="Garamond" w:cs="Times New Roman"/>
          <w:color w:val="000000" w:themeColor="text1"/>
          <w:sz w:val="20"/>
          <w:szCs w:val="20"/>
          <w:lang w:val="es-ES"/>
        </w:rPr>
        <w:t xml:space="preserve">, A. R. (2023). </w:t>
      </w:r>
      <w:r w:rsidRPr="00911388">
        <w:rPr>
          <w:rFonts w:ascii="Garamond" w:eastAsia="Malgun Gothic" w:hAnsi="Garamond" w:cs="Times New Roman"/>
          <w:color w:val="000000" w:themeColor="text1"/>
          <w:sz w:val="20"/>
          <w:szCs w:val="20"/>
        </w:rPr>
        <w:t xml:space="preserve">Mapping multiple </w:t>
      </w:r>
    </w:p>
    <w:p w14:paraId="32B5006C"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documents: From constructing multiple document models to argumentative writing. </w:t>
      </w:r>
      <w:r w:rsidRPr="00911388">
        <w:rPr>
          <w:rFonts w:ascii="Garamond" w:eastAsia="Malgun Gothic" w:hAnsi="Garamond" w:cs="Times New Roman"/>
          <w:i/>
          <w:iCs/>
          <w:color w:val="000000" w:themeColor="text1"/>
          <w:sz w:val="20"/>
          <w:szCs w:val="20"/>
        </w:rPr>
        <w:t>Reading and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36</w:t>
      </w:r>
      <w:r w:rsidRPr="00911388">
        <w:rPr>
          <w:rFonts w:ascii="Garamond" w:eastAsia="Malgun Gothic" w:hAnsi="Garamond" w:cs="Times New Roman"/>
          <w:color w:val="000000" w:themeColor="text1"/>
          <w:sz w:val="20"/>
          <w:szCs w:val="20"/>
        </w:rPr>
        <w:t xml:space="preserve">(4), 809–847. </w:t>
      </w:r>
      <w:hyperlink r:id="rId18" w:history="1">
        <w:r w:rsidRPr="00911388">
          <w:rPr>
            <w:rStyle w:val="Hyperlink"/>
            <w:rFonts w:ascii="Garamond" w:eastAsia="Malgun Gothic" w:hAnsi="Garamond" w:cs="Times New Roman"/>
            <w:sz w:val="20"/>
            <w:szCs w:val="20"/>
          </w:rPr>
          <w:t>https://doi.org/10.1007/s11145-021-10208-8</w:t>
        </w:r>
      </w:hyperlink>
    </w:p>
    <w:p w14:paraId="64DDF78A"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*Baxter, G., &amp; Neumann, H. (2023). Source-based writing of the high-and low-proficiency </w:t>
      </w:r>
    </w:p>
    <w:p w14:paraId="326E4DD6"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adolescent writer in the high-school L2 classroom. </w:t>
      </w:r>
      <w:r w:rsidRPr="00911388">
        <w:rPr>
          <w:rFonts w:ascii="Garamond" w:eastAsia="Malgun Gothic" w:hAnsi="Garamond" w:cs="Times New Roman"/>
          <w:i/>
          <w:iCs/>
          <w:color w:val="000000" w:themeColor="text1"/>
          <w:sz w:val="20"/>
          <w:szCs w:val="20"/>
        </w:rPr>
        <w:t>Journal of Second 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62</w:t>
      </w:r>
      <w:r w:rsidRPr="00911388">
        <w:rPr>
          <w:rFonts w:ascii="Garamond" w:eastAsia="Malgun Gothic" w:hAnsi="Garamond" w:cs="Times New Roman"/>
          <w:color w:val="000000" w:themeColor="text1"/>
          <w:sz w:val="20"/>
          <w:szCs w:val="20"/>
        </w:rPr>
        <w:t xml:space="preserve">, Article 101064. </w:t>
      </w:r>
      <w:hyperlink r:id="rId19" w:history="1">
        <w:r w:rsidRPr="00911388">
          <w:rPr>
            <w:rStyle w:val="Hyperlink"/>
            <w:rFonts w:ascii="Garamond" w:eastAsia="Malgun Gothic" w:hAnsi="Garamond" w:cs="Times New Roman"/>
            <w:sz w:val="20"/>
            <w:szCs w:val="20"/>
          </w:rPr>
          <w:t>https://doi.org/10.1016/j.jslw.2023.101064</w:t>
        </w:r>
      </w:hyperlink>
    </w:p>
    <w:p w14:paraId="4CACE960" w14:textId="77777777" w:rsidR="00626EB6" w:rsidRPr="00911388" w:rsidRDefault="00626EB6" w:rsidP="00626EB6">
      <w:pPr>
        <w:rPr>
          <w:rFonts w:ascii="Garamond" w:eastAsia="Malgun Gothic" w:hAnsi="Garamond" w:cs="Times New Roman"/>
          <w:color w:val="000000" w:themeColor="text1"/>
          <w:sz w:val="20"/>
          <w:szCs w:val="20"/>
        </w:rPr>
      </w:pPr>
      <w:proofErr w:type="spellStart"/>
      <w:r w:rsidRPr="00911388">
        <w:rPr>
          <w:rFonts w:ascii="Garamond" w:eastAsia="Malgun Gothic" w:hAnsi="Garamond" w:cs="Times New Roman"/>
          <w:color w:val="000000" w:themeColor="text1"/>
          <w:sz w:val="20"/>
          <w:szCs w:val="20"/>
        </w:rPr>
        <w:t>Bedington</w:t>
      </w:r>
      <w:proofErr w:type="spellEnd"/>
      <w:r w:rsidRPr="00911388">
        <w:rPr>
          <w:rFonts w:ascii="Garamond" w:eastAsia="Malgun Gothic" w:hAnsi="Garamond" w:cs="Times New Roman"/>
          <w:color w:val="000000" w:themeColor="text1"/>
          <w:sz w:val="20"/>
          <w:szCs w:val="20"/>
        </w:rPr>
        <w:t xml:space="preserve">, A., Halcomb, E. F., McKee, H. A., Sargent, T., &amp; Smith, A. (2024). Writing with </w:t>
      </w:r>
    </w:p>
    <w:p w14:paraId="2081F187"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generative AI and human-machine teaming: Insights and recommendations from faculty and students. </w:t>
      </w:r>
      <w:r w:rsidRPr="00911388">
        <w:rPr>
          <w:rFonts w:ascii="Garamond" w:eastAsia="Malgun Gothic" w:hAnsi="Garamond" w:cs="Times New Roman"/>
          <w:i/>
          <w:iCs/>
          <w:color w:val="000000" w:themeColor="text1"/>
          <w:sz w:val="20"/>
          <w:szCs w:val="20"/>
        </w:rPr>
        <w:t>Computers and Composition</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71</w:t>
      </w:r>
      <w:r w:rsidRPr="00911388">
        <w:rPr>
          <w:rFonts w:ascii="Garamond" w:eastAsia="Malgun Gothic" w:hAnsi="Garamond" w:cs="Times New Roman"/>
          <w:color w:val="000000" w:themeColor="text1"/>
          <w:sz w:val="20"/>
          <w:szCs w:val="20"/>
        </w:rPr>
        <w:t xml:space="preserve">, Article 102833. </w:t>
      </w:r>
      <w:hyperlink r:id="rId20" w:history="1">
        <w:r w:rsidRPr="00911388">
          <w:rPr>
            <w:rStyle w:val="Hyperlink"/>
            <w:rFonts w:ascii="Garamond" w:eastAsia="Malgun Gothic" w:hAnsi="Garamond" w:cs="Times New Roman"/>
            <w:sz w:val="20"/>
            <w:szCs w:val="20"/>
          </w:rPr>
          <w:t>https://doi.org/10.1016/j.compcom.2024.102833</w:t>
        </w:r>
      </w:hyperlink>
    </w:p>
    <w:p w14:paraId="341B7FDE"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Bereiter, C., &amp; </w:t>
      </w:r>
      <w:proofErr w:type="spellStart"/>
      <w:r w:rsidRPr="00911388">
        <w:rPr>
          <w:rFonts w:ascii="Garamond" w:eastAsia="Malgun Gothic" w:hAnsi="Garamond" w:cs="Times New Roman"/>
          <w:color w:val="000000" w:themeColor="text1"/>
          <w:sz w:val="20"/>
          <w:szCs w:val="20"/>
        </w:rPr>
        <w:t>Scardamalia</w:t>
      </w:r>
      <w:proofErr w:type="spellEnd"/>
      <w:r w:rsidRPr="00911388">
        <w:rPr>
          <w:rFonts w:ascii="Garamond" w:eastAsia="Malgun Gothic" w:hAnsi="Garamond" w:cs="Times New Roman"/>
          <w:color w:val="000000" w:themeColor="text1"/>
          <w:sz w:val="20"/>
          <w:szCs w:val="20"/>
        </w:rPr>
        <w:t xml:space="preserve">, M. (1987). </w:t>
      </w:r>
      <w:r w:rsidRPr="00911388">
        <w:rPr>
          <w:rFonts w:ascii="Garamond" w:eastAsia="Malgun Gothic" w:hAnsi="Garamond" w:cs="Times New Roman"/>
          <w:i/>
          <w:iCs/>
          <w:color w:val="000000" w:themeColor="text1"/>
          <w:sz w:val="20"/>
          <w:szCs w:val="20"/>
        </w:rPr>
        <w:t>The psychology of written composition.</w:t>
      </w:r>
      <w:r w:rsidRPr="00911388">
        <w:rPr>
          <w:rFonts w:ascii="Garamond" w:eastAsia="Malgun Gothic" w:hAnsi="Garamond" w:cs="Times New Roman"/>
          <w:color w:val="000000" w:themeColor="text1"/>
          <w:sz w:val="20"/>
          <w:szCs w:val="20"/>
        </w:rPr>
        <w:t xml:space="preserve"> Lawrence </w:t>
      </w:r>
    </w:p>
    <w:p w14:paraId="1E05277D"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Erlbaum Associates, Inc.</w:t>
      </w:r>
    </w:p>
    <w:p w14:paraId="46C8B6F5"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Bhowmik, S. K. (2016). Agency, identity and ideology in L2 writing. </w:t>
      </w:r>
      <w:r w:rsidRPr="00911388">
        <w:rPr>
          <w:rFonts w:ascii="Garamond" w:eastAsia="Malgun Gothic" w:hAnsi="Garamond" w:cs="Times New Roman"/>
          <w:i/>
          <w:iCs/>
          <w:color w:val="000000" w:themeColor="text1"/>
          <w:sz w:val="20"/>
          <w:szCs w:val="20"/>
        </w:rPr>
        <w:t>Writing &amp; Pedagogy, 8</w:t>
      </w:r>
      <w:r w:rsidRPr="00911388">
        <w:rPr>
          <w:rFonts w:ascii="Garamond" w:eastAsia="Malgun Gothic" w:hAnsi="Garamond" w:cs="Times New Roman"/>
          <w:color w:val="000000" w:themeColor="text1"/>
          <w:sz w:val="20"/>
          <w:szCs w:val="20"/>
        </w:rPr>
        <w:t xml:space="preserve">(2), </w:t>
      </w:r>
    </w:p>
    <w:p w14:paraId="1D1FB8F6"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275–308. </w:t>
      </w:r>
      <w:hyperlink r:id="rId21" w:history="1">
        <w:r w:rsidRPr="00911388">
          <w:rPr>
            <w:rStyle w:val="Hyperlink"/>
            <w:rFonts w:ascii="Garamond" w:eastAsia="Malgun Gothic" w:hAnsi="Garamond" w:cs="Times New Roman"/>
            <w:sz w:val="20"/>
            <w:szCs w:val="20"/>
          </w:rPr>
          <w:t>https://doi.org/10.1558/wap.26864</w:t>
        </w:r>
      </w:hyperlink>
    </w:p>
    <w:p w14:paraId="650774AE"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Block, D. (2003). </w:t>
      </w:r>
      <w:r w:rsidRPr="00911388">
        <w:rPr>
          <w:rFonts w:ascii="Garamond" w:eastAsia="Malgun Gothic" w:hAnsi="Garamond" w:cs="Times New Roman"/>
          <w:i/>
          <w:iCs/>
          <w:color w:val="000000" w:themeColor="text1"/>
          <w:sz w:val="20"/>
          <w:szCs w:val="20"/>
        </w:rPr>
        <w:t>The social turn in second language acquisition</w:t>
      </w:r>
      <w:r w:rsidRPr="00911388">
        <w:rPr>
          <w:rFonts w:ascii="Garamond" w:eastAsia="Malgun Gothic" w:hAnsi="Garamond" w:cs="Times New Roman"/>
          <w:color w:val="000000" w:themeColor="text1"/>
          <w:sz w:val="20"/>
          <w:szCs w:val="20"/>
        </w:rPr>
        <w:t>. Georgetown University Press.</w:t>
      </w:r>
    </w:p>
    <w:p w14:paraId="6A1423B4" w14:textId="77777777" w:rsidR="00626EB6" w:rsidRPr="00911388" w:rsidRDefault="00626EB6" w:rsidP="00626EB6">
      <w:pPr>
        <w:rPr>
          <w:rFonts w:ascii="Garamond" w:eastAsia="Malgun Gothic" w:hAnsi="Garamond" w:cs="Times New Roman"/>
          <w:color w:val="000000" w:themeColor="text1"/>
          <w:sz w:val="20"/>
          <w:szCs w:val="20"/>
        </w:rPr>
      </w:pPr>
      <w:proofErr w:type="spellStart"/>
      <w:r w:rsidRPr="00911388">
        <w:rPr>
          <w:rFonts w:ascii="Garamond" w:eastAsia="Malgun Gothic" w:hAnsi="Garamond" w:cs="Times New Roman"/>
          <w:color w:val="000000" w:themeColor="text1"/>
          <w:sz w:val="20"/>
          <w:szCs w:val="20"/>
        </w:rPr>
        <w:t>Canagarajah</w:t>
      </w:r>
      <w:proofErr w:type="spellEnd"/>
      <w:r w:rsidRPr="00911388">
        <w:rPr>
          <w:rFonts w:ascii="Garamond" w:eastAsia="Malgun Gothic" w:hAnsi="Garamond" w:cs="Times New Roman"/>
          <w:color w:val="000000" w:themeColor="text1"/>
          <w:sz w:val="20"/>
          <w:szCs w:val="20"/>
        </w:rPr>
        <w:t xml:space="preserve">, S. (2013). </w:t>
      </w:r>
      <w:r w:rsidRPr="00911388">
        <w:rPr>
          <w:rFonts w:ascii="Garamond" w:eastAsia="Malgun Gothic" w:hAnsi="Garamond" w:cs="Times New Roman"/>
          <w:i/>
          <w:iCs/>
          <w:color w:val="000000" w:themeColor="text1"/>
          <w:sz w:val="20"/>
          <w:szCs w:val="20"/>
        </w:rPr>
        <w:t xml:space="preserve">Translingual practice: Global </w:t>
      </w:r>
      <w:proofErr w:type="spellStart"/>
      <w:r w:rsidRPr="00911388">
        <w:rPr>
          <w:rFonts w:ascii="Garamond" w:eastAsia="Malgun Gothic" w:hAnsi="Garamond" w:cs="Times New Roman"/>
          <w:i/>
          <w:iCs/>
          <w:color w:val="000000" w:themeColor="text1"/>
          <w:sz w:val="20"/>
          <w:szCs w:val="20"/>
        </w:rPr>
        <w:t>Englishes</w:t>
      </w:r>
      <w:proofErr w:type="spellEnd"/>
      <w:r w:rsidRPr="00911388">
        <w:rPr>
          <w:rFonts w:ascii="Garamond" w:eastAsia="Malgun Gothic" w:hAnsi="Garamond" w:cs="Times New Roman"/>
          <w:i/>
          <w:iCs/>
          <w:color w:val="000000" w:themeColor="text1"/>
          <w:sz w:val="20"/>
          <w:szCs w:val="20"/>
        </w:rPr>
        <w:t xml:space="preserve"> and cosmopolitan relations</w:t>
      </w:r>
      <w:r w:rsidRPr="00911388">
        <w:rPr>
          <w:rFonts w:ascii="Garamond" w:eastAsia="Malgun Gothic" w:hAnsi="Garamond" w:cs="Times New Roman"/>
          <w:color w:val="000000" w:themeColor="text1"/>
          <w:sz w:val="20"/>
          <w:szCs w:val="20"/>
        </w:rPr>
        <w:t xml:space="preserve">. </w:t>
      </w:r>
    </w:p>
    <w:p w14:paraId="21AAB132"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Routledge.</w:t>
      </w:r>
    </w:p>
    <w:p w14:paraId="2C5C87DC" w14:textId="77777777" w:rsidR="00626EB6" w:rsidRPr="00911388" w:rsidRDefault="00626EB6" w:rsidP="00626EB6">
      <w:pPr>
        <w:pStyle w:val="Bibliography"/>
        <w:rPr>
          <w:rFonts w:ascii="Garamond" w:eastAsia="Malgun Gothic" w:hAnsi="Garamond" w:cs="Times New Roman"/>
          <w:color w:val="000000" w:themeColor="text1"/>
          <w:sz w:val="20"/>
          <w:szCs w:val="20"/>
        </w:rPr>
      </w:pPr>
      <w:proofErr w:type="spellStart"/>
      <w:r w:rsidRPr="00911388">
        <w:rPr>
          <w:rFonts w:ascii="Garamond" w:eastAsia="Malgun Gothic" w:hAnsi="Garamond" w:cs="Times New Roman"/>
          <w:color w:val="000000" w:themeColor="text1"/>
          <w:sz w:val="20"/>
          <w:szCs w:val="20"/>
        </w:rPr>
        <w:t>Canagarajah</w:t>
      </w:r>
      <w:proofErr w:type="spellEnd"/>
      <w:r w:rsidRPr="00911388">
        <w:rPr>
          <w:rFonts w:ascii="Garamond" w:eastAsia="Malgun Gothic" w:hAnsi="Garamond" w:cs="Times New Roman"/>
          <w:color w:val="000000" w:themeColor="text1"/>
          <w:sz w:val="20"/>
          <w:szCs w:val="20"/>
        </w:rPr>
        <w:t xml:space="preserve">, S. (2024). Decolonizing academic writing pedagogies for multilingual students. </w:t>
      </w:r>
    </w:p>
    <w:p w14:paraId="74D4BB57" w14:textId="77777777" w:rsidR="00626EB6" w:rsidRPr="00911388" w:rsidRDefault="00626EB6" w:rsidP="00626EB6">
      <w:pPr>
        <w:pStyle w:val="Bibliography"/>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TESOL Quarterly, 58(1), 280–306.</w:t>
      </w:r>
      <w:r w:rsidRPr="00911388">
        <w:rPr>
          <w:rFonts w:ascii="Garamond" w:hAnsi="Garamond"/>
          <w:sz w:val="20"/>
          <w:szCs w:val="20"/>
        </w:rPr>
        <w:t xml:space="preserve"> </w:t>
      </w:r>
      <w:hyperlink r:id="rId22" w:history="1">
        <w:r w:rsidRPr="00911388">
          <w:rPr>
            <w:rStyle w:val="Hyperlink"/>
            <w:rFonts w:ascii="Garamond" w:hAnsi="Garamond" w:cs="Times New Roman"/>
            <w:sz w:val="20"/>
            <w:szCs w:val="20"/>
          </w:rPr>
          <w:t>https://doi.org/10.1002/tesq.3231</w:t>
        </w:r>
      </w:hyperlink>
    </w:p>
    <w:p w14:paraId="2023F031" w14:textId="77777777" w:rsidR="00626EB6" w:rsidRPr="00911388" w:rsidRDefault="00626EB6" w:rsidP="00626EB6">
      <w:pPr>
        <w:pStyle w:val="Bibliography"/>
        <w:ind w:left="720" w:hanging="720"/>
        <w:rPr>
          <w:rStyle w:val="Hyperlink"/>
          <w:rFonts w:ascii="Garamond" w:hAnsi="Garamond"/>
          <w:color w:val="000000" w:themeColor="text1"/>
          <w:sz w:val="20"/>
          <w:szCs w:val="20"/>
        </w:rPr>
      </w:pPr>
      <w:r w:rsidRPr="00911388">
        <w:rPr>
          <w:rFonts w:ascii="Garamond" w:hAnsi="Garamond" w:cstheme="majorBidi"/>
          <w:color w:val="000000" w:themeColor="text1"/>
          <w:sz w:val="20"/>
          <w:szCs w:val="20"/>
        </w:rPr>
        <w:t xml:space="preserve">*Chan, S. (2017). Using keystroke logging to understand writers’ processes on a reading-into-writing test. </w:t>
      </w:r>
      <w:r w:rsidRPr="00911388">
        <w:rPr>
          <w:rFonts w:ascii="Garamond" w:hAnsi="Garamond" w:cstheme="majorBidi"/>
          <w:i/>
          <w:iCs/>
          <w:color w:val="000000" w:themeColor="text1"/>
          <w:sz w:val="20"/>
          <w:szCs w:val="20"/>
        </w:rPr>
        <w:t>Language Testing in Asia</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7</w:t>
      </w:r>
      <w:r w:rsidRPr="00911388">
        <w:rPr>
          <w:rFonts w:ascii="Garamond" w:hAnsi="Garamond" w:cstheme="majorBidi"/>
          <w:color w:val="000000" w:themeColor="text1"/>
          <w:sz w:val="20"/>
          <w:szCs w:val="20"/>
        </w:rPr>
        <w:t xml:space="preserve">(1), Article 10. </w:t>
      </w:r>
      <w:r w:rsidRPr="00911388">
        <w:rPr>
          <w:rStyle w:val="Hyperlink"/>
          <w:rFonts w:ascii="Garamond" w:hAnsi="Garamond" w:cstheme="majorBidi"/>
          <w:color w:val="0070C0"/>
          <w:sz w:val="20"/>
          <w:szCs w:val="20"/>
        </w:rPr>
        <w:t>https://doi.org/10.1186/s40468-017-0040-5</w:t>
      </w:r>
    </w:p>
    <w:p w14:paraId="1DC25DBF"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*Chen, W., &amp; Wang, J. (2022). Understanding source use by undergraduate post-novice EFL writers for the sustainability development of academic literacy: Abilities, challenges, and strategies. </w:t>
      </w:r>
      <w:r w:rsidRPr="00911388">
        <w:rPr>
          <w:rFonts w:ascii="Garamond" w:hAnsi="Garamond" w:cstheme="majorBidi"/>
          <w:i/>
          <w:iCs/>
          <w:color w:val="000000" w:themeColor="text1"/>
          <w:sz w:val="20"/>
          <w:szCs w:val="20"/>
        </w:rPr>
        <w:t>Sustainability</w:t>
      </w:r>
      <w:r w:rsidRPr="00911388">
        <w:rPr>
          <w:rFonts w:ascii="Garamond" w:hAnsi="Garamond" w:cstheme="majorBidi"/>
          <w:color w:val="000000" w:themeColor="text1"/>
          <w:sz w:val="20"/>
          <w:szCs w:val="20"/>
        </w:rPr>
        <w:t xml:space="preserve">, </w:t>
      </w:r>
      <w:r w:rsidRPr="00911388">
        <w:rPr>
          <w:rFonts w:ascii="Garamond" w:hAnsi="Garamond" w:cstheme="majorBidi"/>
          <w:i/>
          <w:iCs/>
          <w:color w:val="000000" w:themeColor="text1"/>
          <w:sz w:val="20"/>
          <w:szCs w:val="20"/>
        </w:rPr>
        <w:t>14</w:t>
      </w:r>
      <w:r w:rsidRPr="00911388">
        <w:rPr>
          <w:rFonts w:ascii="Garamond" w:hAnsi="Garamond" w:cstheme="majorBidi"/>
          <w:color w:val="000000" w:themeColor="text1"/>
          <w:sz w:val="20"/>
          <w:szCs w:val="20"/>
        </w:rPr>
        <w:t xml:space="preserve">(4), Article 2108. </w:t>
      </w:r>
      <w:hyperlink r:id="rId23" w:history="1">
        <w:r w:rsidRPr="00911388">
          <w:rPr>
            <w:rStyle w:val="Hyperlink"/>
            <w:rFonts w:ascii="Garamond" w:hAnsi="Garamond" w:cstheme="majorBidi"/>
            <w:color w:val="0070C0"/>
            <w:sz w:val="20"/>
            <w:szCs w:val="20"/>
          </w:rPr>
          <w:t>https://doi.org/10.3390/su14042108</w:t>
        </w:r>
      </w:hyperlink>
    </w:p>
    <w:p w14:paraId="449328FA" w14:textId="77777777" w:rsidR="00626EB6" w:rsidRPr="00911388" w:rsidRDefault="00626EB6" w:rsidP="00626EB6">
      <w:pPr>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*Cheng, F.-W. (2009). Task representation and text construction in reading-to-write. </w:t>
      </w:r>
      <w:r w:rsidRPr="00911388">
        <w:rPr>
          <w:rFonts w:ascii="Garamond" w:eastAsia="Malgun Gothic" w:hAnsi="Garamond" w:cs="Times New Roman"/>
          <w:i/>
          <w:iCs/>
          <w:color w:val="000000" w:themeColor="text1"/>
          <w:sz w:val="20"/>
          <w:szCs w:val="20"/>
        </w:rPr>
        <w:t xml:space="preserve">Journal of </w:t>
      </w:r>
    </w:p>
    <w:p w14:paraId="5C97C853"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Pan-Pacific Association of Applied Linguistics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13</w:t>
      </w:r>
      <w:r w:rsidRPr="00911388">
        <w:rPr>
          <w:rFonts w:ascii="Garamond" w:eastAsia="Malgun Gothic" w:hAnsi="Garamond" w:cs="Times New Roman"/>
          <w:color w:val="000000" w:themeColor="text1"/>
          <w:sz w:val="20"/>
          <w:szCs w:val="20"/>
        </w:rPr>
        <w:t>(2), 1–21.</w:t>
      </w:r>
    </w:p>
    <w:p w14:paraId="45ECF942" w14:textId="77777777" w:rsidR="00626EB6" w:rsidRPr="00911388" w:rsidRDefault="00626EB6" w:rsidP="00626EB6">
      <w:pPr>
        <w:pStyle w:val="Bibliography"/>
        <w:ind w:left="720" w:hanging="720"/>
        <w:rPr>
          <w:rFonts w:ascii="Garamond" w:hAnsi="Garamond"/>
          <w:sz w:val="20"/>
          <w:szCs w:val="20"/>
        </w:rPr>
      </w:pPr>
      <w:r w:rsidRPr="00911388">
        <w:rPr>
          <w:rFonts w:ascii="Garamond" w:hAnsi="Garamond" w:cstheme="majorBidi"/>
          <w:color w:val="000000" w:themeColor="text1"/>
          <w:sz w:val="20"/>
          <w:szCs w:val="20"/>
        </w:rPr>
        <w:t xml:space="preserve">*Cheong, C. M., Zhu, X., Li, G. Y., &amp; Wen, H. (2019). Effects of intertextual processing on L2 integrated writing. </w:t>
      </w:r>
      <w:r w:rsidRPr="00911388">
        <w:rPr>
          <w:rFonts w:ascii="Garamond" w:hAnsi="Garamond" w:cstheme="majorBidi"/>
          <w:i/>
          <w:iCs/>
          <w:color w:val="000000" w:themeColor="text1"/>
          <w:sz w:val="20"/>
          <w:szCs w:val="20"/>
        </w:rPr>
        <w:t>Journal of Second Language Writing</w:t>
      </w:r>
      <w:r w:rsidRPr="00911388">
        <w:rPr>
          <w:rFonts w:ascii="Garamond" w:hAnsi="Garamond" w:cstheme="majorBidi"/>
          <w:color w:val="000000" w:themeColor="text1"/>
          <w:sz w:val="20"/>
          <w:szCs w:val="20"/>
        </w:rPr>
        <w:t xml:space="preserve">, </w:t>
      </w:r>
      <w:r w:rsidRPr="00911388">
        <w:rPr>
          <w:rFonts w:ascii="Garamond" w:hAnsi="Garamond" w:cstheme="majorBidi"/>
          <w:i/>
          <w:iCs/>
          <w:color w:val="000000" w:themeColor="text1"/>
          <w:sz w:val="20"/>
          <w:szCs w:val="20"/>
        </w:rPr>
        <w:t>44</w:t>
      </w:r>
      <w:r w:rsidRPr="00911388">
        <w:rPr>
          <w:rFonts w:ascii="Garamond" w:hAnsi="Garamond" w:cstheme="majorBidi"/>
          <w:color w:val="000000" w:themeColor="text1"/>
          <w:sz w:val="20"/>
          <w:szCs w:val="20"/>
        </w:rPr>
        <w:t xml:space="preserve">, 63–75. </w:t>
      </w:r>
      <w:hyperlink r:id="rId24" w:tgtFrame="_blank" w:tooltip="Persistent link using digital object identifier" w:history="1">
        <w:r w:rsidRPr="00911388">
          <w:rPr>
            <w:rStyle w:val="Hyperlink"/>
            <w:rFonts w:ascii="Garamond" w:hAnsi="Garamond" w:cstheme="majorBidi"/>
            <w:color w:val="0070C0"/>
            <w:sz w:val="20"/>
            <w:szCs w:val="20"/>
          </w:rPr>
          <w:t>https://doi.org/10.1016/j.jslw.2019.03.004</w:t>
        </w:r>
      </w:hyperlink>
    </w:p>
    <w:p w14:paraId="2F234267" w14:textId="77777777" w:rsidR="00626EB6" w:rsidRPr="00911388" w:rsidRDefault="00626EB6" w:rsidP="00626EB6">
      <w:pPr>
        <w:rPr>
          <w:rFonts w:ascii="Garamond" w:hAnsi="Garamond" w:cstheme="majorBidi"/>
          <w:color w:val="000000" w:themeColor="text1"/>
          <w:sz w:val="20"/>
          <w:szCs w:val="20"/>
        </w:rPr>
      </w:pPr>
      <w:bookmarkStart w:id="8" w:name="_Hlk195917956"/>
      <w:r w:rsidRPr="00911388">
        <w:rPr>
          <w:rFonts w:ascii="Garamond" w:hAnsi="Garamond" w:cstheme="majorBidi"/>
          <w:color w:val="000000" w:themeColor="text1"/>
          <w:sz w:val="20"/>
          <w:szCs w:val="20"/>
          <w:lang w:val="es-ES"/>
        </w:rPr>
        <w:t>*</w:t>
      </w:r>
      <w:proofErr w:type="spellStart"/>
      <w:r w:rsidRPr="00911388">
        <w:rPr>
          <w:rFonts w:ascii="Garamond" w:hAnsi="Garamond" w:cstheme="majorBidi"/>
          <w:color w:val="000000" w:themeColor="text1"/>
          <w:sz w:val="20"/>
          <w:szCs w:val="20"/>
          <w:lang w:val="es-ES"/>
        </w:rPr>
        <w:t>Chuang</w:t>
      </w:r>
      <w:proofErr w:type="spellEnd"/>
      <w:r w:rsidRPr="00911388">
        <w:rPr>
          <w:rFonts w:ascii="Garamond" w:hAnsi="Garamond" w:cstheme="majorBidi"/>
          <w:color w:val="000000" w:themeColor="text1"/>
          <w:sz w:val="20"/>
          <w:szCs w:val="20"/>
          <w:lang w:val="es-ES"/>
        </w:rPr>
        <w:t xml:space="preserve">, P.-L., &amp; Yan, X. (2022). </w:t>
      </w:r>
      <w:r w:rsidRPr="00911388">
        <w:rPr>
          <w:rFonts w:ascii="Garamond" w:hAnsi="Garamond" w:cstheme="majorBidi"/>
          <w:color w:val="000000" w:themeColor="text1"/>
          <w:sz w:val="20"/>
          <w:szCs w:val="20"/>
        </w:rPr>
        <w:t xml:space="preserve">An investigation of the relationship between argument </w:t>
      </w:r>
    </w:p>
    <w:p w14:paraId="76B732B2" w14:textId="77777777" w:rsidR="00626EB6" w:rsidRPr="00911388" w:rsidRDefault="00626EB6" w:rsidP="00626EB6">
      <w:pPr>
        <w:ind w:left="720"/>
        <w:rPr>
          <w:rFonts w:ascii="Garamond" w:hAnsi="Garamond"/>
          <w:sz w:val="20"/>
          <w:szCs w:val="20"/>
        </w:rPr>
      </w:pPr>
      <w:r w:rsidRPr="00911388">
        <w:rPr>
          <w:rFonts w:ascii="Garamond" w:hAnsi="Garamond" w:cstheme="majorBidi"/>
          <w:color w:val="000000" w:themeColor="text1"/>
          <w:sz w:val="20"/>
          <w:szCs w:val="20"/>
        </w:rPr>
        <w:t xml:space="preserve">structure and essay quality in assessed writing. </w:t>
      </w:r>
      <w:r w:rsidRPr="00911388">
        <w:rPr>
          <w:rFonts w:ascii="Garamond" w:hAnsi="Garamond" w:cstheme="majorBidi"/>
          <w:i/>
          <w:iCs/>
          <w:color w:val="000000" w:themeColor="text1"/>
          <w:sz w:val="20"/>
          <w:szCs w:val="20"/>
        </w:rPr>
        <w:t>Journal of Second Language Writing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56</w:t>
      </w:r>
      <w:r w:rsidRPr="00911388">
        <w:rPr>
          <w:rFonts w:ascii="Garamond" w:hAnsi="Garamond" w:cstheme="majorBidi"/>
          <w:color w:val="000000" w:themeColor="text1"/>
          <w:sz w:val="20"/>
          <w:szCs w:val="20"/>
        </w:rPr>
        <w:t xml:space="preserve">, 100892. </w:t>
      </w:r>
      <w:hyperlink r:id="rId25" w:tgtFrame="_blank" w:tooltip="Persistent link using digital object identifier" w:history="1">
        <w:r w:rsidRPr="00911388">
          <w:rPr>
            <w:rStyle w:val="Hyperlink"/>
            <w:rFonts w:ascii="Garamond" w:hAnsi="Garamond" w:cstheme="majorBidi"/>
            <w:color w:val="0070C0"/>
            <w:sz w:val="20"/>
            <w:szCs w:val="20"/>
          </w:rPr>
          <w:t>https://doi.org/10.1016/j.jslw.2022.100892</w:t>
        </w:r>
      </w:hyperlink>
      <w:bookmarkEnd w:id="8"/>
    </w:p>
    <w:p w14:paraId="6D20C93A" w14:textId="77777777" w:rsidR="00626EB6" w:rsidRPr="00911388" w:rsidRDefault="00626EB6" w:rsidP="00626EB6">
      <w:pPr>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Corbin, J., &amp; Strauss, A. (2015). </w:t>
      </w:r>
      <w:r w:rsidRPr="00911388">
        <w:rPr>
          <w:rFonts w:ascii="Garamond" w:eastAsia="Malgun Gothic" w:hAnsi="Garamond" w:cs="Times New Roman"/>
          <w:i/>
          <w:iCs/>
          <w:color w:val="000000" w:themeColor="text1"/>
          <w:sz w:val="20"/>
          <w:szCs w:val="20"/>
        </w:rPr>
        <w:t xml:space="preserve">Basics of qualitative research: Techniques and procedures for </w:t>
      </w:r>
    </w:p>
    <w:p w14:paraId="1DD4ABEF"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developing grounded theory</w:t>
      </w:r>
      <w:r w:rsidRPr="00911388">
        <w:rPr>
          <w:rFonts w:ascii="Garamond" w:eastAsia="Malgun Gothic" w:hAnsi="Garamond" w:cs="Times New Roman"/>
          <w:color w:val="000000" w:themeColor="text1"/>
          <w:sz w:val="20"/>
          <w:szCs w:val="20"/>
        </w:rPr>
        <w:t xml:space="preserve"> (4th ed.). Sage.</w:t>
      </w:r>
    </w:p>
    <w:p w14:paraId="02D4BF07"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Cumming, A., Lai, C., &amp; Cho, H. (2016). Students’ writing from sources for academic purposes: </w:t>
      </w:r>
    </w:p>
    <w:p w14:paraId="36B122CB"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lastRenderedPageBreak/>
        <w:t xml:space="preserve">A synthesis of recent research.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23</w:t>
      </w:r>
      <w:r w:rsidRPr="00911388">
        <w:rPr>
          <w:rFonts w:ascii="Garamond" w:eastAsia="Malgun Gothic" w:hAnsi="Garamond" w:cs="Times New Roman"/>
          <w:color w:val="000000" w:themeColor="text1"/>
          <w:sz w:val="20"/>
          <w:szCs w:val="20"/>
        </w:rPr>
        <w:t xml:space="preserve">, 47–58. </w:t>
      </w:r>
      <w:hyperlink r:id="rId26" w:history="1">
        <w:r w:rsidRPr="00911388">
          <w:rPr>
            <w:rStyle w:val="Hyperlink"/>
            <w:rFonts w:ascii="Garamond" w:eastAsia="Malgun Gothic" w:hAnsi="Garamond" w:cs="Times New Roman"/>
            <w:sz w:val="20"/>
            <w:szCs w:val="20"/>
          </w:rPr>
          <w:t>https://doi.org/10.1016/j.jeap.2016.06.002</w:t>
        </w:r>
      </w:hyperlink>
    </w:p>
    <w:p w14:paraId="4490A8E1"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Cummings, R. E., Monroe, S. M., &amp; Watkins, M. (2024). Generative AI in first-year writing: An </w:t>
      </w:r>
    </w:p>
    <w:p w14:paraId="7CAB9621" w14:textId="77777777" w:rsidR="00626EB6" w:rsidRPr="00911388" w:rsidRDefault="00626EB6" w:rsidP="00626EB6">
      <w:pPr>
        <w:ind w:left="720"/>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early analysis of affordances, limitations, and a framework for the future. </w:t>
      </w:r>
      <w:r w:rsidRPr="00911388">
        <w:rPr>
          <w:rFonts w:ascii="Garamond" w:eastAsia="Malgun Gothic" w:hAnsi="Garamond" w:cs="Times New Roman"/>
          <w:i/>
          <w:iCs/>
          <w:color w:val="000000" w:themeColor="text1"/>
          <w:sz w:val="20"/>
          <w:szCs w:val="20"/>
        </w:rPr>
        <w:t xml:space="preserve">Computers and </w:t>
      </w:r>
    </w:p>
    <w:p w14:paraId="5DAB5A63"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Composition</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71</w:t>
      </w:r>
      <w:r w:rsidRPr="00911388">
        <w:rPr>
          <w:rFonts w:ascii="Garamond" w:eastAsia="Malgun Gothic" w:hAnsi="Garamond" w:cs="Times New Roman"/>
          <w:color w:val="000000" w:themeColor="text1"/>
          <w:sz w:val="20"/>
          <w:szCs w:val="20"/>
        </w:rPr>
        <w:t xml:space="preserve">, Article 102827. </w:t>
      </w:r>
      <w:hyperlink r:id="rId27" w:history="1">
        <w:r w:rsidRPr="00911388">
          <w:rPr>
            <w:rStyle w:val="Hyperlink"/>
            <w:rFonts w:ascii="Garamond" w:eastAsia="Malgun Gothic" w:hAnsi="Garamond" w:cs="Times New Roman"/>
            <w:sz w:val="20"/>
            <w:szCs w:val="20"/>
          </w:rPr>
          <w:t>https://doi.org/10.1016/j.compcom.2024.102827</w:t>
        </w:r>
      </w:hyperlink>
    </w:p>
    <w:p w14:paraId="11B75F1C" w14:textId="77777777" w:rsidR="00626EB6" w:rsidRPr="00911388" w:rsidRDefault="00626EB6" w:rsidP="00626EB6">
      <w:pPr>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*Davis, M. (2013). The development of source use by international postgraduate students. </w:t>
      </w:r>
    </w:p>
    <w:p w14:paraId="42C8722A" w14:textId="77777777" w:rsidR="00626EB6" w:rsidRPr="00911388" w:rsidRDefault="00626EB6" w:rsidP="00626EB6">
      <w:pPr>
        <w:ind w:firstLine="720"/>
        <w:rPr>
          <w:rFonts w:ascii="Garamond" w:hAnsi="Garamond" w:cstheme="majorBidi"/>
          <w:color w:val="000000" w:themeColor="text1"/>
          <w:sz w:val="20"/>
          <w:szCs w:val="20"/>
        </w:rPr>
      </w:pPr>
      <w:r w:rsidRPr="00911388">
        <w:rPr>
          <w:rFonts w:ascii="Garamond" w:hAnsi="Garamond" w:cstheme="majorBidi"/>
          <w:i/>
          <w:iCs/>
          <w:color w:val="000000" w:themeColor="text1"/>
          <w:sz w:val="20"/>
          <w:szCs w:val="20"/>
        </w:rPr>
        <w:t>Journal of English for Academic Purposes</w:t>
      </w:r>
      <w:r w:rsidRPr="00911388">
        <w:rPr>
          <w:rFonts w:ascii="Garamond" w:hAnsi="Garamond" w:cstheme="majorBidi"/>
          <w:color w:val="000000" w:themeColor="text1"/>
          <w:sz w:val="20"/>
          <w:szCs w:val="20"/>
        </w:rPr>
        <w:t xml:space="preserve">, </w:t>
      </w:r>
      <w:r w:rsidRPr="00911388">
        <w:rPr>
          <w:rFonts w:ascii="Garamond" w:hAnsi="Garamond" w:cstheme="majorBidi"/>
          <w:i/>
          <w:iCs/>
          <w:color w:val="000000" w:themeColor="text1"/>
          <w:sz w:val="20"/>
          <w:szCs w:val="20"/>
        </w:rPr>
        <w:t>12</w:t>
      </w:r>
      <w:r w:rsidRPr="00911388">
        <w:rPr>
          <w:rFonts w:ascii="Garamond" w:hAnsi="Garamond" w:cstheme="majorBidi"/>
          <w:color w:val="000000" w:themeColor="text1"/>
          <w:sz w:val="20"/>
          <w:szCs w:val="20"/>
        </w:rPr>
        <w:t>(2), 125–135.</w:t>
      </w:r>
    </w:p>
    <w:p w14:paraId="1ED0898E" w14:textId="77777777" w:rsidR="00626EB6" w:rsidRPr="00911388" w:rsidRDefault="00626EB6" w:rsidP="00626EB6">
      <w:pPr>
        <w:ind w:firstLine="720"/>
        <w:rPr>
          <w:rFonts w:ascii="Garamond" w:hAnsi="Garamond"/>
          <w:sz w:val="20"/>
          <w:szCs w:val="20"/>
        </w:rPr>
      </w:pPr>
      <w:hyperlink r:id="rId28" w:history="1">
        <w:r w:rsidRPr="00911388">
          <w:rPr>
            <w:rStyle w:val="Hyperlink"/>
            <w:rFonts w:ascii="Garamond" w:hAnsi="Garamond" w:cstheme="majorBidi"/>
            <w:sz w:val="20"/>
            <w:szCs w:val="20"/>
          </w:rPr>
          <w:t>https://doi.org/10.1016/j.jeap.2012.11.008</w:t>
        </w:r>
      </w:hyperlink>
    </w:p>
    <w:p w14:paraId="4139CD53" w14:textId="77777777" w:rsidR="00626EB6" w:rsidRPr="00911388" w:rsidRDefault="00626EB6" w:rsidP="00626EB6">
      <w:pPr>
        <w:pStyle w:val="Bibliography"/>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de Magalhães, M. B., Cotterall, S., &amp; </w:t>
      </w:r>
      <w:proofErr w:type="spellStart"/>
      <w:r w:rsidRPr="00911388">
        <w:rPr>
          <w:rFonts w:ascii="Garamond" w:hAnsi="Garamond" w:cstheme="majorBidi"/>
          <w:color w:val="000000" w:themeColor="text1"/>
          <w:sz w:val="20"/>
          <w:szCs w:val="20"/>
        </w:rPr>
        <w:t>Mideros</w:t>
      </w:r>
      <w:proofErr w:type="spellEnd"/>
      <w:r w:rsidRPr="00911388">
        <w:rPr>
          <w:rFonts w:ascii="Garamond" w:hAnsi="Garamond" w:cstheme="majorBidi"/>
          <w:color w:val="000000" w:themeColor="text1"/>
          <w:sz w:val="20"/>
          <w:szCs w:val="20"/>
        </w:rPr>
        <w:t xml:space="preserve">, D. (2019). Identity, voice and agency in two EAL </w:t>
      </w:r>
    </w:p>
    <w:p w14:paraId="6186C098" w14:textId="77777777" w:rsidR="00626EB6" w:rsidRPr="00911388" w:rsidRDefault="00626EB6" w:rsidP="00626EB6">
      <w:pPr>
        <w:pStyle w:val="Bibliography"/>
        <w:ind w:firstLine="720"/>
        <w:rPr>
          <w:rFonts w:ascii="Garamond" w:hAnsi="Garamond" w:cs="Times New Roman"/>
          <w:sz w:val="20"/>
          <w:szCs w:val="20"/>
        </w:rPr>
      </w:pPr>
      <w:r w:rsidRPr="00911388">
        <w:rPr>
          <w:rFonts w:ascii="Garamond" w:hAnsi="Garamond" w:cstheme="majorBidi"/>
          <w:color w:val="000000" w:themeColor="text1"/>
          <w:sz w:val="20"/>
          <w:szCs w:val="20"/>
        </w:rPr>
        <w:t>doctoral writing contexts.</w:t>
      </w:r>
      <w:r w:rsidRPr="00911388">
        <w:rPr>
          <w:rFonts w:ascii="Garamond" w:hAnsi="Garamond" w:cs="Times New Roman"/>
          <w:sz w:val="20"/>
          <w:szCs w:val="20"/>
        </w:rPr>
        <w:t xml:space="preserve"> </w:t>
      </w:r>
      <w:r w:rsidRPr="00911388">
        <w:rPr>
          <w:rFonts w:ascii="Garamond" w:hAnsi="Garamond" w:cs="Times New Roman"/>
          <w:i/>
          <w:iCs/>
          <w:sz w:val="20"/>
          <w:szCs w:val="20"/>
        </w:rPr>
        <w:t>Journal of Second Language Writing</w:t>
      </w:r>
      <w:r w:rsidRPr="00911388">
        <w:rPr>
          <w:rFonts w:ascii="Garamond" w:hAnsi="Garamond" w:cs="Times New Roman"/>
          <w:sz w:val="20"/>
          <w:szCs w:val="20"/>
        </w:rPr>
        <w:t xml:space="preserve">, </w:t>
      </w:r>
      <w:r w:rsidRPr="00911388">
        <w:rPr>
          <w:rFonts w:ascii="Garamond" w:hAnsi="Garamond" w:cs="Times New Roman"/>
          <w:i/>
          <w:iCs/>
          <w:sz w:val="20"/>
          <w:szCs w:val="20"/>
        </w:rPr>
        <w:t>43</w:t>
      </w:r>
      <w:r w:rsidRPr="00911388">
        <w:rPr>
          <w:rFonts w:ascii="Garamond" w:hAnsi="Garamond" w:cs="Times New Roman"/>
          <w:sz w:val="20"/>
          <w:szCs w:val="20"/>
        </w:rPr>
        <w:t xml:space="preserve">, 4–14. </w:t>
      </w:r>
    </w:p>
    <w:p w14:paraId="09976016" w14:textId="77777777" w:rsidR="00626EB6" w:rsidRPr="00911388" w:rsidRDefault="00626EB6" w:rsidP="00626EB6">
      <w:pPr>
        <w:pStyle w:val="Bibliography"/>
        <w:ind w:firstLine="720"/>
        <w:rPr>
          <w:rFonts w:ascii="Garamond" w:eastAsia="Malgun Gothic" w:hAnsi="Garamond" w:cs="Times New Roman"/>
          <w:color w:val="000000" w:themeColor="text1"/>
          <w:sz w:val="20"/>
          <w:szCs w:val="20"/>
        </w:rPr>
      </w:pPr>
      <w:hyperlink r:id="rId29" w:history="1">
        <w:r w:rsidRPr="00911388">
          <w:rPr>
            <w:rStyle w:val="Hyperlink"/>
            <w:rFonts w:ascii="Garamond" w:hAnsi="Garamond" w:cs="Times New Roman"/>
            <w:sz w:val="20"/>
            <w:szCs w:val="20"/>
          </w:rPr>
          <w:t>https://doi.org/10.1016/j.jslw.2018.05.001</w:t>
        </w:r>
      </w:hyperlink>
    </w:p>
    <w:p w14:paraId="0F4DEFCE"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*Doolan, S. M. (2021). An exploratory analysis of source integration in post-secondary L1 and </w:t>
      </w:r>
    </w:p>
    <w:p w14:paraId="3BF57413"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L2 source-based writing. </w:t>
      </w:r>
      <w:r w:rsidRPr="00911388">
        <w:rPr>
          <w:rFonts w:ascii="Garamond" w:eastAsia="Malgun Gothic" w:hAnsi="Garamond" w:cs="Times New Roman"/>
          <w:i/>
          <w:iCs/>
          <w:color w:val="000000" w:themeColor="text1"/>
          <w:sz w:val="20"/>
          <w:szCs w:val="20"/>
        </w:rPr>
        <w:t>English for Specific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62</w:t>
      </w:r>
      <w:r w:rsidRPr="00911388">
        <w:rPr>
          <w:rFonts w:ascii="Garamond" w:eastAsia="Malgun Gothic" w:hAnsi="Garamond" w:cs="Times New Roman"/>
          <w:color w:val="000000" w:themeColor="text1"/>
          <w:sz w:val="20"/>
          <w:szCs w:val="20"/>
        </w:rPr>
        <w:t xml:space="preserve">, 128–141. </w:t>
      </w:r>
    </w:p>
    <w:p w14:paraId="5272C642" w14:textId="77777777" w:rsidR="00626EB6" w:rsidRPr="00911388" w:rsidRDefault="00626EB6" w:rsidP="00626EB6">
      <w:pPr>
        <w:ind w:firstLine="720"/>
        <w:rPr>
          <w:rFonts w:ascii="Garamond" w:eastAsia="Malgun Gothic" w:hAnsi="Garamond" w:cs="Times New Roman"/>
          <w:color w:val="000000" w:themeColor="text1"/>
          <w:sz w:val="20"/>
          <w:szCs w:val="20"/>
        </w:rPr>
      </w:pPr>
      <w:hyperlink r:id="rId30" w:history="1">
        <w:r w:rsidRPr="00911388">
          <w:rPr>
            <w:rStyle w:val="Hyperlink"/>
            <w:rFonts w:ascii="Garamond" w:eastAsia="Malgun Gothic" w:hAnsi="Garamond" w:cs="Times New Roman"/>
            <w:sz w:val="20"/>
            <w:szCs w:val="20"/>
          </w:rPr>
          <w:t>https://doi.org/10.1016/j.esp.2021.01.003</w:t>
        </w:r>
      </w:hyperlink>
    </w:p>
    <w:p w14:paraId="182CA526"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Doolan, S. M., &amp; Fitzsimmons-Doolan, S. (2024). Scaffolding instruction for post-secondary L2 </w:t>
      </w:r>
    </w:p>
    <w:p w14:paraId="03C86E1D"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synthesis writing. In R. Wette (Ed.), </w:t>
      </w:r>
      <w:r w:rsidRPr="00911388">
        <w:rPr>
          <w:rFonts w:ascii="Garamond" w:eastAsia="Malgun Gothic" w:hAnsi="Garamond" w:cs="Times New Roman"/>
          <w:i/>
          <w:iCs/>
          <w:color w:val="000000" w:themeColor="text1"/>
          <w:sz w:val="20"/>
          <w:szCs w:val="20"/>
        </w:rPr>
        <w:t>Teaching and learning source-based writing</w:t>
      </w:r>
      <w:r w:rsidRPr="00911388">
        <w:rPr>
          <w:rFonts w:ascii="Garamond" w:eastAsia="Malgun Gothic" w:hAnsi="Garamond" w:cs="Times New Roman"/>
          <w:color w:val="000000" w:themeColor="text1"/>
          <w:sz w:val="20"/>
          <w:szCs w:val="20"/>
        </w:rPr>
        <w:t xml:space="preserve"> (1st ed., </w:t>
      </w:r>
    </w:p>
    <w:p w14:paraId="3B34F0B4"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pp. 124–139). Routledge. </w:t>
      </w:r>
    </w:p>
    <w:p w14:paraId="7902FCA2"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Dovey, T. (2010). Facilitating writing from sources: A focus on both process and product. </w:t>
      </w:r>
    </w:p>
    <w:p w14:paraId="02A2CB7D"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9</w:t>
      </w:r>
      <w:r w:rsidRPr="00911388">
        <w:rPr>
          <w:rFonts w:ascii="Garamond" w:eastAsia="Malgun Gothic" w:hAnsi="Garamond" w:cs="Times New Roman"/>
          <w:color w:val="000000" w:themeColor="text1"/>
          <w:sz w:val="20"/>
          <w:szCs w:val="20"/>
        </w:rPr>
        <w:t xml:space="preserve">(1), 45–60. </w:t>
      </w:r>
      <w:hyperlink r:id="rId31" w:history="1">
        <w:r w:rsidRPr="00911388">
          <w:rPr>
            <w:rStyle w:val="Hyperlink"/>
            <w:rFonts w:ascii="Garamond" w:eastAsia="Malgun Gothic" w:hAnsi="Garamond" w:cs="Times New Roman"/>
            <w:sz w:val="20"/>
            <w:szCs w:val="20"/>
          </w:rPr>
          <w:t>https://doi.org/10.1016/j.jeap.2009.11.005</w:t>
        </w:r>
      </w:hyperlink>
    </w:p>
    <w:p w14:paraId="3A653ED2"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*Du, Y. (2019). Effect of an EAP unit on EFL student effective and appropriate source-use skills. </w:t>
      </w:r>
    </w:p>
    <w:p w14:paraId="5927D1E9"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40</w:t>
      </w:r>
      <w:r w:rsidRPr="00911388">
        <w:rPr>
          <w:rFonts w:ascii="Garamond" w:eastAsia="Malgun Gothic" w:hAnsi="Garamond" w:cs="Times New Roman"/>
          <w:color w:val="000000" w:themeColor="text1"/>
          <w:sz w:val="20"/>
          <w:szCs w:val="20"/>
        </w:rPr>
        <w:t xml:space="preserve">, 53–73. </w:t>
      </w:r>
    </w:p>
    <w:p w14:paraId="67ACBD65" w14:textId="77777777" w:rsidR="00626EB6" w:rsidRPr="00911388" w:rsidRDefault="00626EB6" w:rsidP="00626EB6">
      <w:pPr>
        <w:ind w:firstLine="720"/>
        <w:rPr>
          <w:rFonts w:ascii="Garamond" w:eastAsia="Malgun Gothic" w:hAnsi="Garamond" w:cs="Times New Roman"/>
          <w:color w:val="000000" w:themeColor="text1"/>
          <w:sz w:val="20"/>
          <w:szCs w:val="20"/>
        </w:rPr>
      </w:pPr>
      <w:hyperlink r:id="rId32" w:history="1">
        <w:r w:rsidRPr="00911388">
          <w:rPr>
            <w:rStyle w:val="Hyperlink"/>
            <w:rFonts w:ascii="Garamond" w:eastAsia="Malgun Gothic" w:hAnsi="Garamond" w:cs="Times New Roman"/>
            <w:sz w:val="20"/>
            <w:szCs w:val="20"/>
          </w:rPr>
          <w:t>https://doi.org/10.1016/j.jeap.2019.06.002</w:t>
        </w:r>
      </w:hyperlink>
    </w:p>
    <w:p w14:paraId="68EABF27" w14:textId="77777777" w:rsidR="00626EB6" w:rsidRPr="00911388" w:rsidRDefault="00626EB6" w:rsidP="00626EB6">
      <w:pPr>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Educational Testing Service. (2018). </w:t>
      </w:r>
      <w:r w:rsidRPr="00911388">
        <w:rPr>
          <w:rFonts w:ascii="Garamond" w:eastAsia="Malgun Gothic" w:hAnsi="Garamond" w:cs="Times New Roman"/>
          <w:i/>
          <w:iCs/>
          <w:color w:val="000000" w:themeColor="text1"/>
          <w:sz w:val="20"/>
          <w:szCs w:val="20"/>
        </w:rPr>
        <w:t>TOEFL</w:t>
      </w:r>
      <w:r w:rsidRPr="00911388">
        <w:rPr>
          <w:rFonts w:ascii="Garamond" w:eastAsia="Malgun Gothic" w:hAnsi="Garamond" w:cs="Times New Roman"/>
          <w:i/>
          <w:iCs/>
          <w:color w:val="000000" w:themeColor="text1"/>
          <w:sz w:val="20"/>
          <w:szCs w:val="20"/>
          <w:vertAlign w:val="superscript"/>
        </w:rPr>
        <w:t>®</w:t>
      </w:r>
      <w:r w:rsidRPr="00911388">
        <w:rPr>
          <w:rFonts w:ascii="Garamond" w:eastAsia="Malgun Gothic" w:hAnsi="Garamond" w:cs="Times New Roman"/>
          <w:i/>
          <w:iCs/>
          <w:color w:val="000000" w:themeColor="text1"/>
          <w:sz w:val="20"/>
          <w:szCs w:val="20"/>
        </w:rPr>
        <w:t xml:space="preserve"> Research Insight Series, Volume 6: TOEFL </w:t>
      </w:r>
    </w:p>
    <w:p w14:paraId="10B437DA"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Program History.</w:t>
      </w:r>
      <w:r w:rsidRPr="00911388">
        <w:rPr>
          <w:rFonts w:ascii="Garamond" w:eastAsia="Malgun Gothic" w:hAnsi="Garamond" w:cs="Times New Roman"/>
          <w:color w:val="000000" w:themeColor="text1"/>
          <w:sz w:val="20"/>
          <w:szCs w:val="20"/>
        </w:rPr>
        <w:t xml:space="preserve"> Author. </w:t>
      </w:r>
      <w:hyperlink r:id="rId33" w:history="1">
        <w:r w:rsidRPr="00911388">
          <w:rPr>
            <w:rStyle w:val="Hyperlink"/>
            <w:rFonts w:ascii="Garamond" w:eastAsia="Malgun Gothic" w:hAnsi="Garamond" w:cs="Times New Roman"/>
            <w:sz w:val="20"/>
            <w:szCs w:val="20"/>
          </w:rPr>
          <w:t>https://www.ets.org/pdfs/toefl/toefl-ibt-insight-s1v6.pdf</w:t>
        </w:r>
      </w:hyperlink>
    </w:p>
    <w:p w14:paraId="6CCF6342"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*Ene, E., McIntosh, K., &amp; Connor, U. (2019). Using intercultural rhetoric to examine </w:t>
      </w:r>
    </w:p>
    <w:p w14:paraId="6B1FDC9A"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translingual practices of postgraduate L2 writers of English. </w:t>
      </w:r>
      <w:r w:rsidRPr="00911388">
        <w:rPr>
          <w:rFonts w:ascii="Garamond" w:eastAsia="Malgun Gothic" w:hAnsi="Garamond" w:cs="Times New Roman"/>
          <w:i/>
          <w:iCs/>
          <w:color w:val="000000" w:themeColor="text1"/>
          <w:sz w:val="20"/>
          <w:szCs w:val="20"/>
        </w:rPr>
        <w:t>Journal of Second 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45</w:t>
      </w:r>
      <w:r w:rsidRPr="00911388">
        <w:rPr>
          <w:rFonts w:ascii="Garamond" w:eastAsia="Malgun Gothic" w:hAnsi="Garamond" w:cs="Times New Roman"/>
          <w:color w:val="000000" w:themeColor="text1"/>
          <w:sz w:val="20"/>
          <w:szCs w:val="20"/>
        </w:rPr>
        <w:t xml:space="preserve">, Article 100664. </w:t>
      </w:r>
      <w:hyperlink r:id="rId34" w:history="1">
        <w:r w:rsidRPr="00911388">
          <w:rPr>
            <w:rStyle w:val="Hyperlink"/>
            <w:rFonts w:ascii="Garamond" w:eastAsia="Malgun Gothic" w:hAnsi="Garamond" w:cs="Times New Roman"/>
            <w:sz w:val="20"/>
            <w:szCs w:val="20"/>
          </w:rPr>
          <w:t>https://doi.org/10.1016/j.jslw.2019.100664</w:t>
        </w:r>
      </w:hyperlink>
    </w:p>
    <w:p w14:paraId="405EE2ED" w14:textId="77777777" w:rsidR="00626EB6" w:rsidRPr="00911388" w:rsidRDefault="00626EB6" w:rsidP="00626EB6">
      <w:pPr>
        <w:ind w:left="720" w:hanging="720"/>
        <w:rPr>
          <w:rFonts w:ascii="Garamond" w:eastAsia="Malgun Gothic" w:hAnsi="Garamond" w:cs="Times New Roman"/>
          <w:i/>
          <w:iCs/>
          <w:color w:val="000000" w:themeColor="text1"/>
          <w:sz w:val="20"/>
          <w:szCs w:val="20"/>
        </w:rPr>
      </w:pPr>
      <w:proofErr w:type="spellStart"/>
      <w:r w:rsidRPr="00911388">
        <w:rPr>
          <w:rFonts w:ascii="Garamond" w:eastAsia="Malgun Gothic" w:hAnsi="Garamond" w:cs="Times New Roman"/>
          <w:color w:val="000000" w:themeColor="text1"/>
          <w:sz w:val="20"/>
          <w:szCs w:val="20"/>
        </w:rPr>
        <w:t>Engeström</w:t>
      </w:r>
      <w:proofErr w:type="spellEnd"/>
      <w:r w:rsidRPr="00911388">
        <w:rPr>
          <w:rFonts w:ascii="Garamond" w:eastAsia="Malgun Gothic" w:hAnsi="Garamond" w:cs="Times New Roman"/>
          <w:color w:val="000000" w:themeColor="text1"/>
          <w:sz w:val="20"/>
          <w:szCs w:val="20"/>
        </w:rPr>
        <w:t xml:space="preserve">, Y. (1987). </w:t>
      </w:r>
      <w:r w:rsidRPr="00911388">
        <w:rPr>
          <w:rFonts w:ascii="Garamond" w:eastAsia="Malgun Gothic" w:hAnsi="Garamond" w:cs="Times New Roman"/>
          <w:i/>
          <w:iCs/>
          <w:color w:val="000000" w:themeColor="text1"/>
          <w:sz w:val="20"/>
          <w:szCs w:val="20"/>
        </w:rPr>
        <w:t xml:space="preserve">Learning by expanding: An activity theoretical approach to developmental </w:t>
      </w:r>
    </w:p>
    <w:p w14:paraId="133475FE"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research.</w:t>
      </w:r>
      <w:r w:rsidRPr="00911388">
        <w:rPr>
          <w:rFonts w:ascii="Garamond" w:eastAsia="Malgun Gothic" w:hAnsi="Garamond" w:cs="Times New Roman"/>
          <w:color w:val="000000" w:themeColor="text1"/>
          <w:sz w:val="20"/>
          <w:szCs w:val="20"/>
        </w:rPr>
        <w:t xml:space="preserve"> Orienta-</w:t>
      </w:r>
      <w:proofErr w:type="spellStart"/>
      <w:r w:rsidRPr="00911388">
        <w:rPr>
          <w:rFonts w:ascii="Garamond" w:eastAsia="Malgun Gothic" w:hAnsi="Garamond" w:cs="Times New Roman"/>
          <w:color w:val="000000" w:themeColor="text1"/>
          <w:sz w:val="20"/>
          <w:szCs w:val="20"/>
        </w:rPr>
        <w:t>Konsultit</w:t>
      </w:r>
      <w:proofErr w:type="spellEnd"/>
      <w:r w:rsidRPr="00911388">
        <w:rPr>
          <w:rFonts w:ascii="Garamond" w:eastAsia="Malgun Gothic" w:hAnsi="Garamond" w:cs="Times New Roman"/>
          <w:color w:val="000000" w:themeColor="text1"/>
          <w:sz w:val="20"/>
          <w:szCs w:val="20"/>
        </w:rPr>
        <w:t xml:space="preserve"> Oy.</w:t>
      </w:r>
    </w:p>
    <w:p w14:paraId="5E9F4738"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*Fogal, G. G. (2024). Expanding the collaborative writing research framework: A longitudinal analysis of how collaborative and independent writers orient to writing spaces. </w:t>
      </w:r>
      <w:r w:rsidRPr="00911388">
        <w:rPr>
          <w:rFonts w:ascii="Garamond" w:hAnsi="Garamond" w:cstheme="majorBidi"/>
          <w:i/>
          <w:iCs/>
          <w:color w:val="000000" w:themeColor="text1"/>
          <w:sz w:val="20"/>
          <w:szCs w:val="20"/>
        </w:rPr>
        <w:t>Journal of Second Language Writing</w:t>
      </w:r>
      <w:r w:rsidRPr="00911388">
        <w:rPr>
          <w:rFonts w:ascii="Garamond" w:hAnsi="Garamond" w:cstheme="majorBidi"/>
          <w:color w:val="000000" w:themeColor="text1"/>
          <w:sz w:val="20"/>
          <w:szCs w:val="20"/>
        </w:rPr>
        <w:t xml:space="preserve">, </w:t>
      </w:r>
      <w:r w:rsidRPr="00911388">
        <w:rPr>
          <w:rFonts w:ascii="Garamond" w:hAnsi="Garamond" w:cstheme="majorBidi"/>
          <w:i/>
          <w:iCs/>
          <w:color w:val="000000" w:themeColor="text1"/>
          <w:sz w:val="20"/>
          <w:szCs w:val="20"/>
        </w:rPr>
        <w:t>63</w:t>
      </w:r>
      <w:r w:rsidRPr="00911388">
        <w:rPr>
          <w:rFonts w:ascii="Garamond" w:hAnsi="Garamond" w:cstheme="majorBidi"/>
          <w:color w:val="000000" w:themeColor="text1"/>
          <w:sz w:val="20"/>
          <w:szCs w:val="20"/>
        </w:rPr>
        <w:t xml:space="preserve">, Article 101096. </w:t>
      </w:r>
      <w:hyperlink r:id="rId35" w:tgtFrame="_blank" w:tooltip="Persistent link using digital object identifier" w:history="1">
        <w:r w:rsidRPr="00911388">
          <w:rPr>
            <w:rStyle w:val="Hyperlink"/>
            <w:rFonts w:ascii="Garamond" w:hAnsi="Garamond" w:cstheme="majorBidi"/>
            <w:color w:val="0070C0"/>
            <w:sz w:val="20"/>
            <w:szCs w:val="20"/>
          </w:rPr>
          <w:t>https://doi.org/10.1016/j.jslw.2024.101096</w:t>
        </w:r>
      </w:hyperlink>
    </w:p>
    <w:p w14:paraId="1F7C2728"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*Fujioka, M. (2014). L2 student–U.S. professor interactions through disciplinary writing </w:t>
      </w:r>
    </w:p>
    <w:p w14:paraId="78F6EE03"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assignments: An activity theory perspective. </w:t>
      </w:r>
      <w:r w:rsidRPr="00911388">
        <w:rPr>
          <w:rFonts w:ascii="Garamond" w:eastAsia="Malgun Gothic" w:hAnsi="Garamond" w:cs="Times New Roman"/>
          <w:i/>
          <w:iCs/>
          <w:color w:val="000000" w:themeColor="text1"/>
          <w:sz w:val="20"/>
          <w:szCs w:val="20"/>
        </w:rPr>
        <w:t>Journal of Second 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25</w:t>
      </w:r>
      <w:r w:rsidRPr="00911388">
        <w:rPr>
          <w:rFonts w:ascii="Garamond" w:eastAsia="Malgun Gothic" w:hAnsi="Garamond" w:cs="Times New Roman"/>
          <w:color w:val="000000" w:themeColor="text1"/>
          <w:sz w:val="20"/>
          <w:szCs w:val="20"/>
        </w:rPr>
        <w:t xml:space="preserve">, 40–58. </w:t>
      </w:r>
      <w:hyperlink r:id="rId36" w:history="1">
        <w:r w:rsidRPr="00911388">
          <w:rPr>
            <w:rStyle w:val="Hyperlink"/>
            <w:rFonts w:ascii="Garamond" w:eastAsia="Malgun Gothic" w:hAnsi="Garamond" w:cs="Times New Roman"/>
            <w:sz w:val="20"/>
            <w:szCs w:val="20"/>
          </w:rPr>
          <w:t>https://doi.org/10.1016/j.jslw.2014.05.004</w:t>
        </w:r>
      </w:hyperlink>
    </w:p>
    <w:p w14:paraId="3415EA0B"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García, O. (2008). </w:t>
      </w:r>
      <w:r w:rsidRPr="00911388">
        <w:rPr>
          <w:rFonts w:ascii="Garamond" w:eastAsia="Malgun Gothic" w:hAnsi="Garamond" w:cs="Times New Roman"/>
          <w:i/>
          <w:iCs/>
          <w:color w:val="000000" w:themeColor="text1"/>
          <w:sz w:val="20"/>
          <w:szCs w:val="20"/>
        </w:rPr>
        <w:t>Bilingual education in the 21st century: A global perspective</w:t>
      </w:r>
      <w:r w:rsidRPr="00911388">
        <w:rPr>
          <w:rFonts w:ascii="Garamond" w:eastAsia="Malgun Gothic" w:hAnsi="Garamond" w:cs="Times New Roman"/>
          <w:color w:val="000000" w:themeColor="text1"/>
          <w:sz w:val="20"/>
          <w:szCs w:val="20"/>
        </w:rPr>
        <w:t>. Wiley-</w:t>
      </w:r>
    </w:p>
    <w:p w14:paraId="47C072B3"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Blackwell.</w:t>
      </w:r>
    </w:p>
    <w:p w14:paraId="3CFD1A8A"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García, O., &amp; Wei, L. (2014). </w:t>
      </w:r>
      <w:r w:rsidRPr="00911388">
        <w:rPr>
          <w:rFonts w:ascii="Garamond" w:eastAsia="Malgun Gothic" w:hAnsi="Garamond" w:cs="Times New Roman"/>
          <w:i/>
          <w:iCs/>
          <w:color w:val="000000" w:themeColor="text1"/>
          <w:sz w:val="20"/>
          <w:szCs w:val="20"/>
        </w:rPr>
        <w:t>Translanguaging: Language, bilingualism, and education.</w:t>
      </w:r>
      <w:r w:rsidRPr="00911388">
        <w:rPr>
          <w:rFonts w:ascii="Garamond" w:eastAsia="Malgun Gothic" w:hAnsi="Garamond" w:cs="Times New Roman"/>
          <w:color w:val="000000" w:themeColor="text1"/>
          <w:sz w:val="20"/>
          <w:szCs w:val="20"/>
        </w:rPr>
        <w:t xml:space="preserve"> </w:t>
      </w:r>
    </w:p>
    <w:p w14:paraId="54EFEDFB"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Palgrave MacMillan.</w:t>
      </w:r>
    </w:p>
    <w:p w14:paraId="1389ABD3"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*Gebril, A. (2009). Score generalizability of academic writing tasks: Does one test method fit it all? </w:t>
      </w:r>
      <w:r w:rsidRPr="00911388">
        <w:rPr>
          <w:rFonts w:ascii="Garamond" w:hAnsi="Garamond" w:cstheme="majorBidi"/>
          <w:i/>
          <w:iCs/>
          <w:color w:val="000000" w:themeColor="text1"/>
          <w:sz w:val="20"/>
          <w:szCs w:val="20"/>
        </w:rPr>
        <w:t>Language Testing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26</w:t>
      </w:r>
      <w:r w:rsidRPr="00911388">
        <w:rPr>
          <w:rFonts w:ascii="Garamond" w:hAnsi="Garamond" w:cstheme="majorBidi"/>
          <w:color w:val="000000" w:themeColor="text1"/>
          <w:sz w:val="20"/>
          <w:szCs w:val="20"/>
        </w:rPr>
        <w:t xml:space="preserve">(4), 507–531. </w:t>
      </w:r>
      <w:hyperlink r:id="rId37" w:history="1">
        <w:r w:rsidRPr="00911388">
          <w:rPr>
            <w:rStyle w:val="Hyperlink"/>
            <w:rFonts w:ascii="Garamond" w:hAnsi="Garamond" w:cstheme="majorBidi"/>
            <w:color w:val="0070C0"/>
            <w:sz w:val="20"/>
            <w:szCs w:val="20"/>
          </w:rPr>
          <w:t>https://doi.org/10.1177/0265532209340188</w:t>
        </w:r>
      </w:hyperlink>
    </w:p>
    <w:p w14:paraId="239177E0"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*Gebril, A., &amp; </w:t>
      </w:r>
      <w:proofErr w:type="spellStart"/>
      <w:r w:rsidRPr="00911388">
        <w:rPr>
          <w:rFonts w:ascii="Garamond" w:hAnsi="Garamond" w:cstheme="majorBidi"/>
          <w:color w:val="000000" w:themeColor="text1"/>
          <w:sz w:val="20"/>
          <w:szCs w:val="20"/>
        </w:rPr>
        <w:t>Plakans</w:t>
      </w:r>
      <w:proofErr w:type="spellEnd"/>
      <w:r w:rsidRPr="00911388">
        <w:rPr>
          <w:rFonts w:ascii="Garamond" w:hAnsi="Garamond" w:cstheme="majorBidi"/>
          <w:color w:val="000000" w:themeColor="text1"/>
          <w:sz w:val="20"/>
          <w:szCs w:val="20"/>
        </w:rPr>
        <w:t xml:space="preserve">, L. (2014). Assembling validity evidence for assessing academic writing: Rater reactions to integrated tasks. </w:t>
      </w:r>
      <w:r w:rsidRPr="00911388">
        <w:rPr>
          <w:rFonts w:ascii="Garamond" w:hAnsi="Garamond" w:cstheme="majorBidi"/>
          <w:i/>
          <w:iCs/>
          <w:color w:val="000000" w:themeColor="text1"/>
          <w:sz w:val="20"/>
          <w:szCs w:val="20"/>
        </w:rPr>
        <w:t>Assessing Writing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21</w:t>
      </w:r>
      <w:r w:rsidRPr="00911388">
        <w:rPr>
          <w:rFonts w:ascii="Garamond" w:hAnsi="Garamond" w:cstheme="majorBidi"/>
          <w:color w:val="000000" w:themeColor="text1"/>
          <w:sz w:val="20"/>
          <w:szCs w:val="20"/>
        </w:rPr>
        <w:t>, 56–73.</w:t>
      </w:r>
      <w:r w:rsidRPr="00911388">
        <w:rPr>
          <w:rFonts w:ascii="Garamond" w:hAnsi="Garamond"/>
          <w:color w:val="000000" w:themeColor="text1"/>
          <w:sz w:val="20"/>
          <w:szCs w:val="20"/>
        </w:rPr>
        <w:t xml:space="preserve"> </w:t>
      </w:r>
      <w:hyperlink r:id="rId38" w:tgtFrame="_blank" w:tooltip="Persistent link using digital object identifier" w:history="1">
        <w:r w:rsidRPr="00911388">
          <w:rPr>
            <w:rStyle w:val="Hyperlink"/>
            <w:rFonts w:ascii="Garamond" w:hAnsi="Garamond" w:cstheme="majorBidi"/>
            <w:color w:val="0070C0"/>
            <w:sz w:val="20"/>
            <w:szCs w:val="20"/>
          </w:rPr>
          <w:t>https://doi.org/10.1016/j.asw.2014.03.002</w:t>
        </w:r>
      </w:hyperlink>
    </w:p>
    <w:p w14:paraId="1EB08506"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*Gebril, A., &amp; </w:t>
      </w:r>
      <w:proofErr w:type="spellStart"/>
      <w:r w:rsidRPr="00911388">
        <w:rPr>
          <w:rFonts w:ascii="Garamond" w:hAnsi="Garamond" w:cstheme="majorBidi"/>
          <w:color w:val="000000" w:themeColor="text1"/>
          <w:sz w:val="20"/>
          <w:szCs w:val="20"/>
        </w:rPr>
        <w:t>Plakans</w:t>
      </w:r>
      <w:proofErr w:type="spellEnd"/>
      <w:r w:rsidRPr="00911388">
        <w:rPr>
          <w:rFonts w:ascii="Garamond" w:hAnsi="Garamond" w:cstheme="majorBidi"/>
          <w:color w:val="000000" w:themeColor="text1"/>
          <w:sz w:val="20"/>
          <w:szCs w:val="20"/>
        </w:rPr>
        <w:t xml:space="preserve">, L. (2016). Source-based tasks in academic writing assessment: Lexical diversity, textual borrowing and proficiency. </w:t>
      </w:r>
      <w:r w:rsidRPr="00911388">
        <w:rPr>
          <w:rFonts w:ascii="Garamond" w:hAnsi="Garamond" w:cstheme="majorBidi"/>
          <w:i/>
          <w:iCs/>
          <w:color w:val="000000" w:themeColor="text1"/>
          <w:sz w:val="20"/>
          <w:szCs w:val="20"/>
        </w:rPr>
        <w:t>Journal of English for Academic Purposes</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24</w:t>
      </w:r>
      <w:r w:rsidRPr="00911388">
        <w:rPr>
          <w:rFonts w:ascii="Garamond" w:hAnsi="Garamond" w:cstheme="majorBidi"/>
          <w:color w:val="000000" w:themeColor="text1"/>
          <w:sz w:val="20"/>
          <w:szCs w:val="20"/>
        </w:rPr>
        <w:t xml:space="preserve">, 78–88. </w:t>
      </w:r>
      <w:hyperlink r:id="rId39" w:tgtFrame="_blank" w:tooltip="Persistent link using digital object identifier" w:history="1">
        <w:r w:rsidRPr="00911388">
          <w:rPr>
            <w:rStyle w:val="Hyperlink"/>
            <w:rFonts w:ascii="Garamond" w:hAnsi="Garamond" w:cstheme="majorBidi"/>
            <w:color w:val="0070C0"/>
            <w:sz w:val="20"/>
            <w:szCs w:val="20"/>
          </w:rPr>
          <w:t>https://doi.org/10.1016/j.jeap.2016.10.001</w:t>
        </w:r>
      </w:hyperlink>
    </w:p>
    <w:p w14:paraId="74EBF6F1"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Grabe, W., &amp; Zhang, C. (2013). Reading and writing together: A critical component of English </w:t>
      </w:r>
    </w:p>
    <w:p w14:paraId="1B6D6B7F"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for academic purposes teaching and learning. </w:t>
      </w:r>
      <w:r w:rsidRPr="00911388">
        <w:rPr>
          <w:rFonts w:ascii="Garamond" w:eastAsia="Malgun Gothic" w:hAnsi="Garamond" w:cs="Times New Roman"/>
          <w:i/>
          <w:iCs/>
          <w:color w:val="000000" w:themeColor="text1"/>
          <w:sz w:val="20"/>
          <w:szCs w:val="20"/>
        </w:rPr>
        <w:t>TESOL Journal</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w:t>
      </w:r>
      <w:r w:rsidRPr="00911388">
        <w:rPr>
          <w:rFonts w:ascii="Garamond" w:eastAsia="Malgun Gothic" w:hAnsi="Garamond" w:cs="Times New Roman"/>
          <w:color w:val="000000" w:themeColor="text1"/>
          <w:sz w:val="20"/>
          <w:szCs w:val="20"/>
        </w:rPr>
        <w:t xml:space="preserve">(1), 9–24. </w:t>
      </w:r>
    </w:p>
    <w:p w14:paraId="4FC1A8D9" w14:textId="77777777" w:rsidR="00626EB6" w:rsidRPr="00911388" w:rsidRDefault="00626EB6" w:rsidP="00626EB6">
      <w:pPr>
        <w:ind w:firstLine="720"/>
        <w:rPr>
          <w:rFonts w:ascii="Garamond" w:eastAsia="Malgun Gothic" w:hAnsi="Garamond" w:cs="Times New Roman"/>
          <w:color w:val="000000" w:themeColor="text1"/>
          <w:sz w:val="20"/>
          <w:szCs w:val="20"/>
        </w:rPr>
      </w:pPr>
      <w:hyperlink r:id="rId40" w:history="1">
        <w:r w:rsidRPr="00911388">
          <w:rPr>
            <w:rStyle w:val="Hyperlink"/>
            <w:rFonts w:ascii="Garamond" w:eastAsia="Malgun Gothic" w:hAnsi="Garamond" w:cs="Times New Roman"/>
            <w:sz w:val="20"/>
            <w:szCs w:val="20"/>
          </w:rPr>
          <w:t>https://doi.org/10.1002/tesj.65</w:t>
        </w:r>
      </w:hyperlink>
    </w:p>
    <w:p w14:paraId="53777222"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lang w:val="es-ES"/>
        </w:rPr>
        <w:t>*</w:t>
      </w:r>
      <w:proofErr w:type="spellStart"/>
      <w:r w:rsidRPr="00911388">
        <w:rPr>
          <w:rFonts w:ascii="Garamond" w:eastAsia="Malgun Gothic" w:hAnsi="Garamond" w:cs="Times New Roman"/>
          <w:color w:val="000000" w:themeColor="text1"/>
          <w:sz w:val="20"/>
          <w:szCs w:val="20"/>
          <w:lang w:val="es-ES"/>
        </w:rPr>
        <w:t>Guo</w:t>
      </w:r>
      <w:proofErr w:type="spellEnd"/>
      <w:r w:rsidRPr="00911388">
        <w:rPr>
          <w:rFonts w:ascii="Garamond" w:eastAsia="Malgun Gothic" w:hAnsi="Garamond" w:cs="Times New Roman"/>
          <w:color w:val="000000" w:themeColor="text1"/>
          <w:sz w:val="20"/>
          <w:szCs w:val="20"/>
          <w:lang w:val="es-ES"/>
        </w:rPr>
        <w:t xml:space="preserve">, L., </w:t>
      </w:r>
      <w:proofErr w:type="spellStart"/>
      <w:r w:rsidRPr="00911388">
        <w:rPr>
          <w:rFonts w:ascii="Garamond" w:eastAsia="Malgun Gothic" w:hAnsi="Garamond" w:cs="Times New Roman"/>
          <w:color w:val="000000" w:themeColor="text1"/>
          <w:sz w:val="20"/>
          <w:szCs w:val="20"/>
          <w:lang w:val="es-ES"/>
        </w:rPr>
        <w:t>Crossley</w:t>
      </w:r>
      <w:proofErr w:type="spellEnd"/>
      <w:r w:rsidRPr="00911388">
        <w:rPr>
          <w:rFonts w:ascii="Garamond" w:eastAsia="Malgun Gothic" w:hAnsi="Garamond" w:cs="Times New Roman"/>
          <w:color w:val="000000" w:themeColor="text1"/>
          <w:sz w:val="20"/>
          <w:szCs w:val="20"/>
          <w:lang w:val="es-ES"/>
        </w:rPr>
        <w:t xml:space="preserve">, S. A., &amp; McNamara, D. S. (2013). </w:t>
      </w:r>
      <w:r w:rsidRPr="00911388">
        <w:rPr>
          <w:rFonts w:ascii="Garamond" w:eastAsia="Malgun Gothic" w:hAnsi="Garamond" w:cs="Times New Roman"/>
          <w:color w:val="000000" w:themeColor="text1"/>
          <w:sz w:val="20"/>
          <w:szCs w:val="20"/>
        </w:rPr>
        <w:t xml:space="preserve">Predicting human judgments of essay </w:t>
      </w:r>
    </w:p>
    <w:p w14:paraId="2862725F"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quality in both integrated and independent second language writing samples: A </w:t>
      </w:r>
    </w:p>
    <w:p w14:paraId="63CA6F31"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comparison study. </w:t>
      </w:r>
      <w:r w:rsidRPr="00911388">
        <w:rPr>
          <w:rFonts w:ascii="Garamond" w:eastAsia="Malgun Gothic" w:hAnsi="Garamond" w:cs="Times New Roman"/>
          <w:i/>
          <w:iCs/>
          <w:color w:val="000000" w:themeColor="text1"/>
          <w:sz w:val="20"/>
          <w:szCs w:val="20"/>
        </w:rPr>
        <w:t>Assessing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18</w:t>
      </w:r>
      <w:r w:rsidRPr="00911388">
        <w:rPr>
          <w:rFonts w:ascii="Garamond" w:eastAsia="Malgun Gothic" w:hAnsi="Garamond" w:cs="Times New Roman"/>
          <w:color w:val="000000" w:themeColor="text1"/>
          <w:sz w:val="20"/>
          <w:szCs w:val="20"/>
        </w:rPr>
        <w:t xml:space="preserve">(3), 218–238. </w:t>
      </w:r>
      <w:hyperlink r:id="rId41" w:history="1">
        <w:r w:rsidRPr="00911388">
          <w:rPr>
            <w:rStyle w:val="Hyperlink"/>
            <w:rFonts w:ascii="Garamond" w:eastAsia="Malgun Gothic" w:hAnsi="Garamond" w:cs="Times New Roman"/>
            <w:sz w:val="20"/>
            <w:szCs w:val="20"/>
          </w:rPr>
          <w:t>https://doi.org/10.1016/j.asw.2013.05.002</w:t>
        </w:r>
      </w:hyperlink>
    </w:p>
    <w:p w14:paraId="68188BFB"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Hirvela, A. (2016). </w:t>
      </w:r>
      <w:r w:rsidRPr="00911388">
        <w:rPr>
          <w:rFonts w:ascii="Garamond" w:eastAsia="Malgun Gothic" w:hAnsi="Garamond" w:cs="Times New Roman"/>
          <w:i/>
          <w:iCs/>
          <w:color w:val="000000" w:themeColor="text1"/>
          <w:sz w:val="20"/>
          <w:szCs w:val="20"/>
        </w:rPr>
        <w:t>Connecting reading and writing in second language writing instruction</w:t>
      </w:r>
      <w:r w:rsidRPr="00911388">
        <w:rPr>
          <w:rFonts w:ascii="Garamond" w:eastAsia="Malgun Gothic" w:hAnsi="Garamond" w:cs="Times New Roman"/>
          <w:color w:val="000000" w:themeColor="text1"/>
          <w:sz w:val="20"/>
          <w:szCs w:val="20"/>
        </w:rPr>
        <w:t xml:space="preserve"> (2nd </w:t>
      </w:r>
    </w:p>
    <w:p w14:paraId="10BF0C94"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ed.). University of Michigan Press. </w:t>
      </w:r>
      <w:hyperlink r:id="rId42" w:history="1">
        <w:r w:rsidRPr="00911388">
          <w:rPr>
            <w:rStyle w:val="Hyperlink"/>
            <w:rFonts w:ascii="Garamond" w:eastAsia="Malgun Gothic" w:hAnsi="Garamond" w:cs="Times New Roman"/>
            <w:sz w:val="20"/>
            <w:szCs w:val="20"/>
          </w:rPr>
          <w:t>https://doi.org/10.3998/mpub.8122864</w:t>
        </w:r>
      </w:hyperlink>
    </w:p>
    <w:p w14:paraId="0C524EEE"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Hirvela, A., &amp; Belcher, D. (2016). Reading/writing and speaking/writing connections: The </w:t>
      </w:r>
    </w:p>
    <w:p w14:paraId="4CAAA6AD"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advantages of multimodal pedagogy. In R. M. </w:t>
      </w:r>
      <w:proofErr w:type="spellStart"/>
      <w:r w:rsidRPr="00911388">
        <w:rPr>
          <w:rFonts w:ascii="Garamond" w:eastAsia="Malgun Gothic" w:hAnsi="Garamond" w:cs="Times New Roman"/>
          <w:color w:val="000000" w:themeColor="text1"/>
          <w:sz w:val="20"/>
          <w:szCs w:val="20"/>
        </w:rPr>
        <w:t>Manchón</w:t>
      </w:r>
      <w:proofErr w:type="spellEnd"/>
      <w:r w:rsidRPr="00911388">
        <w:rPr>
          <w:rFonts w:ascii="Garamond" w:eastAsia="Malgun Gothic" w:hAnsi="Garamond" w:cs="Times New Roman"/>
          <w:color w:val="000000" w:themeColor="text1"/>
          <w:sz w:val="20"/>
          <w:szCs w:val="20"/>
        </w:rPr>
        <w:t xml:space="preserve"> &amp; P. K. Matsuda (Eds.), </w:t>
      </w:r>
      <w:r w:rsidRPr="00911388">
        <w:rPr>
          <w:rFonts w:ascii="Garamond" w:eastAsia="Malgun Gothic" w:hAnsi="Garamond" w:cs="Times New Roman"/>
          <w:i/>
          <w:iCs/>
          <w:color w:val="000000" w:themeColor="text1"/>
          <w:sz w:val="20"/>
          <w:szCs w:val="20"/>
        </w:rPr>
        <w:t>Handbook of second and foreign language writing</w:t>
      </w:r>
      <w:r w:rsidRPr="00911388">
        <w:rPr>
          <w:rFonts w:ascii="Garamond" w:eastAsia="Malgun Gothic" w:hAnsi="Garamond" w:cs="Times New Roman"/>
          <w:color w:val="000000" w:themeColor="text1"/>
          <w:sz w:val="20"/>
          <w:szCs w:val="20"/>
        </w:rPr>
        <w:t xml:space="preserve"> (Vol. 11, pp. 587–612). Walter de Gruyter.</w:t>
      </w:r>
    </w:p>
    <w:p w14:paraId="49C906C0" w14:textId="77777777" w:rsidR="00626EB6" w:rsidRPr="00911388" w:rsidRDefault="00626EB6" w:rsidP="00626EB6">
      <w:pPr>
        <w:pStyle w:val="Bibliography"/>
        <w:ind w:left="720" w:hanging="720"/>
        <w:rPr>
          <w:rFonts w:ascii="Garamond" w:hAnsi="Garamond"/>
          <w:sz w:val="20"/>
          <w:szCs w:val="20"/>
        </w:rPr>
      </w:pPr>
      <w:r w:rsidRPr="00911388">
        <w:rPr>
          <w:rFonts w:ascii="Garamond" w:hAnsi="Garamond" w:cstheme="majorBidi"/>
          <w:color w:val="000000" w:themeColor="text1"/>
          <w:sz w:val="20"/>
          <w:szCs w:val="20"/>
        </w:rPr>
        <w:lastRenderedPageBreak/>
        <w:t xml:space="preserve">*Hirvela, A., &amp; Du, Q. (2013). “Why am I paraphrasing?”: Undergraduate ESL writers’ engagement with source-based academic writing and reading. </w:t>
      </w:r>
      <w:r w:rsidRPr="00911388">
        <w:rPr>
          <w:rFonts w:ascii="Garamond" w:hAnsi="Garamond" w:cstheme="majorBidi"/>
          <w:i/>
          <w:iCs/>
          <w:color w:val="000000" w:themeColor="text1"/>
          <w:sz w:val="20"/>
          <w:szCs w:val="20"/>
        </w:rPr>
        <w:t>Journal of English for Academic Purposes</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12</w:t>
      </w:r>
      <w:r w:rsidRPr="00911388">
        <w:rPr>
          <w:rFonts w:ascii="Garamond" w:hAnsi="Garamond" w:cstheme="majorBidi"/>
          <w:color w:val="000000" w:themeColor="text1"/>
          <w:sz w:val="20"/>
          <w:szCs w:val="20"/>
        </w:rPr>
        <w:t xml:space="preserve">(2), 87–98. </w:t>
      </w:r>
      <w:hyperlink r:id="rId43" w:tgtFrame="_blank" w:tooltip="Persistent link using digital object identifier" w:history="1">
        <w:r w:rsidRPr="00911388">
          <w:rPr>
            <w:rStyle w:val="Hyperlink"/>
            <w:rFonts w:ascii="Garamond" w:hAnsi="Garamond" w:cstheme="majorBidi"/>
            <w:color w:val="0070C0"/>
            <w:sz w:val="20"/>
            <w:szCs w:val="20"/>
          </w:rPr>
          <w:t>https://doi.org/10.1016/j.jeap.2012.11.005</w:t>
        </w:r>
      </w:hyperlink>
    </w:p>
    <w:p w14:paraId="4014CDAA"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lang w:val="es-ES"/>
        </w:rPr>
        <w:t xml:space="preserve">Israel, E., &amp; </w:t>
      </w:r>
      <w:proofErr w:type="spellStart"/>
      <w:r w:rsidRPr="00911388">
        <w:rPr>
          <w:rFonts w:ascii="Garamond" w:eastAsia="Malgun Gothic" w:hAnsi="Garamond" w:cs="Times New Roman"/>
          <w:color w:val="000000" w:themeColor="text1"/>
          <w:sz w:val="20"/>
          <w:szCs w:val="20"/>
          <w:lang w:val="es-ES"/>
        </w:rPr>
        <w:t>Batalova</w:t>
      </w:r>
      <w:proofErr w:type="spellEnd"/>
      <w:r w:rsidRPr="00911388">
        <w:rPr>
          <w:rFonts w:ascii="Garamond" w:eastAsia="Malgun Gothic" w:hAnsi="Garamond" w:cs="Times New Roman"/>
          <w:color w:val="000000" w:themeColor="text1"/>
          <w:sz w:val="20"/>
          <w:szCs w:val="20"/>
          <w:lang w:val="es-ES"/>
        </w:rPr>
        <w:t xml:space="preserve">, J. (2021, </w:t>
      </w:r>
      <w:proofErr w:type="spellStart"/>
      <w:r w:rsidRPr="00911388">
        <w:rPr>
          <w:rFonts w:ascii="Garamond" w:eastAsia="Malgun Gothic" w:hAnsi="Garamond" w:cs="Times New Roman"/>
          <w:color w:val="000000" w:themeColor="text1"/>
          <w:sz w:val="20"/>
          <w:szCs w:val="20"/>
          <w:lang w:val="es-ES"/>
        </w:rPr>
        <w:t>January</w:t>
      </w:r>
      <w:proofErr w:type="spellEnd"/>
      <w:r w:rsidRPr="00911388">
        <w:rPr>
          <w:rFonts w:ascii="Garamond" w:eastAsia="Malgun Gothic" w:hAnsi="Garamond" w:cs="Times New Roman"/>
          <w:color w:val="000000" w:themeColor="text1"/>
          <w:sz w:val="20"/>
          <w:szCs w:val="20"/>
          <w:lang w:val="es-ES"/>
        </w:rPr>
        <w:t xml:space="preserve"> 14). </w:t>
      </w:r>
      <w:r w:rsidRPr="00911388">
        <w:rPr>
          <w:rFonts w:ascii="Garamond" w:eastAsia="Malgun Gothic" w:hAnsi="Garamond" w:cs="Times New Roman"/>
          <w:i/>
          <w:iCs/>
          <w:color w:val="000000" w:themeColor="text1"/>
          <w:sz w:val="20"/>
          <w:szCs w:val="20"/>
        </w:rPr>
        <w:t>International students in the United States</w:t>
      </w:r>
      <w:r w:rsidRPr="00911388">
        <w:rPr>
          <w:rFonts w:ascii="Garamond" w:eastAsia="Malgun Gothic" w:hAnsi="Garamond" w:cs="Times New Roman"/>
          <w:color w:val="000000" w:themeColor="text1"/>
          <w:sz w:val="20"/>
          <w:szCs w:val="20"/>
        </w:rPr>
        <w:t xml:space="preserve">. </w:t>
      </w:r>
    </w:p>
    <w:p w14:paraId="7922CB65"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Migration Policy Institute. </w:t>
      </w:r>
    </w:p>
    <w:p w14:paraId="46E1DD53" w14:textId="77777777" w:rsidR="00626EB6" w:rsidRPr="00911388" w:rsidRDefault="00626EB6" w:rsidP="00626EB6">
      <w:pPr>
        <w:ind w:firstLine="720"/>
        <w:rPr>
          <w:rFonts w:ascii="Garamond" w:eastAsia="Malgun Gothic" w:hAnsi="Garamond" w:cs="Times New Roman"/>
          <w:color w:val="000000" w:themeColor="text1"/>
          <w:sz w:val="20"/>
          <w:szCs w:val="20"/>
        </w:rPr>
      </w:pPr>
      <w:hyperlink r:id="rId44" w:history="1">
        <w:r w:rsidRPr="00911388">
          <w:rPr>
            <w:rStyle w:val="Hyperlink"/>
            <w:rFonts w:ascii="Garamond" w:eastAsia="Malgun Gothic" w:hAnsi="Garamond" w:cs="Times New Roman"/>
            <w:sz w:val="20"/>
            <w:szCs w:val="20"/>
          </w:rPr>
          <w:t>https://www.migrationpolicy.org/article/international-students-united-states</w:t>
        </w:r>
      </w:hyperlink>
    </w:p>
    <w:p w14:paraId="61F487C0" w14:textId="77777777" w:rsidR="00626EB6" w:rsidRPr="00911388" w:rsidRDefault="00626EB6" w:rsidP="00626EB6">
      <w:pPr>
        <w:rPr>
          <w:rFonts w:ascii="Garamond" w:hAnsi="Garamond" w:cstheme="majorBidi"/>
          <w:color w:val="000000" w:themeColor="text1"/>
          <w:sz w:val="20"/>
          <w:szCs w:val="20"/>
        </w:rPr>
      </w:pPr>
      <w:r w:rsidRPr="00911388">
        <w:rPr>
          <w:rFonts w:ascii="Garamond" w:hAnsi="Garamond" w:cstheme="majorBidi"/>
          <w:color w:val="000000" w:themeColor="text1"/>
          <w:sz w:val="20"/>
          <w:szCs w:val="20"/>
        </w:rPr>
        <w:t>*James, M. A. (2010). An investigation of learning transfer in English-for-general-academic-</w:t>
      </w:r>
    </w:p>
    <w:p w14:paraId="7D08BF57" w14:textId="77777777" w:rsidR="00626EB6" w:rsidRPr="00911388" w:rsidRDefault="00626EB6" w:rsidP="00626EB6">
      <w:pPr>
        <w:ind w:left="720"/>
        <w:rPr>
          <w:rFonts w:ascii="Garamond" w:hAnsi="Garamond"/>
          <w:sz w:val="20"/>
          <w:szCs w:val="20"/>
        </w:rPr>
      </w:pPr>
      <w:r w:rsidRPr="00911388">
        <w:rPr>
          <w:rFonts w:ascii="Garamond" w:hAnsi="Garamond" w:cstheme="majorBidi"/>
          <w:color w:val="000000" w:themeColor="text1"/>
          <w:sz w:val="20"/>
          <w:szCs w:val="20"/>
        </w:rPr>
        <w:t xml:space="preserve">purposes writing instruction. </w:t>
      </w:r>
      <w:r w:rsidRPr="00911388">
        <w:rPr>
          <w:rFonts w:ascii="Garamond" w:hAnsi="Garamond" w:cstheme="majorBidi"/>
          <w:i/>
          <w:iCs/>
          <w:color w:val="000000" w:themeColor="text1"/>
          <w:sz w:val="20"/>
          <w:szCs w:val="20"/>
        </w:rPr>
        <w:t>Journal of Second Language Writing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19</w:t>
      </w:r>
      <w:r w:rsidRPr="00911388">
        <w:rPr>
          <w:rFonts w:ascii="Garamond" w:hAnsi="Garamond" w:cstheme="majorBidi"/>
          <w:color w:val="000000" w:themeColor="text1"/>
          <w:sz w:val="20"/>
          <w:szCs w:val="20"/>
        </w:rPr>
        <w:t xml:space="preserve">(4), 183–206. </w:t>
      </w:r>
      <w:hyperlink r:id="rId45" w:history="1">
        <w:r w:rsidRPr="00911388">
          <w:rPr>
            <w:rStyle w:val="Hyperlink"/>
            <w:rFonts w:ascii="Garamond" w:hAnsi="Garamond" w:cstheme="majorBidi"/>
            <w:sz w:val="20"/>
            <w:szCs w:val="20"/>
          </w:rPr>
          <w:t>https://doi.org/10.1016/j.jslw.2010.09.003</w:t>
        </w:r>
      </w:hyperlink>
    </w:p>
    <w:p w14:paraId="53A170B4" w14:textId="77777777" w:rsidR="00626EB6" w:rsidRPr="00911388" w:rsidRDefault="00626EB6" w:rsidP="00626EB6">
      <w:pPr>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*Jeon, H. (2021). Exploring the nature of teaching for transfer in EAP: A case study. </w:t>
      </w:r>
      <w:r w:rsidRPr="00911388">
        <w:rPr>
          <w:rFonts w:ascii="Garamond" w:eastAsia="Malgun Gothic" w:hAnsi="Garamond" w:cs="Times New Roman"/>
          <w:i/>
          <w:iCs/>
          <w:color w:val="000000" w:themeColor="text1"/>
          <w:sz w:val="20"/>
          <w:szCs w:val="20"/>
        </w:rPr>
        <w:t xml:space="preserve">RELC </w:t>
      </w:r>
    </w:p>
    <w:p w14:paraId="736D8C38"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Journal</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53</w:t>
      </w:r>
      <w:r w:rsidRPr="00911388">
        <w:rPr>
          <w:rFonts w:ascii="Garamond" w:eastAsia="Malgun Gothic" w:hAnsi="Garamond" w:cs="Times New Roman"/>
          <w:color w:val="000000" w:themeColor="text1"/>
          <w:sz w:val="20"/>
          <w:szCs w:val="20"/>
        </w:rPr>
        <w:t xml:space="preserve">(3). </w:t>
      </w:r>
      <w:hyperlink r:id="rId46" w:history="1">
        <w:r w:rsidRPr="00911388">
          <w:rPr>
            <w:rStyle w:val="Hyperlink"/>
            <w:rFonts w:ascii="Garamond" w:eastAsia="Malgun Gothic" w:hAnsi="Garamond" w:cs="Times New Roman"/>
            <w:sz w:val="20"/>
            <w:szCs w:val="20"/>
          </w:rPr>
          <w:t>https://doi.org/10.1177/0033688220974100</w:t>
        </w:r>
      </w:hyperlink>
    </w:p>
    <w:p w14:paraId="4CA93096"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*Jia, W., &amp; Zhang, P. (2023). Rater cognitive processes in integrated writing tasks: From the perspective of problem-solving. </w:t>
      </w:r>
      <w:r w:rsidRPr="00911388">
        <w:rPr>
          <w:rFonts w:ascii="Garamond" w:hAnsi="Garamond" w:cstheme="majorBidi"/>
          <w:i/>
          <w:iCs/>
          <w:color w:val="000000" w:themeColor="text1"/>
          <w:sz w:val="20"/>
          <w:szCs w:val="20"/>
        </w:rPr>
        <w:t>Language Testing in Asia</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13</w:t>
      </w:r>
      <w:r w:rsidRPr="00911388">
        <w:rPr>
          <w:rFonts w:ascii="Garamond" w:hAnsi="Garamond" w:cstheme="majorBidi"/>
          <w:color w:val="000000" w:themeColor="text1"/>
          <w:sz w:val="20"/>
          <w:szCs w:val="20"/>
        </w:rPr>
        <w:t xml:space="preserve">(1), 50. </w:t>
      </w:r>
      <w:r w:rsidRPr="00911388">
        <w:rPr>
          <w:rStyle w:val="Hyperlink"/>
          <w:rFonts w:ascii="Garamond" w:hAnsi="Garamond" w:cstheme="majorBidi"/>
          <w:color w:val="0070C0"/>
          <w:sz w:val="20"/>
          <w:szCs w:val="20"/>
        </w:rPr>
        <w:t>https://doi.org/10.1186/s40468-023-00265-x</w:t>
      </w:r>
    </w:p>
    <w:p w14:paraId="11B9C815"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*Kessler, M. (2020). Technology-mediated writing: Exploring incoming graduate students’ L2 </w:t>
      </w:r>
    </w:p>
    <w:p w14:paraId="1F3D7C16"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writing strategies with activity theory. </w:t>
      </w:r>
      <w:r w:rsidRPr="00911388">
        <w:rPr>
          <w:rFonts w:ascii="Garamond" w:eastAsia="Malgun Gothic" w:hAnsi="Garamond" w:cs="Times New Roman"/>
          <w:i/>
          <w:iCs/>
          <w:color w:val="000000" w:themeColor="text1"/>
          <w:sz w:val="20"/>
          <w:szCs w:val="20"/>
        </w:rPr>
        <w:t>Computers and Composition</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55</w:t>
      </w:r>
      <w:r w:rsidRPr="00911388">
        <w:rPr>
          <w:rFonts w:ascii="Garamond" w:eastAsia="Malgun Gothic" w:hAnsi="Garamond" w:cs="Times New Roman"/>
          <w:color w:val="000000" w:themeColor="text1"/>
          <w:sz w:val="20"/>
          <w:szCs w:val="20"/>
        </w:rPr>
        <w:t xml:space="preserve">, Article 102542. </w:t>
      </w:r>
    </w:p>
    <w:p w14:paraId="14CE2326" w14:textId="77777777" w:rsidR="00626EB6" w:rsidRPr="00911388" w:rsidRDefault="00626EB6" w:rsidP="00626EB6">
      <w:pPr>
        <w:ind w:left="720"/>
        <w:rPr>
          <w:rFonts w:ascii="Garamond" w:eastAsia="Malgun Gothic" w:hAnsi="Garamond" w:cs="Times New Roman"/>
          <w:color w:val="000000" w:themeColor="text1"/>
          <w:sz w:val="20"/>
          <w:szCs w:val="20"/>
        </w:rPr>
      </w:pPr>
      <w:hyperlink r:id="rId47" w:history="1">
        <w:r w:rsidRPr="00911388">
          <w:rPr>
            <w:rStyle w:val="Hyperlink"/>
            <w:rFonts w:ascii="Garamond" w:eastAsia="Malgun Gothic" w:hAnsi="Garamond" w:cs="Times New Roman"/>
            <w:sz w:val="20"/>
            <w:szCs w:val="20"/>
          </w:rPr>
          <w:t>https://doi.org/10.1016/j.compcom.2020.102542</w:t>
        </w:r>
      </w:hyperlink>
    </w:p>
    <w:p w14:paraId="43272366"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*Kim, A.-Y., &amp; Kim, H. J. (2017). The effectiveness of instructor feedback for learning-oriented </w:t>
      </w:r>
    </w:p>
    <w:p w14:paraId="4F85DB8B"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language assessment: Using an integrated reading-to-write task for English for academic purposes. </w:t>
      </w:r>
      <w:r w:rsidRPr="00911388">
        <w:rPr>
          <w:rFonts w:ascii="Garamond" w:eastAsia="Malgun Gothic" w:hAnsi="Garamond" w:cs="Times New Roman"/>
          <w:i/>
          <w:iCs/>
          <w:color w:val="000000" w:themeColor="text1"/>
          <w:sz w:val="20"/>
          <w:szCs w:val="20"/>
        </w:rPr>
        <w:t>Assessing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32</w:t>
      </w:r>
      <w:r w:rsidRPr="00911388">
        <w:rPr>
          <w:rFonts w:ascii="Garamond" w:eastAsia="Malgun Gothic" w:hAnsi="Garamond" w:cs="Times New Roman"/>
          <w:color w:val="000000" w:themeColor="text1"/>
          <w:sz w:val="20"/>
          <w:szCs w:val="20"/>
        </w:rPr>
        <w:t xml:space="preserve">, 57–71. </w:t>
      </w:r>
      <w:hyperlink r:id="rId48" w:history="1">
        <w:r w:rsidRPr="00911388">
          <w:rPr>
            <w:rStyle w:val="Hyperlink"/>
            <w:rFonts w:ascii="Garamond" w:eastAsia="Malgun Gothic" w:hAnsi="Garamond" w:cs="Times New Roman"/>
            <w:sz w:val="20"/>
            <w:szCs w:val="20"/>
          </w:rPr>
          <w:t>https://doi.org/10.1016/j.asw.2016.12.001</w:t>
        </w:r>
      </w:hyperlink>
    </w:p>
    <w:p w14:paraId="5D443504"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w:t>
      </w:r>
      <w:proofErr w:type="spellStart"/>
      <w:r w:rsidRPr="00911388">
        <w:rPr>
          <w:rFonts w:ascii="Garamond" w:eastAsia="Malgun Gothic" w:hAnsi="Garamond" w:cs="Times New Roman"/>
          <w:color w:val="000000" w:themeColor="text1"/>
          <w:sz w:val="20"/>
          <w:szCs w:val="20"/>
        </w:rPr>
        <w:t>Kocatepe</w:t>
      </w:r>
      <w:proofErr w:type="spellEnd"/>
      <w:r w:rsidRPr="00911388">
        <w:rPr>
          <w:rFonts w:ascii="Garamond" w:eastAsia="Malgun Gothic" w:hAnsi="Garamond" w:cs="Times New Roman"/>
          <w:color w:val="000000" w:themeColor="text1"/>
          <w:sz w:val="20"/>
          <w:szCs w:val="20"/>
        </w:rPr>
        <w:t xml:space="preserve">, M. (2021). </w:t>
      </w:r>
      <w:proofErr w:type="spellStart"/>
      <w:r w:rsidRPr="00911388">
        <w:rPr>
          <w:rFonts w:ascii="Garamond" w:eastAsia="Malgun Gothic" w:hAnsi="Garamond" w:cs="Times New Roman"/>
          <w:color w:val="000000" w:themeColor="text1"/>
          <w:sz w:val="20"/>
          <w:szCs w:val="20"/>
        </w:rPr>
        <w:t>Reconceptualising</w:t>
      </w:r>
      <w:proofErr w:type="spellEnd"/>
      <w:r w:rsidRPr="00911388">
        <w:rPr>
          <w:rFonts w:ascii="Garamond" w:eastAsia="Malgun Gothic" w:hAnsi="Garamond" w:cs="Times New Roman"/>
          <w:color w:val="000000" w:themeColor="text1"/>
          <w:sz w:val="20"/>
          <w:szCs w:val="20"/>
        </w:rPr>
        <w:t xml:space="preserve"> the notion of finding information: How undergraduate </w:t>
      </w:r>
    </w:p>
    <w:p w14:paraId="1CB2CC46"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students construct information as they read-to-write in an academic writing class.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54</w:t>
      </w:r>
      <w:r w:rsidRPr="00911388">
        <w:rPr>
          <w:rFonts w:ascii="Garamond" w:eastAsia="Malgun Gothic" w:hAnsi="Garamond" w:cs="Times New Roman"/>
          <w:color w:val="000000" w:themeColor="text1"/>
          <w:sz w:val="20"/>
          <w:szCs w:val="20"/>
        </w:rPr>
        <w:t xml:space="preserve">, Article 101042. </w:t>
      </w:r>
      <w:hyperlink r:id="rId49" w:history="1">
        <w:r w:rsidRPr="00911388">
          <w:rPr>
            <w:rStyle w:val="Hyperlink"/>
            <w:rFonts w:ascii="Garamond" w:eastAsia="Malgun Gothic" w:hAnsi="Garamond" w:cs="Times New Roman"/>
            <w:sz w:val="20"/>
            <w:szCs w:val="20"/>
          </w:rPr>
          <w:t>https://doi.org/10.1016/j.jeap.2021.101042</w:t>
        </w:r>
      </w:hyperlink>
    </w:p>
    <w:p w14:paraId="12534989"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*Kyle, K. (2020). The relationship between features of source text use and integrated writing </w:t>
      </w:r>
    </w:p>
    <w:p w14:paraId="2038D7C6"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quality. </w:t>
      </w:r>
      <w:r w:rsidRPr="00911388">
        <w:rPr>
          <w:rFonts w:ascii="Garamond" w:eastAsia="Malgun Gothic" w:hAnsi="Garamond" w:cs="Times New Roman"/>
          <w:i/>
          <w:iCs/>
          <w:color w:val="000000" w:themeColor="text1"/>
          <w:sz w:val="20"/>
          <w:szCs w:val="20"/>
        </w:rPr>
        <w:t>Assessing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45</w:t>
      </w:r>
      <w:r w:rsidRPr="00911388">
        <w:rPr>
          <w:rFonts w:ascii="Garamond" w:eastAsia="Malgun Gothic" w:hAnsi="Garamond" w:cs="Times New Roman"/>
          <w:color w:val="000000" w:themeColor="text1"/>
          <w:sz w:val="20"/>
          <w:szCs w:val="20"/>
        </w:rPr>
        <w:t xml:space="preserve">, Article 100467. </w:t>
      </w:r>
      <w:hyperlink r:id="rId50" w:history="1">
        <w:r w:rsidRPr="00911388">
          <w:rPr>
            <w:rStyle w:val="Hyperlink"/>
            <w:rFonts w:ascii="Garamond" w:eastAsia="Malgun Gothic" w:hAnsi="Garamond" w:cs="Times New Roman"/>
            <w:sz w:val="20"/>
            <w:szCs w:val="20"/>
          </w:rPr>
          <w:t>https://doi.org/10.1016/j.asw.2020.100467</w:t>
        </w:r>
      </w:hyperlink>
    </w:p>
    <w:p w14:paraId="3FBA99F3" w14:textId="77777777" w:rsidR="00626EB6" w:rsidRPr="00911388" w:rsidRDefault="00626EB6" w:rsidP="00626EB6">
      <w:pPr>
        <w:pStyle w:val="Bibliography"/>
        <w:ind w:left="720" w:hanging="720"/>
        <w:rPr>
          <w:rFonts w:ascii="Garamond" w:hAnsi="Garamond" w:cstheme="majorBidi"/>
          <w:color w:val="000000" w:themeColor="text1"/>
          <w:sz w:val="20"/>
          <w:szCs w:val="20"/>
        </w:rPr>
      </w:pPr>
      <w:bookmarkStart w:id="9" w:name="_Hlk173777084"/>
      <w:r w:rsidRPr="00911388">
        <w:rPr>
          <w:rFonts w:ascii="Garamond" w:hAnsi="Garamond" w:cstheme="majorBidi"/>
          <w:color w:val="000000" w:themeColor="text1"/>
          <w:sz w:val="20"/>
          <w:szCs w:val="20"/>
        </w:rPr>
        <w:t xml:space="preserve">*Kyle, K., &amp; Crossley, S. (2016). The relationship between lexical sophistication and independent and source-based writing. </w:t>
      </w:r>
      <w:r w:rsidRPr="00911388">
        <w:rPr>
          <w:rFonts w:ascii="Garamond" w:hAnsi="Garamond" w:cstheme="majorBidi"/>
          <w:i/>
          <w:iCs/>
          <w:color w:val="000000" w:themeColor="text1"/>
          <w:sz w:val="20"/>
          <w:szCs w:val="20"/>
        </w:rPr>
        <w:t>Journal of Second Language Writing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34</w:t>
      </w:r>
      <w:r w:rsidRPr="00911388">
        <w:rPr>
          <w:rFonts w:ascii="Garamond" w:hAnsi="Garamond" w:cstheme="majorBidi"/>
          <w:color w:val="000000" w:themeColor="text1"/>
          <w:sz w:val="20"/>
          <w:szCs w:val="20"/>
        </w:rPr>
        <w:t xml:space="preserve">, 12–24. </w:t>
      </w:r>
      <w:bookmarkEnd w:id="9"/>
      <w:r w:rsidRPr="00911388">
        <w:rPr>
          <w:rFonts w:ascii="Garamond" w:hAnsi="Garamond" w:cstheme="majorBidi"/>
          <w:color w:val="0070C0"/>
          <w:sz w:val="20"/>
          <w:szCs w:val="20"/>
        </w:rPr>
        <w:fldChar w:fldCharType="begin"/>
      </w:r>
      <w:r w:rsidRPr="00911388">
        <w:rPr>
          <w:rFonts w:ascii="Garamond" w:hAnsi="Garamond" w:cstheme="majorBidi"/>
          <w:color w:val="0070C0"/>
          <w:sz w:val="20"/>
          <w:szCs w:val="20"/>
        </w:rPr>
        <w:instrText>HYPERLINK "https://doi.org/10.1016/j.jslw.2016.10.003" \o "Persistent link using digital object identifier" \t "_blank"</w:instrText>
      </w:r>
      <w:r w:rsidRPr="00911388">
        <w:rPr>
          <w:rFonts w:ascii="Garamond" w:hAnsi="Garamond" w:cstheme="majorBidi"/>
          <w:color w:val="0070C0"/>
          <w:sz w:val="20"/>
          <w:szCs w:val="20"/>
        </w:rPr>
      </w:r>
      <w:r w:rsidRPr="00911388">
        <w:rPr>
          <w:rFonts w:ascii="Garamond" w:hAnsi="Garamond" w:cstheme="majorBidi"/>
          <w:color w:val="0070C0"/>
          <w:sz w:val="20"/>
          <w:szCs w:val="20"/>
        </w:rPr>
        <w:fldChar w:fldCharType="separate"/>
      </w:r>
      <w:r w:rsidRPr="00911388">
        <w:rPr>
          <w:rStyle w:val="Hyperlink"/>
          <w:rFonts w:ascii="Garamond" w:hAnsi="Garamond" w:cstheme="majorBidi"/>
          <w:color w:val="0070C0"/>
          <w:sz w:val="20"/>
          <w:szCs w:val="20"/>
        </w:rPr>
        <w:t>https://doi.org/10.1016/j.jslw.2016.10.003</w:t>
      </w:r>
      <w:r w:rsidRPr="00911388">
        <w:rPr>
          <w:rFonts w:ascii="Garamond" w:hAnsi="Garamond" w:cstheme="majorBidi"/>
          <w:color w:val="0070C0"/>
          <w:sz w:val="20"/>
          <w:szCs w:val="20"/>
        </w:rPr>
        <w:fldChar w:fldCharType="end"/>
      </w:r>
    </w:p>
    <w:p w14:paraId="74B0E301"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Lave, J., &amp; Wenger, E. (1991). </w:t>
      </w:r>
      <w:r w:rsidRPr="00911388">
        <w:rPr>
          <w:rFonts w:ascii="Garamond" w:eastAsia="Malgun Gothic" w:hAnsi="Garamond" w:cs="Times New Roman"/>
          <w:i/>
          <w:iCs/>
          <w:color w:val="000000" w:themeColor="text1"/>
          <w:sz w:val="20"/>
          <w:szCs w:val="20"/>
        </w:rPr>
        <w:t>Situated learning: Legitimate peripheral participation</w:t>
      </w:r>
      <w:r w:rsidRPr="00911388">
        <w:rPr>
          <w:rFonts w:ascii="Garamond" w:eastAsia="Malgun Gothic" w:hAnsi="Garamond" w:cs="Times New Roman"/>
          <w:color w:val="000000" w:themeColor="text1"/>
          <w:sz w:val="20"/>
          <w:szCs w:val="20"/>
        </w:rPr>
        <w:t xml:space="preserve">. </w:t>
      </w:r>
    </w:p>
    <w:p w14:paraId="41019480"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Cambridge University Press.</w:t>
      </w:r>
    </w:p>
    <w:p w14:paraId="74AAC4FE"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*Lee, J. J., Hitchcock, C., &amp; Elliott Casal, J. (2018). Citation practices of L2 university students </w:t>
      </w:r>
    </w:p>
    <w:p w14:paraId="565443F3"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in first-year writing: Form, function, and stance.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33</w:t>
      </w:r>
      <w:r w:rsidRPr="00911388">
        <w:rPr>
          <w:rFonts w:ascii="Garamond" w:eastAsia="Malgun Gothic" w:hAnsi="Garamond" w:cs="Times New Roman"/>
          <w:color w:val="000000" w:themeColor="text1"/>
          <w:sz w:val="20"/>
          <w:szCs w:val="20"/>
        </w:rPr>
        <w:t xml:space="preserve">, 1–11. </w:t>
      </w:r>
      <w:hyperlink r:id="rId51" w:history="1">
        <w:r w:rsidRPr="00911388">
          <w:rPr>
            <w:rStyle w:val="Hyperlink"/>
            <w:rFonts w:ascii="Garamond" w:eastAsia="Malgun Gothic" w:hAnsi="Garamond" w:cs="Times New Roman"/>
            <w:sz w:val="20"/>
            <w:szCs w:val="20"/>
          </w:rPr>
          <w:t>https://doi.org/10.1016/j.jeap.2018.01.001</w:t>
        </w:r>
      </w:hyperlink>
    </w:p>
    <w:p w14:paraId="79BFAEE5" w14:textId="77777777" w:rsidR="00626EB6" w:rsidRPr="00911388" w:rsidRDefault="00626EB6" w:rsidP="00626EB6">
      <w:pPr>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Lee, Y.-J. (2024). Can my writing be polished further? When ChatGPT meets human touch. </w:t>
      </w:r>
      <w:r w:rsidRPr="00911388">
        <w:rPr>
          <w:rFonts w:ascii="Garamond" w:eastAsia="Malgun Gothic" w:hAnsi="Garamond" w:cs="Times New Roman"/>
          <w:i/>
          <w:iCs/>
          <w:color w:val="000000" w:themeColor="text1"/>
          <w:sz w:val="20"/>
          <w:szCs w:val="20"/>
        </w:rPr>
        <w:t xml:space="preserve">ELT </w:t>
      </w:r>
    </w:p>
    <w:p w14:paraId="49A57D6E"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Journal</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78</w:t>
      </w:r>
      <w:r w:rsidRPr="00911388">
        <w:rPr>
          <w:rFonts w:ascii="Garamond" w:eastAsia="Malgun Gothic" w:hAnsi="Garamond" w:cs="Times New Roman"/>
          <w:color w:val="000000" w:themeColor="text1"/>
          <w:sz w:val="20"/>
          <w:szCs w:val="20"/>
        </w:rPr>
        <w:t xml:space="preserve">(4), 401–413. </w:t>
      </w:r>
      <w:hyperlink r:id="rId52" w:history="1">
        <w:r w:rsidRPr="00911388">
          <w:rPr>
            <w:rStyle w:val="Hyperlink"/>
            <w:rFonts w:ascii="Garamond" w:eastAsia="Malgun Gothic" w:hAnsi="Garamond" w:cs="Times New Roman"/>
            <w:sz w:val="20"/>
            <w:szCs w:val="20"/>
          </w:rPr>
          <w:t>https://doi.org/10.1093/elt/ccae039</w:t>
        </w:r>
      </w:hyperlink>
    </w:p>
    <w:p w14:paraId="6CC9B090"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*Li, Y. (2012). Undergraduate students searching and reading Web sources for writing. </w:t>
      </w:r>
    </w:p>
    <w:p w14:paraId="108768B8"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Educational Media International</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49</w:t>
      </w:r>
      <w:r w:rsidRPr="00911388">
        <w:rPr>
          <w:rFonts w:ascii="Garamond" w:eastAsia="Malgun Gothic" w:hAnsi="Garamond" w:cs="Times New Roman"/>
          <w:color w:val="000000" w:themeColor="text1"/>
          <w:sz w:val="20"/>
          <w:szCs w:val="20"/>
        </w:rPr>
        <w:t xml:space="preserve">(3), 201–215. </w:t>
      </w:r>
    </w:p>
    <w:p w14:paraId="35C91D9B" w14:textId="77777777" w:rsidR="00626EB6" w:rsidRPr="00911388" w:rsidRDefault="00626EB6" w:rsidP="00626EB6">
      <w:pPr>
        <w:ind w:firstLine="720"/>
        <w:rPr>
          <w:rFonts w:ascii="Garamond" w:eastAsia="Malgun Gothic" w:hAnsi="Garamond" w:cs="Times New Roman"/>
          <w:color w:val="000000" w:themeColor="text1"/>
          <w:sz w:val="20"/>
          <w:szCs w:val="20"/>
        </w:rPr>
      </w:pPr>
      <w:hyperlink r:id="rId53" w:history="1">
        <w:r w:rsidRPr="00911388">
          <w:rPr>
            <w:rStyle w:val="Hyperlink"/>
            <w:rFonts w:ascii="Garamond" w:eastAsia="Malgun Gothic" w:hAnsi="Garamond" w:cs="Times New Roman"/>
            <w:sz w:val="20"/>
            <w:szCs w:val="20"/>
          </w:rPr>
          <w:t>http://dx.doi.org/10.1080%2F09523987.2012.738013</w:t>
        </w:r>
      </w:hyperlink>
    </w:p>
    <w:p w14:paraId="7F819713"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*Li, Y. (2013). Three ESL students writing a policy paper assignment: An activity-analytic </w:t>
      </w:r>
    </w:p>
    <w:p w14:paraId="298DB6F4"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perspective.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12</w:t>
      </w:r>
      <w:r w:rsidRPr="00911388">
        <w:rPr>
          <w:rFonts w:ascii="Garamond" w:eastAsia="Malgun Gothic" w:hAnsi="Garamond" w:cs="Times New Roman"/>
          <w:color w:val="000000" w:themeColor="text1"/>
          <w:sz w:val="20"/>
          <w:szCs w:val="20"/>
        </w:rPr>
        <w:t>(2), 73–86.</w:t>
      </w:r>
    </w:p>
    <w:p w14:paraId="3CB07CA4" w14:textId="77777777" w:rsidR="00626EB6" w:rsidRPr="00911388" w:rsidRDefault="00626EB6" w:rsidP="00626EB6">
      <w:pPr>
        <w:ind w:firstLine="720"/>
        <w:rPr>
          <w:rFonts w:ascii="Garamond" w:eastAsia="Malgun Gothic" w:hAnsi="Garamond" w:cs="Times New Roman"/>
          <w:color w:val="000000" w:themeColor="text1"/>
          <w:sz w:val="20"/>
          <w:szCs w:val="20"/>
        </w:rPr>
      </w:pPr>
      <w:hyperlink r:id="rId54" w:history="1">
        <w:r w:rsidRPr="00911388">
          <w:rPr>
            <w:rStyle w:val="Hyperlink"/>
            <w:rFonts w:ascii="Garamond" w:eastAsia="Malgun Gothic" w:hAnsi="Garamond" w:cs="Times New Roman"/>
            <w:sz w:val="20"/>
            <w:szCs w:val="20"/>
          </w:rPr>
          <w:t>https://doi.org/10.1016/j.jeap.2012.11.006</w:t>
        </w:r>
      </w:hyperlink>
    </w:p>
    <w:p w14:paraId="59AA7CCA" w14:textId="77777777" w:rsidR="00626EB6" w:rsidRPr="00911388" w:rsidRDefault="00626EB6" w:rsidP="00626EB6">
      <w:pPr>
        <w:pStyle w:val="Bibliography"/>
        <w:ind w:left="720" w:hanging="720"/>
        <w:rPr>
          <w:rFonts w:ascii="Garamond" w:hAnsi="Garamond" w:cstheme="majorBidi"/>
          <w:color w:val="000000" w:themeColor="text1"/>
          <w:sz w:val="20"/>
          <w:szCs w:val="20"/>
        </w:rPr>
      </w:pPr>
      <w:bookmarkStart w:id="10" w:name="_Hlk173777091"/>
      <w:r w:rsidRPr="00911388">
        <w:rPr>
          <w:rFonts w:ascii="Garamond" w:hAnsi="Garamond" w:cstheme="majorBidi"/>
          <w:color w:val="000000" w:themeColor="text1"/>
          <w:sz w:val="20"/>
          <w:szCs w:val="20"/>
          <w:lang w:val="es-ES"/>
        </w:rPr>
        <w:t xml:space="preserve">*Li, Y., &amp; </w:t>
      </w:r>
      <w:proofErr w:type="spellStart"/>
      <w:r w:rsidRPr="00911388">
        <w:rPr>
          <w:rFonts w:ascii="Garamond" w:hAnsi="Garamond" w:cstheme="majorBidi"/>
          <w:color w:val="000000" w:themeColor="text1"/>
          <w:sz w:val="20"/>
          <w:szCs w:val="20"/>
          <w:lang w:val="es-ES"/>
        </w:rPr>
        <w:t>Casanave</w:t>
      </w:r>
      <w:proofErr w:type="spellEnd"/>
      <w:r w:rsidRPr="00911388">
        <w:rPr>
          <w:rFonts w:ascii="Garamond" w:hAnsi="Garamond" w:cstheme="majorBidi"/>
          <w:color w:val="000000" w:themeColor="text1"/>
          <w:sz w:val="20"/>
          <w:szCs w:val="20"/>
          <w:lang w:val="es-ES"/>
        </w:rPr>
        <w:t xml:space="preserve">, C. P. (2012). </w:t>
      </w:r>
      <w:r w:rsidRPr="00911388">
        <w:rPr>
          <w:rFonts w:ascii="Garamond" w:hAnsi="Garamond" w:cstheme="majorBidi"/>
          <w:color w:val="000000" w:themeColor="text1"/>
          <w:sz w:val="20"/>
          <w:szCs w:val="20"/>
        </w:rPr>
        <w:t xml:space="preserve">Two first-year students’ strategies for writing from sources: Patchwriting or plagiarism? </w:t>
      </w:r>
      <w:r w:rsidRPr="00911388">
        <w:rPr>
          <w:rFonts w:ascii="Garamond" w:hAnsi="Garamond" w:cstheme="majorBidi"/>
          <w:i/>
          <w:iCs/>
          <w:color w:val="000000" w:themeColor="text1"/>
          <w:sz w:val="20"/>
          <w:szCs w:val="20"/>
        </w:rPr>
        <w:t>Journal of Second Language Writing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21</w:t>
      </w:r>
      <w:r w:rsidRPr="00911388">
        <w:rPr>
          <w:rFonts w:ascii="Garamond" w:hAnsi="Garamond" w:cstheme="majorBidi"/>
          <w:color w:val="000000" w:themeColor="text1"/>
          <w:sz w:val="20"/>
          <w:szCs w:val="20"/>
        </w:rPr>
        <w:t xml:space="preserve">(2), 165–180. </w:t>
      </w:r>
      <w:hyperlink r:id="rId55" w:tgtFrame="_blank" w:tooltip="Persistent link using digital object identifier" w:history="1">
        <w:r w:rsidRPr="00911388">
          <w:rPr>
            <w:rStyle w:val="Hyperlink"/>
            <w:rFonts w:ascii="Garamond" w:hAnsi="Garamond" w:cstheme="majorBidi"/>
            <w:color w:val="0070C0"/>
            <w:sz w:val="20"/>
            <w:szCs w:val="20"/>
          </w:rPr>
          <w:t>https://doi.org/10.1016/j.jslw.2012.03.002</w:t>
        </w:r>
      </w:hyperlink>
      <w:bookmarkEnd w:id="10"/>
    </w:p>
    <w:p w14:paraId="7C8229B8"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w:t>
      </w:r>
      <w:proofErr w:type="spellStart"/>
      <w:r w:rsidRPr="00911388">
        <w:rPr>
          <w:rFonts w:ascii="Garamond" w:eastAsia="Malgun Gothic" w:hAnsi="Garamond" w:cs="Times New Roman"/>
          <w:color w:val="000000" w:themeColor="text1"/>
          <w:sz w:val="20"/>
          <w:szCs w:val="20"/>
        </w:rPr>
        <w:t>Liardét</w:t>
      </w:r>
      <w:proofErr w:type="spellEnd"/>
      <w:r w:rsidRPr="00911388">
        <w:rPr>
          <w:rFonts w:ascii="Garamond" w:eastAsia="Malgun Gothic" w:hAnsi="Garamond" w:cs="Times New Roman"/>
          <w:color w:val="000000" w:themeColor="text1"/>
          <w:sz w:val="20"/>
          <w:szCs w:val="20"/>
        </w:rPr>
        <w:t xml:space="preserve">, C. L., &amp; Black, S. (2019). “So and so” says, states and argues: A corpus-assisted </w:t>
      </w:r>
    </w:p>
    <w:p w14:paraId="28877DF8"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engagement analysis of reporting verbs. </w:t>
      </w:r>
      <w:r w:rsidRPr="00911388">
        <w:rPr>
          <w:rFonts w:ascii="Garamond" w:eastAsia="Malgun Gothic" w:hAnsi="Garamond" w:cs="Times New Roman"/>
          <w:i/>
          <w:iCs/>
          <w:color w:val="000000" w:themeColor="text1"/>
          <w:sz w:val="20"/>
          <w:szCs w:val="20"/>
        </w:rPr>
        <w:t>Journal of Second 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44</w:t>
      </w:r>
      <w:r w:rsidRPr="00911388">
        <w:rPr>
          <w:rFonts w:ascii="Garamond" w:eastAsia="Malgun Gothic" w:hAnsi="Garamond" w:cs="Times New Roman"/>
          <w:color w:val="000000" w:themeColor="text1"/>
          <w:sz w:val="20"/>
          <w:szCs w:val="20"/>
        </w:rPr>
        <w:t xml:space="preserve">, 37–50. </w:t>
      </w:r>
    </w:p>
    <w:p w14:paraId="70F84BD0" w14:textId="77777777" w:rsidR="00626EB6" w:rsidRPr="00911388" w:rsidRDefault="00626EB6" w:rsidP="00626EB6">
      <w:pPr>
        <w:ind w:firstLine="720"/>
        <w:rPr>
          <w:rFonts w:ascii="Garamond" w:eastAsia="Malgun Gothic" w:hAnsi="Garamond" w:cs="Times New Roman"/>
          <w:color w:val="000000" w:themeColor="text1"/>
          <w:sz w:val="20"/>
          <w:szCs w:val="20"/>
        </w:rPr>
      </w:pPr>
      <w:hyperlink r:id="rId56" w:history="1">
        <w:r w:rsidRPr="00911388">
          <w:rPr>
            <w:rStyle w:val="Hyperlink"/>
            <w:rFonts w:ascii="Garamond" w:eastAsia="Malgun Gothic" w:hAnsi="Garamond" w:cs="Times New Roman"/>
            <w:sz w:val="20"/>
            <w:szCs w:val="20"/>
          </w:rPr>
          <w:t>https://doi.org/10.1016/j.jslw.2019.02.001</w:t>
        </w:r>
      </w:hyperlink>
    </w:p>
    <w:p w14:paraId="008157AA"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Liu, G.-Z., Lin, V., Kou, X., &amp; Wang, H.-Y. (2016). Best practices in L2 English source use </w:t>
      </w:r>
    </w:p>
    <w:p w14:paraId="7D0CB3DA" w14:textId="77777777" w:rsidR="00626EB6" w:rsidRPr="00911388" w:rsidRDefault="00626EB6" w:rsidP="00626EB6">
      <w:pPr>
        <w:ind w:firstLine="720"/>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pedagogy: A thematic review and synthesis of empirical studies. </w:t>
      </w:r>
      <w:r w:rsidRPr="00911388">
        <w:rPr>
          <w:rFonts w:ascii="Garamond" w:eastAsia="Malgun Gothic" w:hAnsi="Garamond" w:cs="Times New Roman"/>
          <w:i/>
          <w:iCs/>
          <w:color w:val="000000" w:themeColor="text1"/>
          <w:sz w:val="20"/>
          <w:szCs w:val="20"/>
        </w:rPr>
        <w:t xml:space="preserve">Educational Research </w:t>
      </w:r>
    </w:p>
    <w:p w14:paraId="6B5C9AA5"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Review</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19</w:t>
      </w:r>
      <w:r w:rsidRPr="00911388">
        <w:rPr>
          <w:rFonts w:ascii="Garamond" w:eastAsia="Malgun Gothic" w:hAnsi="Garamond" w:cs="Times New Roman"/>
          <w:color w:val="000000" w:themeColor="text1"/>
          <w:sz w:val="20"/>
          <w:szCs w:val="20"/>
        </w:rPr>
        <w:t xml:space="preserve">, 36–57. </w:t>
      </w:r>
      <w:hyperlink r:id="rId57" w:history="1">
        <w:r w:rsidRPr="00911388">
          <w:rPr>
            <w:rStyle w:val="Hyperlink"/>
            <w:rFonts w:ascii="Garamond" w:eastAsia="Malgun Gothic" w:hAnsi="Garamond" w:cs="Times New Roman"/>
            <w:sz w:val="20"/>
            <w:szCs w:val="20"/>
          </w:rPr>
          <w:t>https://doi.org/10.1016/j.edurev.2016.06.002</w:t>
        </w:r>
      </w:hyperlink>
    </w:p>
    <w:p w14:paraId="5AA59943"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*Lombardi, A. (2021). More is more: Explicit intertextuality in university writing placement exam essays. </w:t>
      </w:r>
      <w:r w:rsidRPr="00911388">
        <w:rPr>
          <w:rFonts w:ascii="Garamond" w:hAnsi="Garamond" w:cstheme="majorBidi"/>
          <w:i/>
          <w:iCs/>
          <w:color w:val="000000" w:themeColor="text1"/>
          <w:sz w:val="20"/>
          <w:szCs w:val="20"/>
        </w:rPr>
        <w:t>Journal of English for Academic Purposes</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50</w:t>
      </w:r>
      <w:r w:rsidRPr="00911388">
        <w:rPr>
          <w:rFonts w:ascii="Garamond" w:hAnsi="Garamond" w:cstheme="majorBidi"/>
          <w:color w:val="000000" w:themeColor="text1"/>
          <w:sz w:val="20"/>
          <w:szCs w:val="20"/>
        </w:rPr>
        <w:t xml:space="preserve">, Article 100955. </w:t>
      </w:r>
      <w:hyperlink r:id="rId58" w:tgtFrame="_blank" w:tooltip="Persistent link using digital object identifier" w:history="1">
        <w:r w:rsidRPr="00911388">
          <w:rPr>
            <w:rStyle w:val="Hyperlink"/>
            <w:rFonts w:ascii="Garamond" w:hAnsi="Garamond" w:cstheme="majorBidi"/>
            <w:color w:val="0070C0"/>
            <w:sz w:val="20"/>
            <w:szCs w:val="20"/>
          </w:rPr>
          <w:t>https://doi.org/10.1016/j.jeap.2020.100955</w:t>
        </w:r>
      </w:hyperlink>
    </w:p>
    <w:p w14:paraId="1DF579C8"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*Lombardi, A. (2022). Moral outrage or mere possibility? An exploration of epistemic versus deontic stance in reading-to-write argumentation. </w:t>
      </w:r>
      <w:r w:rsidRPr="00911388">
        <w:rPr>
          <w:rFonts w:ascii="Garamond" w:hAnsi="Garamond" w:cstheme="majorBidi"/>
          <w:i/>
          <w:iCs/>
          <w:color w:val="000000" w:themeColor="text1"/>
          <w:sz w:val="20"/>
          <w:szCs w:val="20"/>
        </w:rPr>
        <w:t>Journal of Second Language Writing, 58</w:t>
      </w:r>
      <w:r w:rsidRPr="00911388">
        <w:rPr>
          <w:rFonts w:ascii="Garamond" w:hAnsi="Garamond" w:cstheme="majorBidi"/>
          <w:color w:val="000000" w:themeColor="text1"/>
          <w:sz w:val="20"/>
          <w:szCs w:val="20"/>
        </w:rPr>
        <w:t xml:space="preserve">, Article 100912. </w:t>
      </w:r>
      <w:hyperlink r:id="rId59" w:tgtFrame="_blank" w:tooltip="Persistent link using digital object identifier" w:history="1">
        <w:r w:rsidRPr="00911388">
          <w:rPr>
            <w:rStyle w:val="Hyperlink"/>
            <w:rFonts w:ascii="Garamond" w:hAnsi="Garamond" w:cstheme="majorBidi"/>
            <w:color w:val="0070C0"/>
            <w:sz w:val="20"/>
            <w:szCs w:val="20"/>
          </w:rPr>
          <w:t>https://doi.org/10.1016/j.jslw.2022.100912</w:t>
        </w:r>
      </w:hyperlink>
    </w:p>
    <w:p w14:paraId="6D4DAA59" w14:textId="77777777" w:rsidR="00626EB6" w:rsidRPr="00911388" w:rsidRDefault="00626EB6" w:rsidP="00626EB6">
      <w:pPr>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Luo, L., &amp; Kiewra, K. (2019). Soaring to successful synthesis writing. </w:t>
      </w:r>
      <w:r w:rsidRPr="00911388">
        <w:rPr>
          <w:rFonts w:ascii="Garamond" w:eastAsia="Malgun Gothic" w:hAnsi="Garamond" w:cs="Times New Roman"/>
          <w:i/>
          <w:iCs/>
          <w:color w:val="000000" w:themeColor="text1"/>
          <w:sz w:val="20"/>
          <w:szCs w:val="20"/>
        </w:rPr>
        <w:t xml:space="preserve">Journal of Writing </w:t>
      </w:r>
    </w:p>
    <w:p w14:paraId="578CF71D"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Research</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11</w:t>
      </w:r>
      <w:r w:rsidRPr="00911388">
        <w:rPr>
          <w:rFonts w:ascii="Garamond" w:eastAsia="Malgun Gothic" w:hAnsi="Garamond" w:cs="Times New Roman"/>
          <w:color w:val="000000" w:themeColor="text1"/>
          <w:sz w:val="20"/>
          <w:szCs w:val="20"/>
        </w:rPr>
        <w:t xml:space="preserve">(1), 163–209. </w:t>
      </w:r>
      <w:hyperlink r:id="rId60" w:history="1">
        <w:r w:rsidRPr="00911388">
          <w:rPr>
            <w:rStyle w:val="Hyperlink"/>
            <w:rFonts w:ascii="Garamond" w:eastAsia="Malgun Gothic" w:hAnsi="Garamond" w:cs="Times New Roman"/>
            <w:sz w:val="20"/>
            <w:szCs w:val="20"/>
          </w:rPr>
          <w:t>https://doi.org/10.17239/jowr-2019.11.01.06</w:t>
        </w:r>
      </w:hyperlink>
    </w:p>
    <w:p w14:paraId="55F10B32" w14:textId="77777777" w:rsidR="00626EB6" w:rsidRPr="00911388" w:rsidRDefault="00626EB6" w:rsidP="00626EB6">
      <w:pPr>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*Macbeth, K. P. (2010). Deliberate false provisions: The use and usefulness of models in </w:t>
      </w:r>
    </w:p>
    <w:p w14:paraId="1B475A14" w14:textId="77777777" w:rsidR="00626EB6" w:rsidRPr="00911388" w:rsidRDefault="00626EB6" w:rsidP="00626EB6">
      <w:pPr>
        <w:ind w:left="720"/>
        <w:rPr>
          <w:rFonts w:ascii="Garamond" w:eastAsia="Malgun Gothic" w:hAnsi="Garamond" w:cs="Times New Roman"/>
          <w:color w:val="000000" w:themeColor="text1"/>
          <w:sz w:val="20"/>
          <w:szCs w:val="20"/>
          <w:lang w:val="es-ES"/>
        </w:rPr>
      </w:pPr>
      <w:r w:rsidRPr="00911388">
        <w:rPr>
          <w:rFonts w:ascii="Garamond" w:hAnsi="Garamond" w:cstheme="majorBidi"/>
          <w:color w:val="000000" w:themeColor="text1"/>
          <w:sz w:val="20"/>
          <w:szCs w:val="20"/>
        </w:rPr>
        <w:lastRenderedPageBreak/>
        <w:t xml:space="preserve">learning academic writing. </w:t>
      </w:r>
      <w:r w:rsidRPr="00911388">
        <w:rPr>
          <w:rFonts w:ascii="Garamond" w:hAnsi="Garamond" w:cstheme="majorBidi"/>
          <w:i/>
          <w:iCs/>
          <w:color w:val="000000" w:themeColor="text1"/>
          <w:sz w:val="20"/>
          <w:szCs w:val="20"/>
        </w:rPr>
        <w:t>Journal of Second Language Writing</w:t>
      </w:r>
      <w:r w:rsidRPr="00911388">
        <w:rPr>
          <w:rFonts w:ascii="Garamond" w:hAnsi="Garamond" w:cstheme="majorBidi"/>
          <w:color w:val="000000" w:themeColor="text1"/>
          <w:sz w:val="20"/>
          <w:szCs w:val="20"/>
        </w:rPr>
        <w:t xml:space="preserve">, </w:t>
      </w:r>
      <w:r w:rsidRPr="00911388">
        <w:rPr>
          <w:rFonts w:ascii="Garamond" w:hAnsi="Garamond" w:cstheme="majorBidi"/>
          <w:i/>
          <w:iCs/>
          <w:color w:val="000000" w:themeColor="text1"/>
          <w:sz w:val="20"/>
          <w:szCs w:val="20"/>
        </w:rPr>
        <w:t>19</w:t>
      </w:r>
      <w:r w:rsidRPr="00911388">
        <w:rPr>
          <w:rFonts w:ascii="Garamond" w:hAnsi="Garamond" w:cstheme="majorBidi"/>
          <w:color w:val="000000" w:themeColor="text1"/>
          <w:sz w:val="20"/>
          <w:szCs w:val="20"/>
        </w:rPr>
        <w:t xml:space="preserve">(1), 33–48. </w:t>
      </w:r>
      <w:hyperlink r:id="rId61" w:history="1">
        <w:r w:rsidRPr="00911388">
          <w:rPr>
            <w:rStyle w:val="Hyperlink"/>
            <w:rFonts w:ascii="Garamond" w:hAnsi="Garamond" w:cstheme="majorBidi"/>
            <w:sz w:val="20"/>
            <w:szCs w:val="20"/>
            <w:lang w:val="es-ES"/>
          </w:rPr>
          <w:t>https://doi.org/10.1016/j.jslw.2009.08.002</w:t>
        </w:r>
      </w:hyperlink>
    </w:p>
    <w:p w14:paraId="1B576DBC"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lang w:val="es-ES"/>
        </w:rPr>
        <w:t>*</w:t>
      </w:r>
      <w:proofErr w:type="spellStart"/>
      <w:r w:rsidRPr="00911388">
        <w:rPr>
          <w:rFonts w:ascii="Garamond" w:eastAsia="Malgun Gothic" w:hAnsi="Garamond" w:cs="Times New Roman"/>
          <w:color w:val="000000" w:themeColor="text1"/>
          <w:sz w:val="20"/>
          <w:szCs w:val="20"/>
          <w:lang w:val="es-ES"/>
        </w:rPr>
        <w:t>Machili</w:t>
      </w:r>
      <w:proofErr w:type="spellEnd"/>
      <w:r w:rsidRPr="00911388">
        <w:rPr>
          <w:rFonts w:ascii="Garamond" w:eastAsia="Malgun Gothic" w:hAnsi="Garamond" w:cs="Times New Roman"/>
          <w:color w:val="000000" w:themeColor="text1"/>
          <w:sz w:val="20"/>
          <w:szCs w:val="20"/>
          <w:lang w:val="es-ES"/>
        </w:rPr>
        <w:t xml:space="preserve">, I., Papadopoulou, I., &amp; </w:t>
      </w:r>
      <w:proofErr w:type="spellStart"/>
      <w:r w:rsidRPr="00911388">
        <w:rPr>
          <w:rFonts w:ascii="Garamond" w:eastAsia="Malgun Gothic" w:hAnsi="Garamond" w:cs="Times New Roman"/>
          <w:color w:val="000000" w:themeColor="text1"/>
          <w:sz w:val="20"/>
          <w:szCs w:val="20"/>
          <w:lang w:val="es-ES"/>
        </w:rPr>
        <w:t>Kantaridou</w:t>
      </w:r>
      <w:proofErr w:type="spellEnd"/>
      <w:r w:rsidRPr="00911388">
        <w:rPr>
          <w:rFonts w:ascii="Garamond" w:eastAsia="Malgun Gothic" w:hAnsi="Garamond" w:cs="Times New Roman"/>
          <w:color w:val="000000" w:themeColor="text1"/>
          <w:sz w:val="20"/>
          <w:szCs w:val="20"/>
          <w:lang w:val="es-ES"/>
        </w:rPr>
        <w:t xml:space="preserve">, Z. (2020). </w:t>
      </w:r>
      <w:r w:rsidRPr="00911388">
        <w:rPr>
          <w:rFonts w:ascii="Garamond" w:eastAsia="Malgun Gothic" w:hAnsi="Garamond" w:cs="Times New Roman"/>
          <w:color w:val="000000" w:themeColor="text1"/>
          <w:sz w:val="20"/>
          <w:szCs w:val="20"/>
        </w:rPr>
        <w:t xml:space="preserve">Effect of strategy instruction on EFL </w:t>
      </w:r>
    </w:p>
    <w:p w14:paraId="04198F2E" w14:textId="77777777" w:rsidR="00626EB6" w:rsidRPr="00911388" w:rsidRDefault="00626EB6" w:rsidP="00626EB6">
      <w:pPr>
        <w:ind w:firstLine="720"/>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students’ video-mediated integrated writing performance. </w:t>
      </w:r>
      <w:r w:rsidRPr="00911388">
        <w:rPr>
          <w:rFonts w:ascii="Garamond" w:eastAsia="Malgun Gothic" w:hAnsi="Garamond" w:cs="Times New Roman"/>
          <w:i/>
          <w:iCs/>
          <w:color w:val="000000" w:themeColor="text1"/>
          <w:sz w:val="20"/>
          <w:szCs w:val="20"/>
        </w:rPr>
        <w:t xml:space="preserve">Journal of Second Language </w:t>
      </w:r>
    </w:p>
    <w:p w14:paraId="63968EEE" w14:textId="77777777" w:rsidR="00626EB6" w:rsidRPr="00911388" w:rsidRDefault="00626EB6" w:rsidP="00626EB6">
      <w:pPr>
        <w:ind w:firstLine="720"/>
        <w:rPr>
          <w:rFonts w:ascii="Garamond" w:eastAsia="Malgun Gothic" w:hAnsi="Garamond" w:cs="Times New Roman"/>
          <w:color w:val="000000" w:themeColor="text1"/>
          <w:sz w:val="20"/>
          <w:szCs w:val="20"/>
          <w:lang w:val="es-ES"/>
        </w:rPr>
      </w:pPr>
      <w:r w:rsidRPr="00911388">
        <w:rPr>
          <w:rFonts w:ascii="Garamond" w:eastAsia="Malgun Gothic" w:hAnsi="Garamond" w:cs="Times New Roman"/>
          <w:i/>
          <w:iCs/>
          <w:color w:val="000000" w:themeColor="text1"/>
          <w:sz w:val="20"/>
          <w:szCs w:val="20"/>
        </w:rPr>
        <w:t>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48</w:t>
      </w:r>
      <w:r w:rsidRPr="00911388">
        <w:rPr>
          <w:rFonts w:ascii="Garamond" w:eastAsia="Malgun Gothic" w:hAnsi="Garamond" w:cs="Times New Roman"/>
          <w:color w:val="000000" w:themeColor="text1"/>
          <w:sz w:val="20"/>
          <w:szCs w:val="20"/>
        </w:rPr>
        <w:t xml:space="preserve">, Article 100708. </w:t>
      </w:r>
      <w:hyperlink r:id="rId62" w:history="1">
        <w:r w:rsidRPr="00911388">
          <w:rPr>
            <w:rStyle w:val="Hyperlink"/>
            <w:rFonts w:ascii="Garamond" w:eastAsia="Malgun Gothic" w:hAnsi="Garamond" w:cs="Times New Roman"/>
            <w:sz w:val="20"/>
            <w:szCs w:val="20"/>
            <w:lang w:val="es-ES"/>
          </w:rPr>
          <w:t>https://doi.org/10.1016/j.jslw.2019.100708</w:t>
        </w:r>
      </w:hyperlink>
    </w:p>
    <w:p w14:paraId="21F63BA5"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lang w:val="es-ES"/>
        </w:rPr>
        <w:t xml:space="preserve">Martínez, I., Mateos, M., Martín, E., &amp; </w:t>
      </w:r>
      <w:proofErr w:type="spellStart"/>
      <w:r w:rsidRPr="00911388">
        <w:rPr>
          <w:rFonts w:ascii="Garamond" w:eastAsia="Malgun Gothic" w:hAnsi="Garamond" w:cs="Times New Roman"/>
          <w:color w:val="000000" w:themeColor="text1"/>
          <w:sz w:val="20"/>
          <w:szCs w:val="20"/>
          <w:lang w:val="es-ES"/>
        </w:rPr>
        <w:t>Rijlaarsdam</w:t>
      </w:r>
      <w:proofErr w:type="spellEnd"/>
      <w:r w:rsidRPr="00911388">
        <w:rPr>
          <w:rFonts w:ascii="Garamond" w:eastAsia="Malgun Gothic" w:hAnsi="Garamond" w:cs="Times New Roman"/>
          <w:color w:val="000000" w:themeColor="text1"/>
          <w:sz w:val="20"/>
          <w:szCs w:val="20"/>
          <w:lang w:val="es-ES"/>
        </w:rPr>
        <w:t xml:space="preserve">, G. (2015). </w:t>
      </w:r>
      <w:r w:rsidRPr="00911388">
        <w:rPr>
          <w:rFonts w:ascii="Garamond" w:eastAsia="Malgun Gothic" w:hAnsi="Garamond" w:cs="Times New Roman"/>
          <w:color w:val="000000" w:themeColor="text1"/>
          <w:sz w:val="20"/>
          <w:szCs w:val="20"/>
        </w:rPr>
        <w:t xml:space="preserve">Learning history by composing </w:t>
      </w:r>
    </w:p>
    <w:p w14:paraId="7E5AF417"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synthesis texts: Effects of an instructional </w:t>
      </w:r>
      <w:proofErr w:type="spellStart"/>
      <w:r w:rsidRPr="00911388">
        <w:rPr>
          <w:rFonts w:ascii="Garamond" w:eastAsia="Malgun Gothic" w:hAnsi="Garamond" w:cs="Times New Roman"/>
          <w:color w:val="000000" w:themeColor="text1"/>
          <w:sz w:val="20"/>
          <w:szCs w:val="20"/>
        </w:rPr>
        <w:t>programme</w:t>
      </w:r>
      <w:proofErr w:type="spellEnd"/>
      <w:r w:rsidRPr="00911388">
        <w:rPr>
          <w:rFonts w:ascii="Garamond" w:eastAsia="Malgun Gothic" w:hAnsi="Garamond" w:cs="Times New Roman"/>
          <w:color w:val="000000" w:themeColor="text1"/>
          <w:sz w:val="20"/>
          <w:szCs w:val="20"/>
        </w:rPr>
        <w:t xml:space="preserve"> on learning, reading and writing </w:t>
      </w:r>
    </w:p>
    <w:p w14:paraId="02531DAE"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processes, and text quality. </w:t>
      </w:r>
      <w:r w:rsidRPr="00911388">
        <w:rPr>
          <w:rFonts w:ascii="Garamond" w:eastAsia="Malgun Gothic" w:hAnsi="Garamond" w:cs="Times New Roman"/>
          <w:i/>
          <w:iCs/>
          <w:color w:val="000000" w:themeColor="text1"/>
          <w:sz w:val="20"/>
          <w:szCs w:val="20"/>
        </w:rPr>
        <w:t>Journal of Writing Research</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7</w:t>
      </w:r>
      <w:r w:rsidRPr="00911388">
        <w:rPr>
          <w:rFonts w:ascii="Garamond" w:eastAsia="Malgun Gothic" w:hAnsi="Garamond" w:cs="Times New Roman"/>
          <w:color w:val="000000" w:themeColor="text1"/>
          <w:sz w:val="20"/>
          <w:szCs w:val="20"/>
        </w:rPr>
        <w:t>(2), 275–302.</w:t>
      </w:r>
    </w:p>
    <w:p w14:paraId="49A65156" w14:textId="77777777" w:rsidR="00626EB6" w:rsidRPr="00911388" w:rsidRDefault="00626EB6" w:rsidP="00626EB6">
      <w:pPr>
        <w:ind w:firstLine="720"/>
        <w:rPr>
          <w:rFonts w:ascii="Garamond" w:eastAsia="Malgun Gothic" w:hAnsi="Garamond" w:cs="Times New Roman"/>
          <w:color w:val="000000" w:themeColor="text1"/>
          <w:sz w:val="20"/>
          <w:szCs w:val="20"/>
        </w:rPr>
      </w:pPr>
      <w:hyperlink r:id="rId63" w:history="1">
        <w:r w:rsidRPr="00911388">
          <w:rPr>
            <w:rStyle w:val="Hyperlink"/>
            <w:rFonts w:ascii="Garamond" w:eastAsia="Malgun Gothic" w:hAnsi="Garamond" w:cs="Times New Roman"/>
            <w:sz w:val="20"/>
            <w:szCs w:val="20"/>
          </w:rPr>
          <w:t>https://doi.org/10.17239/jowr-2015.07.02.03</w:t>
        </w:r>
      </w:hyperlink>
    </w:p>
    <w:p w14:paraId="0C8B21C5"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w:t>
      </w:r>
      <w:proofErr w:type="spellStart"/>
      <w:r w:rsidRPr="00911388">
        <w:rPr>
          <w:rFonts w:ascii="Garamond" w:eastAsia="Malgun Gothic" w:hAnsi="Garamond" w:cs="Times New Roman"/>
          <w:color w:val="000000" w:themeColor="text1"/>
          <w:sz w:val="20"/>
          <w:szCs w:val="20"/>
        </w:rPr>
        <w:t>Masrul</w:t>
      </w:r>
      <w:proofErr w:type="spellEnd"/>
      <w:r w:rsidRPr="00911388">
        <w:rPr>
          <w:rFonts w:ascii="Garamond" w:eastAsia="Malgun Gothic" w:hAnsi="Garamond" w:cs="Times New Roman"/>
          <w:color w:val="000000" w:themeColor="text1"/>
          <w:sz w:val="20"/>
          <w:szCs w:val="20"/>
        </w:rPr>
        <w:t xml:space="preserve">, M., Gunadi, R., </w:t>
      </w:r>
      <w:proofErr w:type="spellStart"/>
      <w:r w:rsidRPr="00911388">
        <w:rPr>
          <w:rFonts w:ascii="Garamond" w:eastAsia="Malgun Gothic" w:hAnsi="Garamond" w:cs="Times New Roman"/>
          <w:color w:val="000000" w:themeColor="text1"/>
          <w:sz w:val="20"/>
          <w:szCs w:val="20"/>
        </w:rPr>
        <w:t>Aswir</w:t>
      </w:r>
      <w:proofErr w:type="spellEnd"/>
      <w:r w:rsidRPr="00911388">
        <w:rPr>
          <w:rFonts w:ascii="Garamond" w:eastAsia="Malgun Gothic" w:hAnsi="Garamond" w:cs="Times New Roman"/>
          <w:color w:val="000000" w:themeColor="text1"/>
          <w:sz w:val="20"/>
          <w:szCs w:val="20"/>
        </w:rPr>
        <w:t xml:space="preserve">, A., Hamdani, B., </w:t>
      </w:r>
      <w:proofErr w:type="spellStart"/>
      <w:r w:rsidRPr="00911388">
        <w:rPr>
          <w:rFonts w:ascii="Garamond" w:eastAsia="Malgun Gothic" w:hAnsi="Garamond" w:cs="Times New Roman"/>
          <w:color w:val="000000" w:themeColor="text1"/>
          <w:sz w:val="20"/>
          <w:szCs w:val="20"/>
        </w:rPr>
        <w:t>Rasyidah</w:t>
      </w:r>
      <w:proofErr w:type="spellEnd"/>
      <w:r w:rsidRPr="00911388">
        <w:rPr>
          <w:rFonts w:ascii="Garamond" w:eastAsia="Malgun Gothic" w:hAnsi="Garamond" w:cs="Times New Roman"/>
          <w:color w:val="000000" w:themeColor="text1"/>
          <w:sz w:val="20"/>
          <w:szCs w:val="20"/>
        </w:rPr>
        <w:t xml:space="preserve">, U., &amp; Yuliani, S. (2023). </w:t>
      </w:r>
    </w:p>
    <w:p w14:paraId="509B3EA9"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Incorporating strategy instruction (SI) and strategy-based writing instruction (SBI) to enhancing students’ writing abilities. </w:t>
      </w:r>
      <w:r w:rsidRPr="00911388">
        <w:rPr>
          <w:rFonts w:ascii="Garamond" w:eastAsia="Malgun Gothic" w:hAnsi="Garamond" w:cs="Times New Roman"/>
          <w:i/>
          <w:iCs/>
          <w:color w:val="000000" w:themeColor="text1"/>
          <w:sz w:val="20"/>
          <w:szCs w:val="20"/>
        </w:rPr>
        <w:t>Journal of Language Teaching and Research</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14</w:t>
      </w:r>
      <w:r w:rsidRPr="00911388">
        <w:rPr>
          <w:rFonts w:ascii="Garamond" w:eastAsia="Malgun Gothic" w:hAnsi="Garamond" w:cs="Times New Roman"/>
          <w:color w:val="000000" w:themeColor="text1"/>
          <w:sz w:val="20"/>
          <w:szCs w:val="20"/>
        </w:rPr>
        <w:t xml:space="preserve">(4), 1117–1126. </w:t>
      </w:r>
      <w:hyperlink r:id="rId64" w:history="1">
        <w:r w:rsidRPr="00911388">
          <w:rPr>
            <w:rStyle w:val="Hyperlink"/>
            <w:rFonts w:ascii="Garamond" w:eastAsia="Malgun Gothic" w:hAnsi="Garamond" w:cs="Times New Roman"/>
            <w:sz w:val="20"/>
            <w:szCs w:val="20"/>
          </w:rPr>
          <w:t>https://doi.org/10.17507/jltr.1404.30</w:t>
        </w:r>
      </w:hyperlink>
    </w:p>
    <w:p w14:paraId="6EBFA6CB" w14:textId="77777777" w:rsidR="00626EB6" w:rsidRPr="00911388" w:rsidRDefault="00626EB6" w:rsidP="00626EB6">
      <w:pPr>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May, S. (Ed.). (2014). </w:t>
      </w:r>
      <w:r w:rsidRPr="00911388">
        <w:rPr>
          <w:rFonts w:ascii="Garamond" w:eastAsia="Malgun Gothic" w:hAnsi="Garamond" w:cs="Times New Roman"/>
          <w:i/>
          <w:iCs/>
          <w:color w:val="000000" w:themeColor="text1"/>
          <w:sz w:val="20"/>
          <w:szCs w:val="20"/>
        </w:rPr>
        <w:t xml:space="preserve">The multilingual turn: Implications for SLA, TESOL, and bilingual </w:t>
      </w:r>
    </w:p>
    <w:p w14:paraId="496EABF0"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education</w:t>
      </w:r>
      <w:r w:rsidRPr="00911388">
        <w:rPr>
          <w:rFonts w:ascii="Garamond" w:eastAsia="Malgun Gothic" w:hAnsi="Garamond" w:cs="Times New Roman"/>
          <w:color w:val="000000" w:themeColor="text1"/>
          <w:sz w:val="20"/>
          <w:szCs w:val="20"/>
        </w:rPr>
        <w:t>. Routledge.</w:t>
      </w:r>
    </w:p>
    <w:p w14:paraId="35C6E922"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*McCulloch, S. (2013). Investigating the reading-to-write processes and source use of L2 </w:t>
      </w:r>
    </w:p>
    <w:p w14:paraId="2AEA9A1D"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postgraduate students in real-life academic tasks: An exploratory study.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12</w:t>
      </w:r>
      <w:r w:rsidRPr="00911388">
        <w:rPr>
          <w:rFonts w:ascii="Garamond" w:eastAsia="Malgun Gothic" w:hAnsi="Garamond" w:cs="Times New Roman"/>
          <w:color w:val="000000" w:themeColor="text1"/>
          <w:sz w:val="20"/>
          <w:szCs w:val="20"/>
        </w:rPr>
        <w:t xml:space="preserve">(2), 136–147. </w:t>
      </w:r>
    </w:p>
    <w:p w14:paraId="05271F6F" w14:textId="77777777" w:rsidR="00626EB6" w:rsidRPr="00911388" w:rsidRDefault="00626EB6" w:rsidP="00626EB6">
      <w:pPr>
        <w:ind w:left="720"/>
        <w:rPr>
          <w:rFonts w:ascii="Garamond" w:eastAsia="Malgun Gothic" w:hAnsi="Garamond" w:cs="Times New Roman"/>
          <w:color w:val="000000" w:themeColor="text1"/>
          <w:sz w:val="20"/>
          <w:szCs w:val="20"/>
        </w:rPr>
      </w:pPr>
      <w:hyperlink r:id="rId65" w:history="1">
        <w:r w:rsidRPr="00911388">
          <w:rPr>
            <w:rStyle w:val="Hyperlink"/>
            <w:rFonts w:ascii="Garamond" w:eastAsia="Malgun Gothic" w:hAnsi="Garamond" w:cs="Times New Roman"/>
            <w:sz w:val="20"/>
            <w:szCs w:val="20"/>
          </w:rPr>
          <w:t>https://doi.org/10.1016/j.jeap.2012.11.009</w:t>
        </w:r>
      </w:hyperlink>
    </w:p>
    <w:p w14:paraId="48ED9115"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*Michel, M., Révész, A., Lu, X., </w:t>
      </w:r>
      <w:proofErr w:type="spellStart"/>
      <w:r w:rsidRPr="00911388">
        <w:rPr>
          <w:rFonts w:ascii="Garamond" w:eastAsia="Malgun Gothic" w:hAnsi="Garamond" w:cs="Times New Roman"/>
          <w:color w:val="000000" w:themeColor="text1"/>
          <w:sz w:val="20"/>
          <w:szCs w:val="20"/>
        </w:rPr>
        <w:t>Kourtali</w:t>
      </w:r>
      <w:proofErr w:type="spellEnd"/>
      <w:r w:rsidRPr="00911388">
        <w:rPr>
          <w:rFonts w:ascii="Garamond" w:eastAsia="Malgun Gothic" w:hAnsi="Garamond" w:cs="Times New Roman"/>
          <w:color w:val="000000" w:themeColor="text1"/>
          <w:sz w:val="20"/>
          <w:szCs w:val="20"/>
        </w:rPr>
        <w:t xml:space="preserve">, N.-E., Lee, M., &amp; Borges, L. (2020). Investigating L2 </w:t>
      </w:r>
    </w:p>
    <w:p w14:paraId="5CE3AF77"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writing processes across independent and integrated tasks: A mixed-methods study. </w:t>
      </w:r>
      <w:r w:rsidRPr="00911388">
        <w:rPr>
          <w:rFonts w:ascii="Garamond" w:eastAsia="Malgun Gothic" w:hAnsi="Garamond" w:cs="Times New Roman"/>
          <w:i/>
          <w:iCs/>
          <w:color w:val="000000" w:themeColor="text1"/>
          <w:sz w:val="20"/>
          <w:szCs w:val="20"/>
        </w:rPr>
        <w:t>Second Language Research</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36</w:t>
      </w:r>
      <w:r w:rsidRPr="00911388">
        <w:rPr>
          <w:rFonts w:ascii="Garamond" w:eastAsia="Malgun Gothic" w:hAnsi="Garamond" w:cs="Times New Roman"/>
          <w:color w:val="000000" w:themeColor="text1"/>
          <w:sz w:val="20"/>
          <w:szCs w:val="20"/>
        </w:rPr>
        <w:t xml:space="preserve">(3), 307–334. </w:t>
      </w:r>
      <w:hyperlink r:id="rId66" w:history="1">
        <w:r w:rsidRPr="00911388">
          <w:rPr>
            <w:rStyle w:val="Hyperlink"/>
            <w:rFonts w:ascii="Garamond" w:eastAsia="Malgun Gothic" w:hAnsi="Garamond" w:cs="Times New Roman"/>
            <w:sz w:val="20"/>
            <w:szCs w:val="20"/>
          </w:rPr>
          <w:t>https://doi.org/10.1177/0267658320915501</w:t>
        </w:r>
      </w:hyperlink>
    </w:p>
    <w:p w14:paraId="25CF4418"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*Mostafa, T., &amp; Crossley, S. A. (2020). Verb argument construction complexity indices and L2 </w:t>
      </w:r>
    </w:p>
    <w:p w14:paraId="1B741AB9"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writing quality: Effects of writing tasks and prompts. </w:t>
      </w:r>
      <w:r w:rsidRPr="00911388">
        <w:rPr>
          <w:rFonts w:ascii="Garamond" w:eastAsia="Malgun Gothic" w:hAnsi="Garamond" w:cs="Times New Roman"/>
          <w:i/>
          <w:iCs/>
          <w:color w:val="000000" w:themeColor="text1"/>
          <w:sz w:val="20"/>
          <w:szCs w:val="20"/>
        </w:rPr>
        <w:t>Journal of Second 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49</w:t>
      </w:r>
      <w:r w:rsidRPr="00911388">
        <w:rPr>
          <w:rFonts w:ascii="Garamond" w:eastAsia="Malgun Gothic" w:hAnsi="Garamond" w:cs="Times New Roman"/>
          <w:color w:val="000000" w:themeColor="text1"/>
          <w:sz w:val="20"/>
          <w:szCs w:val="20"/>
        </w:rPr>
        <w:t xml:space="preserve">, Article 100730. </w:t>
      </w:r>
      <w:hyperlink r:id="rId67" w:history="1">
        <w:r w:rsidRPr="00911388">
          <w:rPr>
            <w:rStyle w:val="Hyperlink"/>
            <w:rFonts w:ascii="Garamond" w:eastAsia="Malgun Gothic" w:hAnsi="Garamond" w:cs="Times New Roman"/>
            <w:sz w:val="20"/>
            <w:szCs w:val="20"/>
          </w:rPr>
          <w:t>https://doi.org/10.1016/j.jslw.2020.100730</w:t>
        </w:r>
      </w:hyperlink>
    </w:p>
    <w:p w14:paraId="5031E20E" w14:textId="77777777" w:rsidR="00626EB6" w:rsidRPr="00911388" w:rsidRDefault="00626EB6" w:rsidP="00626EB6">
      <w:pPr>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*Nasseri, M. (2021). Is postgraduate English academic writing more clausal or phrasal? </w:t>
      </w:r>
    </w:p>
    <w:p w14:paraId="24BA0B6E"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hAnsi="Garamond" w:cstheme="majorBidi"/>
          <w:color w:val="000000" w:themeColor="text1"/>
          <w:sz w:val="20"/>
          <w:szCs w:val="20"/>
        </w:rPr>
        <w:t xml:space="preserve">Syntactic complexification at the crossroads of genre, proficiency, and statistical modelling. </w:t>
      </w:r>
      <w:r w:rsidRPr="00911388">
        <w:rPr>
          <w:rFonts w:ascii="Garamond" w:hAnsi="Garamond" w:cstheme="majorBidi"/>
          <w:i/>
          <w:iCs/>
          <w:color w:val="000000" w:themeColor="text1"/>
          <w:sz w:val="20"/>
          <w:szCs w:val="20"/>
        </w:rPr>
        <w:t>Journal of English for Academic Purposes</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49</w:t>
      </w:r>
      <w:r w:rsidRPr="00911388">
        <w:rPr>
          <w:rFonts w:ascii="Garamond" w:hAnsi="Garamond" w:cstheme="majorBidi"/>
          <w:color w:val="000000" w:themeColor="text1"/>
          <w:sz w:val="20"/>
          <w:szCs w:val="20"/>
        </w:rPr>
        <w:t xml:space="preserve">, Article 100940. </w:t>
      </w:r>
      <w:hyperlink r:id="rId68" w:tgtFrame="_blank" w:tooltip="Persistent link using digital object identifier" w:history="1">
        <w:r w:rsidRPr="00911388">
          <w:rPr>
            <w:rStyle w:val="Hyperlink"/>
            <w:rFonts w:ascii="Garamond" w:hAnsi="Garamond" w:cstheme="majorBidi"/>
            <w:color w:val="0070C0"/>
            <w:sz w:val="20"/>
            <w:szCs w:val="20"/>
          </w:rPr>
          <w:t>https://doi.org/10.1016/j.jeap.2020.100940</w:t>
        </w:r>
      </w:hyperlink>
    </w:p>
    <w:p w14:paraId="1055345C"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Nelson, N., &amp; King, J. R. (2023). Discourse synthesis: Textual transformations in writing from </w:t>
      </w:r>
    </w:p>
    <w:p w14:paraId="2FC66625"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sources. </w:t>
      </w:r>
      <w:r w:rsidRPr="00911388">
        <w:rPr>
          <w:rFonts w:ascii="Garamond" w:eastAsia="Malgun Gothic" w:hAnsi="Garamond" w:cs="Times New Roman"/>
          <w:i/>
          <w:iCs/>
          <w:color w:val="000000" w:themeColor="text1"/>
          <w:sz w:val="20"/>
          <w:szCs w:val="20"/>
        </w:rPr>
        <w:t>Reading and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36</w:t>
      </w:r>
      <w:r w:rsidRPr="00911388">
        <w:rPr>
          <w:rFonts w:ascii="Garamond" w:eastAsia="Malgun Gothic" w:hAnsi="Garamond" w:cs="Times New Roman"/>
          <w:color w:val="000000" w:themeColor="text1"/>
          <w:sz w:val="20"/>
          <w:szCs w:val="20"/>
        </w:rPr>
        <w:t xml:space="preserve">(4), 769–808. </w:t>
      </w:r>
      <w:hyperlink r:id="rId69" w:history="1">
        <w:r w:rsidRPr="00911388">
          <w:rPr>
            <w:rStyle w:val="Hyperlink"/>
            <w:rFonts w:ascii="Garamond" w:eastAsia="Malgun Gothic" w:hAnsi="Garamond" w:cs="Times New Roman"/>
            <w:sz w:val="20"/>
            <w:szCs w:val="20"/>
          </w:rPr>
          <w:t>https://doi.org/10.1007/s11145-021-10243-5</w:t>
        </w:r>
      </w:hyperlink>
    </w:p>
    <w:p w14:paraId="6949602C"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*Neumann, H., Leu, S., &amp; McDonough, K. (2019). L2 writers’ use of outside sources and the </w:t>
      </w:r>
    </w:p>
    <w:p w14:paraId="3EFB63CE"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related challenges.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38</w:t>
      </w:r>
      <w:r w:rsidRPr="00911388">
        <w:rPr>
          <w:rFonts w:ascii="Garamond" w:eastAsia="Malgun Gothic" w:hAnsi="Garamond" w:cs="Times New Roman"/>
          <w:color w:val="000000" w:themeColor="text1"/>
          <w:sz w:val="20"/>
          <w:szCs w:val="20"/>
        </w:rPr>
        <w:t xml:space="preserve">, 106–120. </w:t>
      </w:r>
      <w:hyperlink r:id="rId70" w:history="1">
        <w:r w:rsidRPr="00911388">
          <w:rPr>
            <w:rStyle w:val="Hyperlink"/>
            <w:rFonts w:ascii="Garamond" w:eastAsia="Malgun Gothic" w:hAnsi="Garamond" w:cs="Times New Roman"/>
            <w:sz w:val="20"/>
            <w:szCs w:val="20"/>
          </w:rPr>
          <w:t>https://doi.org/10.1016/j.jeap.2019.02.002</w:t>
        </w:r>
      </w:hyperlink>
    </w:p>
    <w:p w14:paraId="4D30BE49"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*Neumann, H., Leu, S., McDonough, K., Gil, L., &amp; Crawford, B. (2020). Does the quality of </w:t>
      </w:r>
    </w:p>
    <w:p w14:paraId="6200D84D"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source notes </w:t>
      </w:r>
      <w:proofErr w:type="gramStart"/>
      <w:r w:rsidRPr="00911388">
        <w:rPr>
          <w:rFonts w:ascii="Garamond" w:eastAsia="Malgun Gothic" w:hAnsi="Garamond" w:cs="Times New Roman"/>
          <w:color w:val="000000" w:themeColor="text1"/>
          <w:sz w:val="20"/>
          <w:szCs w:val="20"/>
        </w:rPr>
        <w:t>matter?</w:t>
      </w:r>
      <w:proofErr w:type="gramEnd"/>
      <w:r w:rsidRPr="00911388">
        <w:rPr>
          <w:rFonts w:ascii="Garamond" w:eastAsia="Malgun Gothic" w:hAnsi="Garamond" w:cs="Times New Roman"/>
          <w:color w:val="000000" w:themeColor="text1"/>
          <w:sz w:val="20"/>
          <w:szCs w:val="20"/>
        </w:rPr>
        <w:t xml:space="preserve"> An exploratory study of source-based academic writing. </w:t>
      </w:r>
      <w:r w:rsidRPr="00911388">
        <w:rPr>
          <w:rFonts w:ascii="Garamond" w:eastAsia="Malgun Gothic" w:hAnsi="Garamond" w:cs="Times New Roman"/>
          <w:i/>
          <w:iCs/>
          <w:color w:val="000000" w:themeColor="text1"/>
          <w:sz w:val="20"/>
          <w:szCs w:val="20"/>
        </w:rPr>
        <w:t>TESL Canada Journal</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37</w:t>
      </w:r>
      <w:r w:rsidRPr="00911388">
        <w:rPr>
          <w:rFonts w:ascii="Garamond" w:eastAsia="Malgun Gothic" w:hAnsi="Garamond" w:cs="Times New Roman"/>
          <w:color w:val="000000" w:themeColor="text1"/>
          <w:sz w:val="20"/>
          <w:szCs w:val="20"/>
        </w:rPr>
        <w:t>(1), 1–21.</w:t>
      </w:r>
    </w:p>
    <w:p w14:paraId="5576DD62" w14:textId="77777777" w:rsidR="00626EB6" w:rsidRPr="00911388" w:rsidRDefault="00626EB6" w:rsidP="00626EB6">
      <w:pPr>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*Niimi, N., &amp; Matsuura, N. (2022). Assessing Japanese junior high school students’ English </w:t>
      </w:r>
    </w:p>
    <w:p w14:paraId="4C17E985"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hAnsi="Garamond" w:cstheme="majorBidi"/>
          <w:color w:val="000000" w:themeColor="text1"/>
          <w:sz w:val="20"/>
          <w:szCs w:val="20"/>
        </w:rPr>
        <w:t>achievement through computer-based testing in the classroom: A case of integrated reading-into-writing continuous task.</w:t>
      </w:r>
      <w:r w:rsidRPr="00911388">
        <w:rPr>
          <w:rFonts w:ascii="Garamond" w:hAnsi="Garamond" w:cstheme="majorBidi"/>
          <w:i/>
          <w:iCs/>
          <w:color w:val="000000" w:themeColor="text1"/>
          <w:sz w:val="20"/>
          <w:szCs w:val="20"/>
        </w:rPr>
        <w:t xml:space="preserve"> Language Testing in Asia</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12</w:t>
      </w:r>
      <w:r w:rsidRPr="00911388">
        <w:rPr>
          <w:rFonts w:ascii="Garamond" w:hAnsi="Garamond" w:cstheme="majorBidi"/>
          <w:color w:val="000000" w:themeColor="text1"/>
          <w:sz w:val="20"/>
          <w:szCs w:val="20"/>
        </w:rPr>
        <w:t xml:space="preserve">(1), 38. </w:t>
      </w:r>
      <w:r w:rsidRPr="00911388">
        <w:rPr>
          <w:rStyle w:val="Hyperlink"/>
          <w:rFonts w:ascii="Garamond" w:hAnsi="Garamond" w:cstheme="majorBidi"/>
          <w:color w:val="0070C0"/>
          <w:sz w:val="20"/>
          <w:szCs w:val="20"/>
        </w:rPr>
        <w:t>https://doi.org/10.1186/s40468-022-00189-y</w:t>
      </w:r>
    </w:p>
    <w:p w14:paraId="4C6662E4"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*Nikbakht, E., &amp; Miller, R. T. (2023). The development of ESL students’ synthesis writing </w:t>
      </w:r>
    </w:p>
    <w:p w14:paraId="0EEC9AED"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through reading instruction.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65</w:t>
      </w:r>
      <w:r w:rsidRPr="00911388">
        <w:rPr>
          <w:rFonts w:ascii="Garamond" w:eastAsia="Malgun Gothic" w:hAnsi="Garamond" w:cs="Times New Roman"/>
          <w:color w:val="000000" w:themeColor="text1"/>
          <w:sz w:val="20"/>
          <w:szCs w:val="20"/>
        </w:rPr>
        <w:t xml:space="preserve">, Article </w:t>
      </w:r>
    </w:p>
    <w:p w14:paraId="26001E43"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101274. </w:t>
      </w:r>
      <w:hyperlink r:id="rId71" w:history="1">
        <w:r w:rsidRPr="00911388">
          <w:rPr>
            <w:rStyle w:val="Hyperlink"/>
            <w:rFonts w:ascii="Garamond" w:eastAsia="Malgun Gothic" w:hAnsi="Garamond" w:cs="Times New Roman"/>
            <w:sz w:val="20"/>
            <w:szCs w:val="20"/>
          </w:rPr>
          <w:t>http://dx.doi.org/10.1016/j.jeap.2023.101274</w:t>
        </w:r>
      </w:hyperlink>
    </w:p>
    <w:p w14:paraId="6D95B19A" w14:textId="77777777" w:rsidR="00626EB6" w:rsidRPr="00911388" w:rsidRDefault="00626EB6" w:rsidP="00626EB6">
      <w:pPr>
        <w:pStyle w:val="Bibliography"/>
        <w:ind w:left="720" w:hanging="720"/>
        <w:rPr>
          <w:rFonts w:ascii="Garamond" w:hAnsi="Garamond"/>
          <w:color w:val="000000" w:themeColor="text1"/>
          <w:sz w:val="20"/>
          <w:szCs w:val="20"/>
        </w:rPr>
      </w:pPr>
      <w:bookmarkStart w:id="11" w:name="_Hlk173777129"/>
      <w:r w:rsidRPr="00911388">
        <w:rPr>
          <w:rFonts w:ascii="Garamond" w:hAnsi="Garamond" w:cstheme="majorBidi"/>
          <w:color w:val="000000" w:themeColor="text1"/>
          <w:sz w:val="20"/>
          <w:szCs w:val="20"/>
        </w:rPr>
        <w:t xml:space="preserve">*Noor, S. (2021). Integrating reading and writing in testing reading comprehension of the Afghan EFL language learners. </w:t>
      </w:r>
      <w:r w:rsidRPr="00911388">
        <w:rPr>
          <w:rFonts w:ascii="Garamond" w:hAnsi="Garamond" w:cstheme="majorBidi"/>
          <w:i/>
          <w:iCs/>
          <w:color w:val="000000" w:themeColor="text1"/>
          <w:sz w:val="20"/>
          <w:szCs w:val="20"/>
        </w:rPr>
        <w:t>Cogent Education</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8</w:t>
      </w:r>
      <w:r w:rsidRPr="00911388">
        <w:rPr>
          <w:rFonts w:ascii="Garamond" w:hAnsi="Garamond" w:cstheme="majorBidi"/>
          <w:color w:val="000000" w:themeColor="text1"/>
          <w:sz w:val="20"/>
          <w:szCs w:val="20"/>
        </w:rPr>
        <w:t>(1), Article 1919039.</w:t>
      </w:r>
      <w:bookmarkEnd w:id="11"/>
      <w:r w:rsidRPr="00911388">
        <w:rPr>
          <w:rFonts w:ascii="Garamond" w:hAnsi="Garamond" w:cstheme="majorBidi"/>
          <w:color w:val="000000" w:themeColor="text1"/>
          <w:sz w:val="20"/>
          <w:szCs w:val="20"/>
        </w:rPr>
        <w:t xml:space="preserve"> </w:t>
      </w:r>
      <w:r w:rsidRPr="00911388">
        <w:rPr>
          <w:rStyle w:val="Hyperlink"/>
          <w:rFonts w:ascii="Garamond" w:hAnsi="Garamond" w:cstheme="majorBidi"/>
          <w:color w:val="0070C0"/>
          <w:sz w:val="20"/>
          <w:szCs w:val="20"/>
        </w:rPr>
        <w:t>https://doi.org/10.1080/2331186X.2021.1919039</w:t>
      </w:r>
    </w:p>
    <w:p w14:paraId="22CB42CE"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Norris, J. M., &amp; Ortega, L. (2007). The future of research synthesis in applied linguistics: </w:t>
      </w:r>
    </w:p>
    <w:p w14:paraId="6ACE94DA"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Beyond art or science. </w:t>
      </w:r>
      <w:r w:rsidRPr="00911388">
        <w:rPr>
          <w:rFonts w:ascii="Garamond" w:eastAsia="Malgun Gothic" w:hAnsi="Garamond" w:cs="Times New Roman"/>
          <w:i/>
          <w:iCs/>
          <w:color w:val="000000" w:themeColor="text1"/>
          <w:sz w:val="20"/>
          <w:szCs w:val="20"/>
        </w:rPr>
        <w:t>TESOL Quarterly</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41</w:t>
      </w:r>
      <w:r w:rsidRPr="00911388">
        <w:rPr>
          <w:rFonts w:ascii="Garamond" w:eastAsia="Malgun Gothic" w:hAnsi="Garamond" w:cs="Times New Roman"/>
          <w:color w:val="000000" w:themeColor="text1"/>
          <w:sz w:val="20"/>
          <w:szCs w:val="20"/>
        </w:rPr>
        <w:t>(4), 805–815.</w:t>
      </w:r>
    </w:p>
    <w:p w14:paraId="12315BFF" w14:textId="77777777" w:rsidR="00626EB6" w:rsidRPr="00911388" w:rsidRDefault="00626EB6" w:rsidP="00626EB6">
      <w:pPr>
        <w:ind w:firstLine="720"/>
        <w:rPr>
          <w:rFonts w:ascii="Garamond" w:eastAsia="Malgun Gothic" w:hAnsi="Garamond" w:cs="Times New Roman"/>
          <w:color w:val="000000" w:themeColor="text1"/>
          <w:sz w:val="20"/>
          <w:szCs w:val="20"/>
        </w:rPr>
      </w:pPr>
      <w:hyperlink r:id="rId72" w:history="1">
        <w:r w:rsidRPr="00911388">
          <w:rPr>
            <w:rStyle w:val="Hyperlink"/>
            <w:rFonts w:ascii="Garamond" w:eastAsia="Malgun Gothic" w:hAnsi="Garamond" w:cs="Times New Roman"/>
            <w:sz w:val="20"/>
            <w:szCs w:val="20"/>
          </w:rPr>
          <w:t>https://doi.org/10.1002/j.1545-7249.2007.tb00105.x</w:t>
        </w:r>
      </w:hyperlink>
    </w:p>
    <w:p w14:paraId="0AA2EF3A"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Norton, B. (2000). </w:t>
      </w:r>
      <w:r w:rsidRPr="00911388">
        <w:rPr>
          <w:rFonts w:ascii="Garamond" w:eastAsia="Malgun Gothic" w:hAnsi="Garamond" w:cs="Times New Roman"/>
          <w:i/>
          <w:iCs/>
          <w:color w:val="000000" w:themeColor="text1"/>
          <w:sz w:val="20"/>
          <w:szCs w:val="20"/>
        </w:rPr>
        <w:t>Identity and language learning</w:t>
      </w:r>
      <w:r w:rsidRPr="00911388">
        <w:rPr>
          <w:rFonts w:ascii="Garamond" w:eastAsia="Malgun Gothic" w:hAnsi="Garamond" w:cs="Times New Roman"/>
          <w:color w:val="000000" w:themeColor="text1"/>
          <w:sz w:val="20"/>
          <w:szCs w:val="20"/>
        </w:rPr>
        <w:t>. Longman.</w:t>
      </w:r>
    </w:p>
    <w:p w14:paraId="27C03048"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*Overstreet, M., </w:t>
      </w:r>
      <w:proofErr w:type="spellStart"/>
      <w:r w:rsidRPr="00911388">
        <w:rPr>
          <w:rFonts w:ascii="Garamond" w:eastAsia="Malgun Gothic" w:hAnsi="Garamond" w:cs="Times New Roman"/>
          <w:color w:val="000000" w:themeColor="text1"/>
          <w:sz w:val="20"/>
          <w:szCs w:val="20"/>
        </w:rPr>
        <w:t>Akhmedjanova</w:t>
      </w:r>
      <w:proofErr w:type="spellEnd"/>
      <w:r w:rsidRPr="00911388">
        <w:rPr>
          <w:rFonts w:ascii="Garamond" w:eastAsia="Malgun Gothic" w:hAnsi="Garamond" w:cs="Times New Roman"/>
          <w:color w:val="000000" w:themeColor="text1"/>
          <w:sz w:val="20"/>
          <w:szCs w:val="20"/>
        </w:rPr>
        <w:t xml:space="preserve">, D., &amp; </w:t>
      </w:r>
      <w:proofErr w:type="spellStart"/>
      <w:r w:rsidRPr="00911388">
        <w:rPr>
          <w:rFonts w:ascii="Garamond" w:eastAsia="Malgun Gothic" w:hAnsi="Garamond" w:cs="Times New Roman"/>
          <w:color w:val="000000" w:themeColor="text1"/>
          <w:sz w:val="20"/>
          <w:szCs w:val="20"/>
        </w:rPr>
        <w:t>Vaccino</w:t>
      </w:r>
      <w:proofErr w:type="spellEnd"/>
      <w:r w:rsidRPr="00911388">
        <w:rPr>
          <w:rFonts w:ascii="Garamond" w:eastAsia="Malgun Gothic" w:hAnsi="Garamond" w:cs="Times New Roman"/>
          <w:color w:val="000000" w:themeColor="text1"/>
          <w:sz w:val="20"/>
          <w:szCs w:val="20"/>
        </w:rPr>
        <w:t xml:space="preserve">-Salvadore, S. (2023). Brain-bound vs. extended: </w:t>
      </w:r>
    </w:p>
    <w:p w14:paraId="1308F414"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Contrasting approaches to second-language research writing in digital environments. </w:t>
      </w:r>
      <w:r w:rsidRPr="00911388">
        <w:rPr>
          <w:rFonts w:ascii="Garamond" w:eastAsia="Malgun Gothic" w:hAnsi="Garamond" w:cs="Times New Roman"/>
          <w:i/>
          <w:iCs/>
          <w:color w:val="000000" w:themeColor="text1"/>
          <w:sz w:val="20"/>
          <w:szCs w:val="20"/>
        </w:rPr>
        <w:t>Journal of Second 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61</w:t>
      </w:r>
      <w:r w:rsidRPr="00911388">
        <w:rPr>
          <w:rFonts w:ascii="Garamond" w:eastAsia="Malgun Gothic" w:hAnsi="Garamond" w:cs="Times New Roman"/>
          <w:color w:val="000000" w:themeColor="text1"/>
          <w:sz w:val="20"/>
          <w:szCs w:val="20"/>
        </w:rPr>
        <w:t xml:space="preserve">, Article 101019. </w:t>
      </w:r>
      <w:hyperlink r:id="rId73" w:history="1">
        <w:r w:rsidRPr="00911388">
          <w:rPr>
            <w:rStyle w:val="Hyperlink"/>
            <w:rFonts w:ascii="Garamond" w:eastAsia="Malgun Gothic" w:hAnsi="Garamond" w:cs="Times New Roman"/>
            <w:sz w:val="20"/>
            <w:szCs w:val="20"/>
          </w:rPr>
          <w:t>https://doi.org/10.1016/j.jslw.2023.101019</w:t>
        </w:r>
      </w:hyperlink>
    </w:p>
    <w:p w14:paraId="59886666"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Page, M. J., McKenzie, J. E., Bossuyt, P. M., </w:t>
      </w:r>
      <w:proofErr w:type="spellStart"/>
      <w:r w:rsidRPr="00911388">
        <w:rPr>
          <w:rFonts w:ascii="Garamond" w:eastAsia="Malgun Gothic" w:hAnsi="Garamond" w:cs="Times New Roman"/>
          <w:color w:val="000000" w:themeColor="text1"/>
          <w:sz w:val="20"/>
          <w:szCs w:val="20"/>
        </w:rPr>
        <w:t>Boutron</w:t>
      </w:r>
      <w:proofErr w:type="spellEnd"/>
      <w:r w:rsidRPr="00911388">
        <w:rPr>
          <w:rFonts w:ascii="Garamond" w:eastAsia="Malgun Gothic" w:hAnsi="Garamond" w:cs="Times New Roman"/>
          <w:color w:val="000000" w:themeColor="text1"/>
          <w:sz w:val="20"/>
          <w:szCs w:val="20"/>
        </w:rPr>
        <w:t xml:space="preserve">, I., Hoffmann, T. C., Mulrow, C. D., </w:t>
      </w:r>
    </w:p>
    <w:p w14:paraId="60CD4DAA" w14:textId="77777777" w:rsidR="00626EB6" w:rsidRPr="00911388" w:rsidRDefault="00626EB6" w:rsidP="00626EB6">
      <w:pPr>
        <w:ind w:left="720"/>
        <w:rPr>
          <w:rFonts w:ascii="Garamond" w:hAnsi="Garamond"/>
          <w:sz w:val="20"/>
          <w:szCs w:val="20"/>
          <w:lang w:val="es-ES"/>
        </w:rPr>
      </w:pPr>
      <w:proofErr w:type="spellStart"/>
      <w:r w:rsidRPr="00911388">
        <w:rPr>
          <w:rFonts w:ascii="Garamond" w:eastAsia="Malgun Gothic" w:hAnsi="Garamond" w:cs="Times New Roman"/>
          <w:color w:val="000000" w:themeColor="text1"/>
          <w:sz w:val="20"/>
          <w:szCs w:val="20"/>
        </w:rPr>
        <w:t>Shamseer</w:t>
      </w:r>
      <w:proofErr w:type="spellEnd"/>
      <w:r w:rsidRPr="00911388">
        <w:rPr>
          <w:rFonts w:ascii="Garamond" w:eastAsia="Malgun Gothic" w:hAnsi="Garamond" w:cs="Times New Roman"/>
          <w:color w:val="000000" w:themeColor="text1"/>
          <w:sz w:val="20"/>
          <w:szCs w:val="20"/>
        </w:rPr>
        <w:t xml:space="preserve">, L., Tetzlaff, J. M., Akl, E. A., &amp; Brennan, S. E. (2021). The PRISMA 2020 statement: An updated guideline for reporting systematic reviews. </w:t>
      </w:r>
      <w:proofErr w:type="spellStart"/>
      <w:r w:rsidRPr="00911388">
        <w:rPr>
          <w:rFonts w:ascii="Garamond" w:eastAsia="Malgun Gothic" w:hAnsi="Garamond" w:cs="Times New Roman"/>
          <w:i/>
          <w:iCs/>
          <w:color w:val="000000" w:themeColor="text1"/>
          <w:sz w:val="20"/>
          <w:szCs w:val="20"/>
          <w:lang w:val="es-ES"/>
        </w:rPr>
        <w:t>The</w:t>
      </w:r>
      <w:proofErr w:type="spellEnd"/>
      <w:r w:rsidRPr="00911388">
        <w:rPr>
          <w:rFonts w:ascii="Garamond" w:eastAsia="Malgun Gothic" w:hAnsi="Garamond" w:cs="Times New Roman"/>
          <w:i/>
          <w:iCs/>
          <w:color w:val="000000" w:themeColor="text1"/>
          <w:sz w:val="20"/>
          <w:szCs w:val="20"/>
          <w:lang w:val="es-ES"/>
        </w:rPr>
        <w:t xml:space="preserve"> BMJ</w:t>
      </w:r>
      <w:r w:rsidRPr="00911388">
        <w:rPr>
          <w:rFonts w:ascii="Garamond" w:eastAsia="Malgun Gothic" w:hAnsi="Garamond" w:cs="Times New Roman"/>
          <w:color w:val="000000" w:themeColor="text1"/>
          <w:sz w:val="20"/>
          <w:szCs w:val="20"/>
          <w:lang w:val="es-ES"/>
        </w:rPr>
        <w:t xml:space="preserve">, </w:t>
      </w:r>
      <w:r w:rsidRPr="00911388">
        <w:rPr>
          <w:rFonts w:ascii="Garamond" w:eastAsia="Malgun Gothic" w:hAnsi="Garamond" w:cs="Times New Roman"/>
          <w:i/>
          <w:iCs/>
          <w:color w:val="000000" w:themeColor="text1"/>
          <w:sz w:val="20"/>
          <w:szCs w:val="20"/>
          <w:lang w:val="es-ES"/>
        </w:rPr>
        <w:t>372</w:t>
      </w:r>
      <w:r w:rsidRPr="00911388">
        <w:rPr>
          <w:rFonts w:ascii="Garamond" w:eastAsia="Malgun Gothic" w:hAnsi="Garamond" w:cs="Times New Roman"/>
          <w:color w:val="000000" w:themeColor="text1"/>
          <w:sz w:val="20"/>
          <w:szCs w:val="20"/>
          <w:lang w:val="es-ES"/>
        </w:rPr>
        <w:t xml:space="preserve">(71). </w:t>
      </w:r>
      <w:hyperlink r:id="rId74" w:history="1">
        <w:r w:rsidRPr="00911388">
          <w:rPr>
            <w:rStyle w:val="Hyperlink"/>
            <w:rFonts w:ascii="Garamond" w:eastAsia="Malgun Gothic" w:hAnsi="Garamond" w:cs="Times New Roman"/>
            <w:sz w:val="20"/>
            <w:szCs w:val="20"/>
            <w:lang w:val="es-ES"/>
          </w:rPr>
          <w:t>https://doi.org/10.1136/bmj.n71</w:t>
        </w:r>
      </w:hyperlink>
    </w:p>
    <w:p w14:paraId="3F296134"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lang w:val="es-ES"/>
        </w:rPr>
        <w:lastRenderedPageBreak/>
        <w:t xml:space="preserve">*Park, J.-H., &amp; De Costa, P. (2015). </w:t>
      </w:r>
      <w:r w:rsidRPr="00911388">
        <w:rPr>
          <w:rFonts w:ascii="Garamond" w:hAnsi="Garamond" w:cstheme="majorBidi"/>
          <w:color w:val="000000" w:themeColor="text1"/>
          <w:sz w:val="20"/>
          <w:szCs w:val="20"/>
        </w:rPr>
        <w:t xml:space="preserve">Reframing graduate student writing strategies from an activity theory perspective. </w:t>
      </w:r>
      <w:r w:rsidRPr="00911388">
        <w:rPr>
          <w:rFonts w:ascii="Garamond" w:hAnsi="Garamond" w:cstheme="majorBidi"/>
          <w:i/>
          <w:iCs/>
          <w:color w:val="000000" w:themeColor="text1"/>
          <w:sz w:val="20"/>
          <w:szCs w:val="20"/>
        </w:rPr>
        <w:t>Language and Sociocultural Theory</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2</w:t>
      </w:r>
      <w:r w:rsidRPr="00911388">
        <w:rPr>
          <w:rFonts w:ascii="Garamond" w:hAnsi="Garamond" w:cstheme="majorBidi"/>
          <w:color w:val="000000" w:themeColor="text1"/>
          <w:sz w:val="20"/>
          <w:szCs w:val="20"/>
        </w:rPr>
        <w:t xml:space="preserve">(1), 25–50. </w:t>
      </w:r>
      <w:r w:rsidRPr="00911388">
        <w:rPr>
          <w:rStyle w:val="Hyperlink"/>
          <w:rFonts w:ascii="Garamond" w:hAnsi="Garamond" w:cs="Times New Roman"/>
          <w:color w:val="0070C0"/>
          <w:sz w:val="20"/>
          <w:szCs w:val="20"/>
        </w:rPr>
        <w:t>https://doi.org/10.1558/lst.v2i1.24977</w:t>
      </w:r>
    </w:p>
    <w:p w14:paraId="3182D7B1"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*Payant, C., &amp; Maatouk, Z. (2022). Collaborative writing in a third language: How writers use and view their plurilingual repertoire during collaborative writing tasks. </w:t>
      </w:r>
      <w:r w:rsidRPr="00911388">
        <w:rPr>
          <w:rFonts w:ascii="Garamond" w:hAnsi="Garamond" w:cstheme="majorBidi"/>
          <w:i/>
          <w:iCs/>
          <w:color w:val="000000" w:themeColor="text1"/>
          <w:sz w:val="20"/>
          <w:szCs w:val="20"/>
        </w:rPr>
        <w:t>Canadian Journal of Applied Linguistics</w:t>
      </w:r>
      <w:r w:rsidRPr="00911388">
        <w:rPr>
          <w:rFonts w:ascii="Garamond" w:hAnsi="Garamond" w:cstheme="majorBidi"/>
          <w:color w:val="000000" w:themeColor="text1"/>
          <w:sz w:val="20"/>
          <w:szCs w:val="20"/>
        </w:rPr>
        <w:t xml:space="preserve">, </w:t>
      </w:r>
      <w:r w:rsidRPr="00911388">
        <w:rPr>
          <w:rFonts w:ascii="Garamond" w:hAnsi="Garamond" w:cstheme="majorBidi"/>
          <w:i/>
          <w:iCs/>
          <w:color w:val="000000" w:themeColor="text1"/>
          <w:sz w:val="20"/>
          <w:szCs w:val="20"/>
        </w:rPr>
        <w:t>25</w:t>
      </w:r>
      <w:r w:rsidRPr="00911388">
        <w:rPr>
          <w:rFonts w:ascii="Garamond" w:hAnsi="Garamond" w:cstheme="majorBidi"/>
          <w:color w:val="000000" w:themeColor="text1"/>
          <w:sz w:val="20"/>
          <w:szCs w:val="20"/>
        </w:rPr>
        <w:t xml:space="preserve">(1), 127–151. </w:t>
      </w:r>
      <w:r w:rsidRPr="00911388">
        <w:rPr>
          <w:rStyle w:val="Hyperlink"/>
          <w:rFonts w:ascii="Garamond" w:hAnsi="Garamond" w:cs="Times New Roman"/>
          <w:color w:val="0070C0"/>
          <w:sz w:val="20"/>
          <w:szCs w:val="20"/>
        </w:rPr>
        <w:t>https://doi.org/10.37213/cjal.2022.31288</w:t>
      </w:r>
    </w:p>
    <w:p w14:paraId="039965F0"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*Payant, C., McDonough, K., </w:t>
      </w:r>
      <w:proofErr w:type="spellStart"/>
      <w:r w:rsidRPr="00911388">
        <w:rPr>
          <w:rFonts w:ascii="Garamond" w:eastAsia="Malgun Gothic" w:hAnsi="Garamond" w:cs="Times New Roman"/>
          <w:color w:val="000000" w:themeColor="text1"/>
          <w:sz w:val="20"/>
          <w:szCs w:val="20"/>
        </w:rPr>
        <w:t>Uludag</w:t>
      </w:r>
      <w:proofErr w:type="spellEnd"/>
      <w:r w:rsidRPr="00911388">
        <w:rPr>
          <w:rFonts w:ascii="Garamond" w:eastAsia="Malgun Gothic" w:hAnsi="Garamond" w:cs="Times New Roman"/>
          <w:color w:val="000000" w:themeColor="text1"/>
          <w:sz w:val="20"/>
          <w:szCs w:val="20"/>
        </w:rPr>
        <w:t xml:space="preserve">, P., &amp; Lindberg, R. (2019). Predicting integrated writing </w:t>
      </w:r>
    </w:p>
    <w:p w14:paraId="2EE86A5A"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task performance: Source comprehension, prewriting planning, and individual differences.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40</w:t>
      </w:r>
      <w:r w:rsidRPr="00911388">
        <w:rPr>
          <w:rFonts w:ascii="Garamond" w:eastAsia="Malgun Gothic" w:hAnsi="Garamond" w:cs="Times New Roman"/>
          <w:color w:val="000000" w:themeColor="text1"/>
          <w:sz w:val="20"/>
          <w:szCs w:val="20"/>
        </w:rPr>
        <w:t xml:space="preserve">, 87–97. </w:t>
      </w:r>
      <w:hyperlink r:id="rId75" w:history="1">
        <w:r w:rsidRPr="00911388">
          <w:rPr>
            <w:rStyle w:val="Hyperlink"/>
            <w:rFonts w:ascii="Garamond" w:eastAsia="Malgun Gothic" w:hAnsi="Garamond" w:cs="Times New Roman"/>
            <w:sz w:val="20"/>
            <w:szCs w:val="20"/>
          </w:rPr>
          <w:t>https://doi.org/10.1016/j.jeap.2019.06.001</w:t>
        </w:r>
      </w:hyperlink>
    </w:p>
    <w:p w14:paraId="2544C115" w14:textId="77777777" w:rsidR="00626EB6" w:rsidRPr="00911388" w:rsidRDefault="00626EB6" w:rsidP="00626EB6">
      <w:pPr>
        <w:pStyle w:val="Bibliography"/>
        <w:ind w:left="720" w:hanging="720"/>
        <w:rPr>
          <w:rFonts w:ascii="Garamond" w:hAnsi="Garamond" w:cstheme="majorBidi"/>
          <w:color w:val="000000" w:themeColor="text1"/>
          <w:sz w:val="20"/>
          <w:szCs w:val="20"/>
        </w:rPr>
      </w:pPr>
      <w:bookmarkStart w:id="12" w:name="_Hlk173777165"/>
      <w:r w:rsidRPr="00911388">
        <w:rPr>
          <w:rFonts w:ascii="Garamond" w:hAnsi="Garamond" w:cstheme="majorBidi"/>
          <w:color w:val="000000" w:themeColor="text1"/>
          <w:sz w:val="20"/>
          <w:szCs w:val="20"/>
        </w:rPr>
        <w:t xml:space="preserve">*Petrić, B. (2007). Rhetorical functions of citations in high-and low-rated master’s theses. </w:t>
      </w:r>
      <w:r w:rsidRPr="00911388">
        <w:rPr>
          <w:rFonts w:ascii="Garamond" w:hAnsi="Garamond" w:cstheme="majorBidi"/>
          <w:i/>
          <w:iCs/>
          <w:color w:val="000000" w:themeColor="text1"/>
          <w:sz w:val="20"/>
          <w:szCs w:val="20"/>
        </w:rPr>
        <w:t>Journal of English for Academic Purposes</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6</w:t>
      </w:r>
      <w:r w:rsidRPr="00911388">
        <w:rPr>
          <w:rFonts w:ascii="Garamond" w:hAnsi="Garamond" w:cstheme="majorBidi"/>
          <w:color w:val="000000" w:themeColor="text1"/>
          <w:sz w:val="20"/>
          <w:szCs w:val="20"/>
        </w:rPr>
        <w:t xml:space="preserve">(3), 238–253. </w:t>
      </w:r>
      <w:hyperlink r:id="rId76" w:tgtFrame="_blank" w:tooltip="Persistent link using digital object identifier" w:history="1">
        <w:r w:rsidRPr="00911388">
          <w:rPr>
            <w:rStyle w:val="Hyperlink"/>
            <w:rFonts w:ascii="Garamond" w:hAnsi="Garamond" w:cstheme="majorBidi"/>
            <w:color w:val="0070C0"/>
            <w:sz w:val="20"/>
            <w:szCs w:val="20"/>
          </w:rPr>
          <w:t>https://doi.org/10.1016/j.jeap.2007.09.002</w:t>
        </w:r>
      </w:hyperlink>
      <w:bookmarkEnd w:id="12"/>
    </w:p>
    <w:p w14:paraId="59B019EB" w14:textId="77777777" w:rsidR="00626EB6" w:rsidRPr="00911388" w:rsidRDefault="00626EB6" w:rsidP="00626EB6">
      <w:pPr>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*Petrić, B. (2012). Legitimate textual borrowing: Direct quotation in L2 student writing. </w:t>
      </w:r>
      <w:r w:rsidRPr="00911388">
        <w:rPr>
          <w:rFonts w:ascii="Garamond" w:eastAsia="Malgun Gothic" w:hAnsi="Garamond" w:cs="Times New Roman"/>
          <w:i/>
          <w:iCs/>
          <w:color w:val="000000" w:themeColor="text1"/>
          <w:sz w:val="20"/>
          <w:szCs w:val="20"/>
        </w:rPr>
        <w:t xml:space="preserve">Journal </w:t>
      </w:r>
    </w:p>
    <w:p w14:paraId="53DF3DA9"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of Second 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21</w:t>
      </w:r>
      <w:r w:rsidRPr="00911388">
        <w:rPr>
          <w:rFonts w:ascii="Garamond" w:eastAsia="Malgun Gothic" w:hAnsi="Garamond" w:cs="Times New Roman"/>
          <w:color w:val="000000" w:themeColor="text1"/>
          <w:sz w:val="20"/>
          <w:szCs w:val="20"/>
        </w:rPr>
        <w:t xml:space="preserve">(2), 102–117. </w:t>
      </w:r>
      <w:hyperlink r:id="rId77" w:history="1">
        <w:r w:rsidRPr="00911388">
          <w:rPr>
            <w:rStyle w:val="Hyperlink"/>
            <w:rFonts w:ascii="Garamond" w:eastAsia="Malgun Gothic" w:hAnsi="Garamond" w:cs="Times New Roman"/>
            <w:sz w:val="20"/>
            <w:szCs w:val="20"/>
          </w:rPr>
          <w:t>https://doi.org/10.1016/j.jslw.2012.03.005</w:t>
        </w:r>
      </w:hyperlink>
    </w:p>
    <w:p w14:paraId="364D6ED0"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*Petrić, B., &amp; Harwood, N. (2013). Task requirements, task representation, and citation </w:t>
      </w:r>
    </w:p>
    <w:p w14:paraId="53A0E30D"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functions: An interview-based study of the citing behavior of a successful L2 student writer.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12</w:t>
      </w:r>
      <w:r w:rsidRPr="00911388">
        <w:rPr>
          <w:rFonts w:ascii="Garamond" w:eastAsia="Malgun Gothic" w:hAnsi="Garamond" w:cs="Times New Roman"/>
          <w:color w:val="000000" w:themeColor="text1"/>
          <w:sz w:val="20"/>
          <w:szCs w:val="20"/>
        </w:rPr>
        <w:t>(2), 110–124.</w:t>
      </w:r>
    </w:p>
    <w:p w14:paraId="5E333A1F" w14:textId="77777777" w:rsidR="00626EB6" w:rsidRPr="00911388" w:rsidRDefault="00626EB6" w:rsidP="00626EB6">
      <w:pPr>
        <w:ind w:left="720"/>
        <w:rPr>
          <w:rFonts w:ascii="Garamond" w:eastAsia="Malgun Gothic" w:hAnsi="Garamond" w:cs="Times New Roman"/>
          <w:color w:val="000000" w:themeColor="text1"/>
          <w:sz w:val="20"/>
          <w:szCs w:val="20"/>
        </w:rPr>
      </w:pPr>
      <w:hyperlink r:id="rId78" w:history="1">
        <w:r w:rsidRPr="00911388">
          <w:rPr>
            <w:rStyle w:val="Hyperlink"/>
            <w:rFonts w:ascii="Garamond" w:eastAsia="Malgun Gothic" w:hAnsi="Garamond" w:cs="Times New Roman"/>
            <w:sz w:val="20"/>
            <w:szCs w:val="20"/>
          </w:rPr>
          <w:t>https://doi.org/10.1016/j.jeap.2013.01.002</w:t>
        </w:r>
      </w:hyperlink>
    </w:p>
    <w:p w14:paraId="6E498D47"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w:t>
      </w:r>
      <w:proofErr w:type="spellStart"/>
      <w:r w:rsidRPr="00911388">
        <w:rPr>
          <w:rFonts w:ascii="Garamond" w:eastAsia="Malgun Gothic" w:hAnsi="Garamond" w:cs="Times New Roman"/>
          <w:color w:val="000000" w:themeColor="text1"/>
          <w:sz w:val="20"/>
          <w:szCs w:val="20"/>
        </w:rPr>
        <w:t>Plakans</w:t>
      </w:r>
      <w:proofErr w:type="spellEnd"/>
      <w:r w:rsidRPr="00911388">
        <w:rPr>
          <w:rFonts w:ascii="Garamond" w:eastAsia="Malgun Gothic" w:hAnsi="Garamond" w:cs="Times New Roman"/>
          <w:color w:val="000000" w:themeColor="text1"/>
          <w:sz w:val="20"/>
          <w:szCs w:val="20"/>
        </w:rPr>
        <w:t xml:space="preserve">, L. (2009a). Discourse synthesis in integrated second language writing assessment. </w:t>
      </w:r>
    </w:p>
    <w:p w14:paraId="16BDCAB7"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Language Testing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26</w:t>
      </w:r>
      <w:r w:rsidRPr="00911388">
        <w:rPr>
          <w:rFonts w:ascii="Garamond" w:eastAsia="Malgun Gothic" w:hAnsi="Garamond" w:cs="Times New Roman"/>
          <w:color w:val="000000" w:themeColor="text1"/>
          <w:sz w:val="20"/>
          <w:szCs w:val="20"/>
        </w:rPr>
        <w:t xml:space="preserve">(4), 561–587. </w:t>
      </w:r>
      <w:hyperlink r:id="rId79" w:history="1">
        <w:r w:rsidRPr="00911388">
          <w:rPr>
            <w:rStyle w:val="Hyperlink"/>
            <w:rFonts w:ascii="Garamond" w:eastAsia="Malgun Gothic" w:hAnsi="Garamond" w:cs="Times New Roman"/>
            <w:sz w:val="20"/>
            <w:szCs w:val="20"/>
          </w:rPr>
          <w:t>https://doi.org/10.1177/0265532209340192</w:t>
        </w:r>
      </w:hyperlink>
    </w:p>
    <w:p w14:paraId="0A1693F1" w14:textId="77777777" w:rsidR="00626EB6" w:rsidRPr="00911388" w:rsidRDefault="00626EB6" w:rsidP="00626EB6">
      <w:pPr>
        <w:pStyle w:val="Bibliography"/>
        <w:ind w:left="720" w:hanging="720"/>
        <w:rPr>
          <w:rFonts w:ascii="Garamond" w:hAnsi="Garamond" w:cstheme="majorBidi"/>
          <w:color w:val="000000" w:themeColor="text1"/>
          <w:sz w:val="20"/>
          <w:szCs w:val="20"/>
        </w:rPr>
      </w:pPr>
      <w:bookmarkStart w:id="13" w:name="_Hlk173777171"/>
      <w:r w:rsidRPr="00911388">
        <w:rPr>
          <w:rFonts w:ascii="Garamond" w:hAnsi="Garamond" w:cstheme="majorBidi"/>
          <w:color w:val="000000" w:themeColor="text1"/>
          <w:sz w:val="20"/>
          <w:szCs w:val="20"/>
        </w:rPr>
        <w:t>*</w:t>
      </w:r>
      <w:proofErr w:type="spellStart"/>
      <w:r w:rsidRPr="00911388">
        <w:rPr>
          <w:rFonts w:ascii="Garamond" w:hAnsi="Garamond" w:cstheme="majorBidi"/>
          <w:color w:val="000000" w:themeColor="text1"/>
          <w:sz w:val="20"/>
          <w:szCs w:val="20"/>
        </w:rPr>
        <w:t>Plakans</w:t>
      </w:r>
      <w:proofErr w:type="spellEnd"/>
      <w:r w:rsidRPr="00911388">
        <w:rPr>
          <w:rFonts w:ascii="Garamond" w:hAnsi="Garamond" w:cstheme="majorBidi"/>
          <w:color w:val="000000" w:themeColor="text1"/>
          <w:sz w:val="20"/>
          <w:szCs w:val="20"/>
        </w:rPr>
        <w:t xml:space="preserve">, L. (2009b). The role of reading strategies in integrated L2 writing tasks. </w:t>
      </w:r>
      <w:r w:rsidRPr="00911388">
        <w:rPr>
          <w:rFonts w:ascii="Garamond" w:hAnsi="Garamond" w:cstheme="majorBidi"/>
          <w:i/>
          <w:iCs/>
          <w:color w:val="000000" w:themeColor="text1"/>
          <w:sz w:val="20"/>
          <w:szCs w:val="20"/>
        </w:rPr>
        <w:t>Journal of English for Academic Purposes</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8</w:t>
      </w:r>
      <w:r w:rsidRPr="00911388">
        <w:rPr>
          <w:rFonts w:ascii="Garamond" w:hAnsi="Garamond" w:cstheme="majorBidi"/>
          <w:color w:val="000000" w:themeColor="text1"/>
          <w:sz w:val="20"/>
          <w:szCs w:val="20"/>
        </w:rPr>
        <w:t xml:space="preserve">(4), 252–266. </w:t>
      </w:r>
      <w:bookmarkEnd w:id="13"/>
      <w:r w:rsidRPr="00911388">
        <w:rPr>
          <w:rFonts w:ascii="Garamond" w:hAnsi="Garamond" w:cstheme="majorBidi"/>
          <w:color w:val="0070C0"/>
          <w:sz w:val="20"/>
          <w:szCs w:val="20"/>
        </w:rPr>
        <w:fldChar w:fldCharType="begin"/>
      </w:r>
      <w:r w:rsidRPr="00911388">
        <w:rPr>
          <w:rFonts w:ascii="Garamond" w:hAnsi="Garamond" w:cstheme="majorBidi"/>
          <w:color w:val="0070C0"/>
          <w:sz w:val="20"/>
          <w:szCs w:val="20"/>
        </w:rPr>
        <w:instrText>HYPERLINK "https://doi.org/10.1016/j.jeap.2009.05.001"</w:instrText>
      </w:r>
      <w:r w:rsidRPr="00911388">
        <w:rPr>
          <w:rFonts w:ascii="Garamond" w:hAnsi="Garamond" w:cstheme="majorBidi"/>
          <w:color w:val="0070C0"/>
          <w:sz w:val="20"/>
          <w:szCs w:val="20"/>
        </w:rPr>
      </w:r>
      <w:r w:rsidRPr="00911388">
        <w:rPr>
          <w:rFonts w:ascii="Garamond" w:hAnsi="Garamond" w:cstheme="majorBidi"/>
          <w:color w:val="0070C0"/>
          <w:sz w:val="20"/>
          <w:szCs w:val="20"/>
        </w:rPr>
        <w:fldChar w:fldCharType="separate"/>
      </w:r>
      <w:r w:rsidRPr="00911388">
        <w:rPr>
          <w:rStyle w:val="Hyperlink"/>
          <w:rFonts w:ascii="Garamond" w:hAnsi="Garamond" w:cstheme="majorBidi"/>
          <w:sz w:val="20"/>
          <w:szCs w:val="20"/>
        </w:rPr>
        <w:t>https://doi.org/10.1016/j.jeap.2009.05.001</w:t>
      </w:r>
      <w:r w:rsidRPr="00911388">
        <w:rPr>
          <w:rFonts w:ascii="Garamond" w:hAnsi="Garamond" w:cstheme="majorBidi"/>
          <w:color w:val="0070C0"/>
          <w:sz w:val="20"/>
          <w:szCs w:val="20"/>
        </w:rPr>
        <w:fldChar w:fldCharType="end"/>
      </w:r>
    </w:p>
    <w:p w14:paraId="1F3646A4"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w:t>
      </w:r>
      <w:proofErr w:type="spellStart"/>
      <w:r w:rsidRPr="00911388">
        <w:rPr>
          <w:rFonts w:ascii="Garamond" w:eastAsia="Malgun Gothic" w:hAnsi="Garamond" w:cs="Times New Roman"/>
          <w:color w:val="000000" w:themeColor="text1"/>
          <w:sz w:val="20"/>
          <w:szCs w:val="20"/>
        </w:rPr>
        <w:t>Plakans</w:t>
      </w:r>
      <w:proofErr w:type="spellEnd"/>
      <w:r w:rsidRPr="00911388">
        <w:rPr>
          <w:rFonts w:ascii="Garamond" w:eastAsia="Malgun Gothic" w:hAnsi="Garamond" w:cs="Times New Roman"/>
          <w:color w:val="000000" w:themeColor="text1"/>
          <w:sz w:val="20"/>
          <w:szCs w:val="20"/>
        </w:rPr>
        <w:t xml:space="preserve">, L. (2010). Independent vs. integrated writing tasks: A comparison of task </w:t>
      </w:r>
    </w:p>
    <w:p w14:paraId="0040BD00"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representation. </w:t>
      </w:r>
      <w:r w:rsidRPr="00911388">
        <w:rPr>
          <w:rFonts w:ascii="Garamond" w:eastAsia="Malgun Gothic" w:hAnsi="Garamond" w:cs="Times New Roman"/>
          <w:i/>
          <w:iCs/>
          <w:color w:val="000000" w:themeColor="text1"/>
          <w:sz w:val="20"/>
          <w:szCs w:val="20"/>
        </w:rPr>
        <w:t>TESOL Quarterly</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44</w:t>
      </w:r>
      <w:r w:rsidRPr="00911388">
        <w:rPr>
          <w:rFonts w:ascii="Garamond" w:eastAsia="Malgun Gothic" w:hAnsi="Garamond" w:cs="Times New Roman"/>
          <w:color w:val="000000" w:themeColor="text1"/>
          <w:sz w:val="20"/>
          <w:szCs w:val="20"/>
        </w:rPr>
        <w:t xml:space="preserve">(1), 185–194. </w:t>
      </w:r>
      <w:hyperlink r:id="rId80" w:history="1">
        <w:r w:rsidRPr="00911388">
          <w:rPr>
            <w:rStyle w:val="Hyperlink"/>
            <w:rFonts w:ascii="Garamond" w:eastAsia="Malgun Gothic" w:hAnsi="Garamond" w:cs="Times New Roman"/>
            <w:sz w:val="20"/>
            <w:szCs w:val="20"/>
          </w:rPr>
          <w:t>https://doi.org/10.5054/tq.2010.215251</w:t>
        </w:r>
      </w:hyperlink>
    </w:p>
    <w:p w14:paraId="4E9F5E0C" w14:textId="77777777" w:rsidR="00626EB6" w:rsidRPr="00911388" w:rsidRDefault="00626EB6" w:rsidP="00626EB6">
      <w:pPr>
        <w:rPr>
          <w:rFonts w:ascii="Garamond" w:hAnsi="Garamond" w:cstheme="majorBidi"/>
          <w:color w:val="000000" w:themeColor="text1"/>
          <w:sz w:val="20"/>
          <w:szCs w:val="20"/>
        </w:rPr>
      </w:pPr>
      <w:r w:rsidRPr="00911388">
        <w:rPr>
          <w:rFonts w:ascii="Garamond" w:hAnsi="Garamond" w:cstheme="majorBidi"/>
          <w:color w:val="000000" w:themeColor="text1"/>
          <w:sz w:val="20"/>
          <w:szCs w:val="20"/>
        </w:rPr>
        <w:t>*</w:t>
      </w:r>
      <w:proofErr w:type="spellStart"/>
      <w:r w:rsidRPr="00911388">
        <w:rPr>
          <w:rFonts w:ascii="Garamond" w:hAnsi="Garamond" w:cstheme="majorBidi"/>
          <w:color w:val="000000" w:themeColor="text1"/>
          <w:sz w:val="20"/>
          <w:szCs w:val="20"/>
        </w:rPr>
        <w:t>Plakans</w:t>
      </w:r>
      <w:proofErr w:type="spellEnd"/>
      <w:r w:rsidRPr="00911388">
        <w:rPr>
          <w:rFonts w:ascii="Garamond" w:hAnsi="Garamond" w:cstheme="majorBidi"/>
          <w:color w:val="000000" w:themeColor="text1"/>
          <w:sz w:val="20"/>
          <w:szCs w:val="20"/>
        </w:rPr>
        <w:t xml:space="preserve">, L., &amp; Gebril, A. (2012). A close investigation into source use in integrated second </w:t>
      </w:r>
    </w:p>
    <w:p w14:paraId="52E7E347"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hAnsi="Garamond" w:cstheme="majorBidi"/>
          <w:color w:val="000000" w:themeColor="text1"/>
          <w:sz w:val="20"/>
          <w:szCs w:val="20"/>
        </w:rPr>
        <w:t xml:space="preserve">language writing tasks. </w:t>
      </w:r>
      <w:r w:rsidRPr="00911388">
        <w:rPr>
          <w:rFonts w:ascii="Garamond" w:hAnsi="Garamond" w:cstheme="majorBidi"/>
          <w:i/>
          <w:iCs/>
          <w:color w:val="000000" w:themeColor="text1"/>
          <w:sz w:val="20"/>
          <w:szCs w:val="20"/>
        </w:rPr>
        <w:t>Assessing Writing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17</w:t>
      </w:r>
      <w:r w:rsidRPr="00911388">
        <w:rPr>
          <w:rFonts w:ascii="Garamond" w:hAnsi="Garamond" w:cstheme="majorBidi"/>
          <w:color w:val="000000" w:themeColor="text1"/>
          <w:sz w:val="20"/>
          <w:szCs w:val="20"/>
        </w:rPr>
        <w:t xml:space="preserve">(1), 18–34. </w:t>
      </w:r>
      <w:hyperlink r:id="rId81" w:history="1">
        <w:r w:rsidRPr="00911388">
          <w:rPr>
            <w:rStyle w:val="Hyperlink"/>
            <w:rFonts w:ascii="Garamond" w:hAnsi="Garamond" w:cstheme="majorBidi"/>
            <w:sz w:val="20"/>
            <w:szCs w:val="20"/>
          </w:rPr>
          <w:t>https://doi.org/10.1016/j.asw.2011.09.002</w:t>
        </w:r>
      </w:hyperlink>
    </w:p>
    <w:p w14:paraId="2506F8C1"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w:t>
      </w:r>
      <w:proofErr w:type="spellStart"/>
      <w:r w:rsidRPr="00911388">
        <w:rPr>
          <w:rFonts w:ascii="Garamond" w:eastAsia="Malgun Gothic" w:hAnsi="Garamond" w:cs="Times New Roman"/>
          <w:color w:val="000000" w:themeColor="text1"/>
          <w:sz w:val="20"/>
          <w:szCs w:val="20"/>
        </w:rPr>
        <w:t>Plakans</w:t>
      </w:r>
      <w:proofErr w:type="spellEnd"/>
      <w:r w:rsidRPr="00911388">
        <w:rPr>
          <w:rFonts w:ascii="Garamond" w:eastAsia="Malgun Gothic" w:hAnsi="Garamond" w:cs="Times New Roman"/>
          <w:color w:val="000000" w:themeColor="text1"/>
          <w:sz w:val="20"/>
          <w:szCs w:val="20"/>
        </w:rPr>
        <w:t xml:space="preserve">, L., &amp; Gebril, A. (2013). Using multiple texts in an integrated writing assessment: </w:t>
      </w:r>
    </w:p>
    <w:p w14:paraId="1781D56A"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Source text use as a predictor of score. </w:t>
      </w:r>
      <w:r w:rsidRPr="00911388">
        <w:rPr>
          <w:rFonts w:ascii="Garamond" w:eastAsia="Malgun Gothic" w:hAnsi="Garamond" w:cs="Times New Roman"/>
          <w:i/>
          <w:iCs/>
          <w:color w:val="000000" w:themeColor="text1"/>
          <w:sz w:val="20"/>
          <w:szCs w:val="20"/>
        </w:rPr>
        <w:t>Journal of Second 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22</w:t>
      </w:r>
      <w:r w:rsidRPr="00911388">
        <w:rPr>
          <w:rFonts w:ascii="Garamond" w:eastAsia="Malgun Gothic" w:hAnsi="Garamond" w:cs="Times New Roman"/>
          <w:color w:val="000000" w:themeColor="text1"/>
          <w:sz w:val="20"/>
          <w:szCs w:val="20"/>
        </w:rPr>
        <w:t xml:space="preserve">(3), 217–230. </w:t>
      </w:r>
      <w:hyperlink r:id="rId82" w:history="1">
        <w:r w:rsidRPr="00911388">
          <w:rPr>
            <w:rStyle w:val="Hyperlink"/>
            <w:rFonts w:ascii="Garamond" w:eastAsia="Malgun Gothic" w:hAnsi="Garamond" w:cs="Times New Roman"/>
            <w:sz w:val="20"/>
            <w:szCs w:val="20"/>
          </w:rPr>
          <w:t>https://doi.org/10.1016/j.jslw.2013.02.003</w:t>
        </w:r>
      </w:hyperlink>
    </w:p>
    <w:p w14:paraId="6AE4FA0E"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w:t>
      </w:r>
      <w:proofErr w:type="spellStart"/>
      <w:r w:rsidRPr="00911388">
        <w:rPr>
          <w:rFonts w:ascii="Garamond" w:eastAsia="Malgun Gothic" w:hAnsi="Garamond" w:cs="Times New Roman"/>
          <w:color w:val="000000" w:themeColor="text1"/>
          <w:sz w:val="20"/>
          <w:szCs w:val="20"/>
        </w:rPr>
        <w:t>Plakans</w:t>
      </w:r>
      <w:proofErr w:type="spellEnd"/>
      <w:r w:rsidRPr="00911388">
        <w:rPr>
          <w:rFonts w:ascii="Garamond" w:eastAsia="Malgun Gothic" w:hAnsi="Garamond" w:cs="Times New Roman"/>
          <w:color w:val="000000" w:themeColor="text1"/>
          <w:sz w:val="20"/>
          <w:szCs w:val="20"/>
        </w:rPr>
        <w:t xml:space="preserve">, L., &amp; Gebril, A. (2017). Exploring the relationship of organization and connection </w:t>
      </w:r>
    </w:p>
    <w:p w14:paraId="6D59CDEA"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with scores in integrated writing assessment. </w:t>
      </w:r>
      <w:r w:rsidRPr="00911388">
        <w:rPr>
          <w:rFonts w:ascii="Garamond" w:eastAsia="Malgun Gothic" w:hAnsi="Garamond" w:cs="Times New Roman"/>
          <w:i/>
          <w:iCs/>
          <w:color w:val="000000" w:themeColor="text1"/>
          <w:sz w:val="20"/>
          <w:szCs w:val="20"/>
        </w:rPr>
        <w:t>Assessing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31</w:t>
      </w:r>
      <w:r w:rsidRPr="00911388">
        <w:rPr>
          <w:rFonts w:ascii="Garamond" w:eastAsia="Malgun Gothic" w:hAnsi="Garamond" w:cs="Times New Roman"/>
          <w:color w:val="000000" w:themeColor="text1"/>
          <w:sz w:val="20"/>
          <w:szCs w:val="20"/>
        </w:rPr>
        <w:t>, 98–112.</w:t>
      </w:r>
    </w:p>
    <w:p w14:paraId="293D7A54" w14:textId="77777777" w:rsidR="00626EB6" w:rsidRPr="00911388" w:rsidRDefault="00626EB6" w:rsidP="00626EB6">
      <w:pPr>
        <w:ind w:firstLine="720"/>
        <w:rPr>
          <w:rFonts w:ascii="Garamond" w:eastAsia="Malgun Gothic" w:hAnsi="Garamond" w:cs="Times New Roman"/>
          <w:color w:val="000000" w:themeColor="text1"/>
          <w:sz w:val="20"/>
          <w:szCs w:val="20"/>
        </w:rPr>
      </w:pPr>
      <w:hyperlink r:id="rId83" w:history="1">
        <w:r w:rsidRPr="00911388">
          <w:rPr>
            <w:rStyle w:val="Hyperlink"/>
            <w:rFonts w:ascii="Garamond" w:eastAsia="Malgun Gothic" w:hAnsi="Garamond" w:cs="Times New Roman"/>
            <w:sz w:val="20"/>
            <w:szCs w:val="20"/>
          </w:rPr>
          <w:t>https://doi.org/10.1016/j.asw.2016.08.005</w:t>
        </w:r>
      </w:hyperlink>
    </w:p>
    <w:p w14:paraId="368AA6C8"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w:t>
      </w:r>
      <w:proofErr w:type="spellStart"/>
      <w:r w:rsidRPr="00911388">
        <w:rPr>
          <w:rFonts w:ascii="Garamond" w:eastAsia="Malgun Gothic" w:hAnsi="Garamond" w:cs="Times New Roman"/>
          <w:color w:val="000000" w:themeColor="text1"/>
          <w:sz w:val="20"/>
          <w:szCs w:val="20"/>
        </w:rPr>
        <w:t>Plakans</w:t>
      </w:r>
      <w:proofErr w:type="spellEnd"/>
      <w:r w:rsidRPr="00911388">
        <w:rPr>
          <w:rFonts w:ascii="Garamond" w:eastAsia="Malgun Gothic" w:hAnsi="Garamond" w:cs="Times New Roman"/>
          <w:color w:val="000000" w:themeColor="text1"/>
          <w:sz w:val="20"/>
          <w:szCs w:val="20"/>
        </w:rPr>
        <w:t xml:space="preserve">, L., Liao, J.-T., &amp; Wang, F. (2019). “I should summarize this whole paragraph”: Shared </w:t>
      </w:r>
    </w:p>
    <w:p w14:paraId="002D1E54"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processes of reading and writing in iterative integrated assessment tasks. </w:t>
      </w:r>
      <w:r w:rsidRPr="00911388">
        <w:rPr>
          <w:rFonts w:ascii="Garamond" w:eastAsia="Malgun Gothic" w:hAnsi="Garamond" w:cs="Times New Roman"/>
          <w:i/>
          <w:iCs/>
          <w:color w:val="000000" w:themeColor="text1"/>
          <w:sz w:val="20"/>
          <w:szCs w:val="20"/>
        </w:rPr>
        <w:t>Assessing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40</w:t>
      </w:r>
      <w:r w:rsidRPr="00911388">
        <w:rPr>
          <w:rFonts w:ascii="Garamond" w:eastAsia="Malgun Gothic" w:hAnsi="Garamond" w:cs="Times New Roman"/>
          <w:color w:val="000000" w:themeColor="text1"/>
          <w:sz w:val="20"/>
          <w:szCs w:val="20"/>
        </w:rPr>
        <w:t xml:space="preserve">, 14–26. </w:t>
      </w:r>
      <w:hyperlink r:id="rId84" w:history="1">
        <w:r w:rsidRPr="00911388">
          <w:rPr>
            <w:rStyle w:val="Hyperlink"/>
            <w:rFonts w:ascii="Garamond" w:eastAsia="Malgun Gothic" w:hAnsi="Garamond" w:cs="Times New Roman"/>
            <w:sz w:val="20"/>
            <w:szCs w:val="20"/>
          </w:rPr>
          <w:t>https://doi.org/10.1016/j.asw.2019.03.003</w:t>
        </w:r>
      </w:hyperlink>
    </w:p>
    <w:p w14:paraId="5DF11D8F"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*Pomerantz, A., &amp; Kearney, E. (2012). Beyond ‘write-talk-revise-(repeat)’: Using narrative to </w:t>
      </w:r>
    </w:p>
    <w:p w14:paraId="0607D4C4" w14:textId="77777777" w:rsidR="00626EB6" w:rsidRPr="00911388" w:rsidRDefault="00626EB6" w:rsidP="00626EB6">
      <w:pPr>
        <w:ind w:firstLine="720"/>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understand one multilingual student’s interactions around writing. </w:t>
      </w:r>
      <w:r w:rsidRPr="00911388">
        <w:rPr>
          <w:rFonts w:ascii="Garamond" w:eastAsia="Malgun Gothic" w:hAnsi="Garamond" w:cs="Times New Roman"/>
          <w:i/>
          <w:iCs/>
          <w:color w:val="000000" w:themeColor="text1"/>
          <w:sz w:val="20"/>
          <w:szCs w:val="20"/>
        </w:rPr>
        <w:t xml:space="preserve">Journal of Second </w:t>
      </w:r>
    </w:p>
    <w:p w14:paraId="757A0E95"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21</w:t>
      </w:r>
      <w:r w:rsidRPr="00911388">
        <w:rPr>
          <w:rFonts w:ascii="Garamond" w:eastAsia="Malgun Gothic" w:hAnsi="Garamond" w:cs="Times New Roman"/>
          <w:color w:val="000000" w:themeColor="text1"/>
          <w:sz w:val="20"/>
          <w:szCs w:val="20"/>
        </w:rPr>
        <w:t xml:space="preserve">(3), 221–238. </w:t>
      </w:r>
      <w:hyperlink r:id="rId85" w:history="1">
        <w:r w:rsidRPr="00911388">
          <w:rPr>
            <w:rStyle w:val="Hyperlink"/>
            <w:rFonts w:ascii="Garamond" w:eastAsia="Malgun Gothic" w:hAnsi="Garamond" w:cs="Times New Roman"/>
            <w:sz w:val="20"/>
            <w:szCs w:val="20"/>
          </w:rPr>
          <w:t>https://doi.org/10.1016/j.jslw.2012.05.013</w:t>
        </w:r>
      </w:hyperlink>
    </w:p>
    <w:p w14:paraId="668E70D9"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Riazi, A. (1997). Acquiring disciplinary literacy: A social-cognitive analysis of text production </w:t>
      </w:r>
    </w:p>
    <w:p w14:paraId="018C254E"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and learning among Iranian graduate students of education. </w:t>
      </w:r>
      <w:r w:rsidRPr="00911388">
        <w:rPr>
          <w:rFonts w:ascii="Garamond" w:eastAsia="Malgun Gothic" w:hAnsi="Garamond" w:cs="Times New Roman"/>
          <w:i/>
          <w:iCs/>
          <w:color w:val="000000" w:themeColor="text1"/>
          <w:sz w:val="20"/>
          <w:szCs w:val="20"/>
        </w:rPr>
        <w:t>Journal of Second 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6</w:t>
      </w:r>
      <w:r w:rsidRPr="00911388">
        <w:rPr>
          <w:rFonts w:ascii="Garamond" w:eastAsia="Malgun Gothic" w:hAnsi="Garamond" w:cs="Times New Roman"/>
          <w:color w:val="000000" w:themeColor="text1"/>
          <w:sz w:val="20"/>
          <w:szCs w:val="20"/>
        </w:rPr>
        <w:t xml:space="preserve">(2), 105–137. </w:t>
      </w:r>
      <w:hyperlink r:id="rId86" w:history="1">
        <w:r w:rsidRPr="00911388">
          <w:rPr>
            <w:rStyle w:val="Hyperlink"/>
            <w:rFonts w:ascii="Garamond" w:eastAsia="Malgun Gothic" w:hAnsi="Garamond" w:cs="Times New Roman"/>
            <w:sz w:val="20"/>
            <w:szCs w:val="20"/>
          </w:rPr>
          <w:t>https://doi.org/10.1016/S1060-3743(97)90030-8</w:t>
        </w:r>
      </w:hyperlink>
    </w:p>
    <w:p w14:paraId="787FC719"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Riazi, M., Shi, L., &amp; Haggerty, J. (2018). Analysis of the empirical research in the journal of </w:t>
      </w:r>
    </w:p>
    <w:p w14:paraId="5905F8E7" w14:textId="77777777" w:rsidR="00626EB6" w:rsidRPr="00911388" w:rsidRDefault="00626EB6" w:rsidP="00626EB6">
      <w:pPr>
        <w:ind w:left="720"/>
        <w:rPr>
          <w:rFonts w:ascii="Garamond" w:hAnsi="Garamond"/>
          <w:sz w:val="20"/>
          <w:szCs w:val="20"/>
        </w:rPr>
      </w:pPr>
      <w:r w:rsidRPr="00911388">
        <w:rPr>
          <w:rFonts w:ascii="Garamond" w:eastAsia="Malgun Gothic" w:hAnsi="Garamond" w:cs="Times New Roman"/>
          <w:color w:val="000000" w:themeColor="text1"/>
          <w:sz w:val="20"/>
          <w:szCs w:val="20"/>
        </w:rPr>
        <w:t xml:space="preserve">second language writing at its 25th year (1992–2016). </w:t>
      </w:r>
      <w:r w:rsidRPr="00911388">
        <w:rPr>
          <w:rFonts w:ascii="Garamond" w:eastAsia="Malgun Gothic" w:hAnsi="Garamond" w:cs="Times New Roman"/>
          <w:i/>
          <w:iCs/>
          <w:color w:val="000000" w:themeColor="text1"/>
          <w:sz w:val="20"/>
          <w:szCs w:val="20"/>
        </w:rPr>
        <w:t>Journal of Second 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41</w:t>
      </w:r>
      <w:r w:rsidRPr="00911388">
        <w:rPr>
          <w:rFonts w:ascii="Garamond" w:eastAsia="Malgun Gothic" w:hAnsi="Garamond" w:cs="Times New Roman"/>
          <w:color w:val="000000" w:themeColor="text1"/>
          <w:sz w:val="20"/>
          <w:szCs w:val="20"/>
        </w:rPr>
        <w:t xml:space="preserve">, 41–54. </w:t>
      </w:r>
      <w:hyperlink r:id="rId87" w:history="1">
        <w:r w:rsidRPr="00911388">
          <w:rPr>
            <w:rStyle w:val="Hyperlink"/>
            <w:rFonts w:ascii="Garamond" w:eastAsia="Malgun Gothic" w:hAnsi="Garamond" w:cs="Times New Roman"/>
            <w:sz w:val="20"/>
            <w:szCs w:val="20"/>
          </w:rPr>
          <w:t>https://doi.org/10.1016/j.jslw.2018.07.002</w:t>
        </w:r>
      </w:hyperlink>
    </w:p>
    <w:p w14:paraId="552A8DA8" w14:textId="77777777" w:rsidR="00626EB6" w:rsidRPr="00911388" w:rsidRDefault="00626EB6" w:rsidP="00626EB6">
      <w:pPr>
        <w:pStyle w:val="Bibliography"/>
        <w:rPr>
          <w:rFonts w:ascii="Garamond" w:hAnsi="Garamond" w:cs="Times New Roman"/>
          <w:i/>
          <w:iCs/>
          <w:sz w:val="20"/>
          <w:szCs w:val="20"/>
        </w:rPr>
      </w:pPr>
      <w:r w:rsidRPr="00911388">
        <w:rPr>
          <w:rFonts w:ascii="Garamond" w:hAnsi="Garamond" w:cs="Times New Roman"/>
          <w:sz w:val="20"/>
          <w:szCs w:val="20"/>
        </w:rPr>
        <w:t xml:space="preserve">Rutemeyer, M. E. (2024). Learner agency and investment in a basic language program. </w:t>
      </w:r>
      <w:r w:rsidRPr="00911388">
        <w:rPr>
          <w:rFonts w:ascii="Garamond" w:hAnsi="Garamond" w:cs="Times New Roman"/>
          <w:i/>
          <w:iCs/>
          <w:sz w:val="20"/>
          <w:szCs w:val="20"/>
        </w:rPr>
        <w:t xml:space="preserve">Second </w:t>
      </w:r>
    </w:p>
    <w:p w14:paraId="5C895AC5" w14:textId="77777777" w:rsidR="00626EB6" w:rsidRPr="00911388" w:rsidRDefault="00626EB6" w:rsidP="00626EB6">
      <w:pPr>
        <w:pStyle w:val="Bibliography"/>
        <w:ind w:firstLine="720"/>
        <w:rPr>
          <w:rFonts w:ascii="Garamond" w:hAnsi="Garamond" w:cs="Times New Roman"/>
          <w:sz w:val="20"/>
          <w:szCs w:val="20"/>
        </w:rPr>
      </w:pPr>
      <w:r w:rsidRPr="00911388">
        <w:rPr>
          <w:rFonts w:ascii="Garamond" w:hAnsi="Garamond" w:cs="Times New Roman"/>
          <w:i/>
          <w:iCs/>
          <w:sz w:val="20"/>
          <w:szCs w:val="20"/>
        </w:rPr>
        <w:t>Language Research &amp; Practice</w:t>
      </w:r>
      <w:r w:rsidRPr="00911388">
        <w:rPr>
          <w:rFonts w:ascii="Garamond" w:hAnsi="Garamond" w:cs="Times New Roman"/>
          <w:sz w:val="20"/>
          <w:szCs w:val="20"/>
        </w:rPr>
        <w:t xml:space="preserve">, </w:t>
      </w:r>
      <w:r w:rsidRPr="00911388">
        <w:rPr>
          <w:rFonts w:ascii="Garamond" w:hAnsi="Garamond" w:cs="Times New Roman"/>
          <w:i/>
          <w:iCs/>
          <w:sz w:val="20"/>
          <w:szCs w:val="20"/>
        </w:rPr>
        <w:t>5</w:t>
      </w:r>
      <w:r w:rsidRPr="00911388">
        <w:rPr>
          <w:rFonts w:ascii="Garamond" w:hAnsi="Garamond" w:cs="Times New Roman"/>
          <w:sz w:val="20"/>
          <w:szCs w:val="20"/>
        </w:rPr>
        <w:t xml:space="preserve">(1), 112–132. </w:t>
      </w:r>
      <w:hyperlink r:id="rId88" w:history="1">
        <w:r w:rsidRPr="00911388">
          <w:rPr>
            <w:rStyle w:val="Hyperlink"/>
            <w:rFonts w:ascii="Garamond" w:hAnsi="Garamond" w:cs="Times New Roman"/>
            <w:sz w:val="20"/>
            <w:szCs w:val="20"/>
          </w:rPr>
          <w:t>https://hdl.handle.net/10125/69891</w:t>
        </w:r>
      </w:hyperlink>
    </w:p>
    <w:p w14:paraId="1C6C1142"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*Safari, F., &amp; Ahmadi, A. (2023). Developing and evaluating an </w:t>
      </w:r>
      <w:proofErr w:type="gramStart"/>
      <w:r w:rsidRPr="00911388">
        <w:rPr>
          <w:rFonts w:ascii="Garamond" w:hAnsi="Garamond" w:cstheme="majorBidi"/>
          <w:color w:val="000000" w:themeColor="text1"/>
          <w:sz w:val="20"/>
          <w:szCs w:val="20"/>
        </w:rPr>
        <w:t>empirically-based</w:t>
      </w:r>
      <w:proofErr w:type="gramEnd"/>
      <w:r w:rsidRPr="00911388">
        <w:rPr>
          <w:rFonts w:ascii="Garamond" w:hAnsi="Garamond" w:cstheme="majorBidi"/>
          <w:color w:val="000000" w:themeColor="text1"/>
          <w:sz w:val="20"/>
          <w:szCs w:val="20"/>
        </w:rPr>
        <w:t xml:space="preserve"> diagnostic checklist for assessing second language integrated writing. </w:t>
      </w:r>
      <w:r w:rsidRPr="00911388">
        <w:rPr>
          <w:rFonts w:ascii="Garamond" w:hAnsi="Garamond" w:cstheme="majorBidi"/>
          <w:i/>
          <w:iCs/>
          <w:color w:val="000000" w:themeColor="text1"/>
          <w:sz w:val="20"/>
          <w:szCs w:val="20"/>
        </w:rPr>
        <w:t>Journal of Second Language Writing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60</w:t>
      </w:r>
      <w:r w:rsidRPr="00911388">
        <w:rPr>
          <w:rFonts w:ascii="Garamond" w:hAnsi="Garamond" w:cstheme="majorBidi"/>
          <w:color w:val="000000" w:themeColor="text1"/>
          <w:sz w:val="20"/>
          <w:szCs w:val="20"/>
        </w:rPr>
        <w:t xml:space="preserve">, Article 101007. </w:t>
      </w:r>
      <w:hyperlink r:id="rId89" w:tgtFrame="_blank" w:tooltip="Persistent link using digital object identifier" w:history="1">
        <w:r w:rsidRPr="00911388">
          <w:rPr>
            <w:rStyle w:val="Hyperlink"/>
            <w:rFonts w:ascii="Garamond" w:hAnsi="Garamond" w:cstheme="majorBidi"/>
            <w:color w:val="0070C0"/>
            <w:sz w:val="20"/>
            <w:szCs w:val="20"/>
          </w:rPr>
          <w:t>https://doi.org/10.1016/j.jslw.2023.101007</w:t>
        </w:r>
      </w:hyperlink>
    </w:p>
    <w:p w14:paraId="78DED4B5"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*Schneider, J. (2022). Writing strategies as acts of identity. </w:t>
      </w:r>
      <w:r w:rsidRPr="00911388">
        <w:rPr>
          <w:rFonts w:ascii="Garamond" w:eastAsia="Malgun Gothic" w:hAnsi="Garamond" w:cs="Times New Roman"/>
          <w:i/>
          <w:iCs/>
          <w:color w:val="000000" w:themeColor="text1"/>
          <w:sz w:val="20"/>
          <w:szCs w:val="20"/>
        </w:rPr>
        <w:t>TESOL Quarterly</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56</w:t>
      </w:r>
      <w:r w:rsidRPr="00911388">
        <w:rPr>
          <w:rFonts w:ascii="Garamond" w:eastAsia="Malgun Gothic" w:hAnsi="Garamond" w:cs="Times New Roman"/>
          <w:color w:val="000000" w:themeColor="text1"/>
          <w:sz w:val="20"/>
          <w:szCs w:val="20"/>
        </w:rPr>
        <w:t xml:space="preserve">(1), 230–253. </w:t>
      </w:r>
    </w:p>
    <w:p w14:paraId="17932BC0" w14:textId="77777777" w:rsidR="00626EB6" w:rsidRPr="00911388" w:rsidRDefault="00626EB6" w:rsidP="00626EB6">
      <w:pPr>
        <w:ind w:firstLine="720"/>
        <w:rPr>
          <w:rFonts w:ascii="Garamond" w:eastAsia="Malgun Gothic" w:hAnsi="Garamond" w:cs="Times New Roman"/>
          <w:color w:val="000000" w:themeColor="text1"/>
          <w:sz w:val="20"/>
          <w:szCs w:val="20"/>
        </w:rPr>
      </w:pPr>
      <w:hyperlink r:id="rId90" w:history="1">
        <w:r w:rsidRPr="00911388">
          <w:rPr>
            <w:rStyle w:val="Hyperlink"/>
            <w:rFonts w:ascii="Garamond" w:eastAsia="Malgun Gothic" w:hAnsi="Garamond" w:cs="Times New Roman"/>
            <w:sz w:val="20"/>
            <w:szCs w:val="20"/>
          </w:rPr>
          <w:t>https://doi.org/10.1002/tesq.3061</w:t>
        </w:r>
      </w:hyperlink>
    </w:p>
    <w:p w14:paraId="0402324E"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w:t>
      </w:r>
      <w:proofErr w:type="spellStart"/>
      <w:r w:rsidRPr="00911388">
        <w:rPr>
          <w:rFonts w:ascii="Garamond" w:eastAsia="Malgun Gothic" w:hAnsi="Garamond" w:cs="Times New Roman"/>
          <w:color w:val="000000" w:themeColor="text1"/>
          <w:sz w:val="20"/>
          <w:szCs w:val="20"/>
        </w:rPr>
        <w:t>Seloni</w:t>
      </w:r>
      <w:proofErr w:type="spellEnd"/>
      <w:r w:rsidRPr="00911388">
        <w:rPr>
          <w:rFonts w:ascii="Garamond" w:eastAsia="Malgun Gothic" w:hAnsi="Garamond" w:cs="Times New Roman"/>
          <w:color w:val="000000" w:themeColor="text1"/>
          <w:sz w:val="20"/>
          <w:szCs w:val="20"/>
        </w:rPr>
        <w:t xml:space="preserve">, L. (2014). “I’m an artist and a scholar who is trying to find a middle point”: A </w:t>
      </w:r>
    </w:p>
    <w:p w14:paraId="63508DBC" w14:textId="77777777" w:rsidR="00626EB6" w:rsidRPr="00911388" w:rsidRDefault="00626EB6" w:rsidP="00626EB6">
      <w:pPr>
        <w:ind w:left="720"/>
        <w:rPr>
          <w:rFonts w:ascii="Garamond" w:eastAsia="Malgun Gothic" w:hAnsi="Garamond" w:cs="Times New Roman"/>
          <w:color w:val="000000" w:themeColor="text1"/>
          <w:sz w:val="20"/>
          <w:szCs w:val="20"/>
        </w:rPr>
      </w:pPr>
      <w:proofErr w:type="spellStart"/>
      <w:r w:rsidRPr="00911388">
        <w:rPr>
          <w:rFonts w:ascii="Garamond" w:eastAsia="Malgun Gothic" w:hAnsi="Garamond" w:cs="Times New Roman"/>
          <w:color w:val="000000" w:themeColor="text1"/>
          <w:sz w:val="20"/>
          <w:szCs w:val="20"/>
        </w:rPr>
        <w:t>textographic</w:t>
      </w:r>
      <w:proofErr w:type="spellEnd"/>
      <w:r w:rsidRPr="00911388">
        <w:rPr>
          <w:rFonts w:ascii="Garamond" w:eastAsia="Malgun Gothic" w:hAnsi="Garamond" w:cs="Times New Roman"/>
          <w:color w:val="000000" w:themeColor="text1"/>
          <w:sz w:val="20"/>
          <w:szCs w:val="20"/>
        </w:rPr>
        <w:t xml:space="preserve"> analysis of a Colombian art historian’s thesis writing. </w:t>
      </w:r>
      <w:r w:rsidRPr="00911388">
        <w:rPr>
          <w:rFonts w:ascii="Garamond" w:eastAsia="Malgun Gothic" w:hAnsi="Garamond" w:cs="Times New Roman"/>
          <w:i/>
          <w:iCs/>
          <w:color w:val="000000" w:themeColor="text1"/>
          <w:sz w:val="20"/>
          <w:szCs w:val="20"/>
        </w:rPr>
        <w:t>Journal of Second 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25</w:t>
      </w:r>
      <w:r w:rsidRPr="00911388">
        <w:rPr>
          <w:rFonts w:ascii="Garamond" w:eastAsia="Malgun Gothic" w:hAnsi="Garamond" w:cs="Times New Roman"/>
          <w:color w:val="000000" w:themeColor="text1"/>
          <w:sz w:val="20"/>
          <w:szCs w:val="20"/>
        </w:rPr>
        <w:t xml:space="preserve">, 79–99. </w:t>
      </w:r>
      <w:hyperlink r:id="rId91" w:history="1">
        <w:r w:rsidRPr="00911388">
          <w:rPr>
            <w:rStyle w:val="Hyperlink"/>
            <w:rFonts w:ascii="Garamond" w:eastAsia="Malgun Gothic" w:hAnsi="Garamond" w:cs="Times New Roman"/>
            <w:sz w:val="20"/>
            <w:szCs w:val="20"/>
          </w:rPr>
          <w:t>https://doi.org/10.1016/j.jslw.2014.06.001</w:t>
        </w:r>
      </w:hyperlink>
    </w:p>
    <w:p w14:paraId="245A565E" w14:textId="77777777" w:rsidR="00626EB6" w:rsidRPr="00911388" w:rsidRDefault="00626EB6" w:rsidP="00626EB6">
      <w:pPr>
        <w:pStyle w:val="Bibliography"/>
        <w:ind w:left="720" w:hanging="720"/>
        <w:rPr>
          <w:rFonts w:ascii="Garamond" w:hAnsi="Garamond" w:cstheme="majorBidi"/>
          <w:color w:val="000000" w:themeColor="text1"/>
          <w:sz w:val="20"/>
          <w:szCs w:val="20"/>
        </w:rPr>
      </w:pPr>
      <w:bookmarkStart w:id="14" w:name="_Hlk173777186"/>
      <w:r w:rsidRPr="00911388">
        <w:rPr>
          <w:rFonts w:ascii="Garamond" w:hAnsi="Garamond" w:cstheme="majorBidi"/>
          <w:color w:val="000000" w:themeColor="text1"/>
          <w:sz w:val="20"/>
          <w:szCs w:val="20"/>
        </w:rPr>
        <w:t xml:space="preserve">*Shin, S.-Y., &amp; Ewert, D. (2015). What accounts for integrated reading-to-write task scores? </w:t>
      </w:r>
      <w:r w:rsidRPr="00911388">
        <w:rPr>
          <w:rFonts w:ascii="Garamond" w:hAnsi="Garamond" w:cstheme="majorBidi"/>
          <w:i/>
          <w:iCs/>
          <w:color w:val="000000" w:themeColor="text1"/>
          <w:sz w:val="20"/>
          <w:szCs w:val="20"/>
        </w:rPr>
        <w:t>Language Testing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32</w:t>
      </w:r>
      <w:r w:rsidRPr="00911388">
        <w:rPr>
          <w:rFonts w:ascii="Garamond" w:hAnsi="Garamond" w:cstheme="majorBidi"/>
          <w:color w:val="000000" w:themeColor="text1"/>
          <w:sz w:val="20"/>
          <w:szCs w:val="20"/>
        </w:rPr>
        <w:t>(2), 259–281.</w:t>
      </w:r>
      <w:bookmarkEnd w:id="14"/>
      <w:r w:rsidRPr="00911388">
        <w:rPr>
          <w:rFonts w:ascii="Garamond" w:hAnsi="Garamond" w:cstheme="majorBidi"/>
          <w:color w:val="000000" w:themeColor="text1"/>
          <w:sz w:val="20"/>
          <w:szCs w:val="20"/>
        </w:rPr>
        <w:t xml:space="preserve"> </w:t>
      </w:r>
      <w:hyperlink r:id="rId92" w:history="1">
        <w:r w:rsidRPr="00911388">
          <w:rPr>
            <w:rStyle w:val="Hyperlink"/>
            <w:rFonts w:ascii="Garamond" w:hAnsi="Garamond" w:cstheme="majorBidi"/>
            <w:color w:val="0070C0"/>
            <w:sz w:val="20"/>
            <w:szCs w:val="20"/>
          </w:rPr>
          <w:t>https://doi.org/10.1177/0265532214560257</w:t>
        </w:r>
      </w:hyperlink>
    </w:p>
    <w:p w14:paraId="38B00B4C"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Spivey, N. (1984). </w:t>
      </w:r>
      <w:r w:rsidRPr="00911388">
        <w:rPr>
          <w:rFonts w:ascii="Garamond" w:eastAsia="Malgun Gothic" w:hAnsi="Garamond" w:cs="Times New Roman"/>
          <w:i/>
          <w:iCs/>
          <w:color w:val="000000" w:themeColor="text1"/>
          <w:sz w:val="20"/>
          <w:szCs w:val="20"/>
        </w:rPr>
        <w:t>Discourse synthesis: Constructing texts in reading and writing</w:t>
      </w:r>
      <w:r w:rsidRPr="00911388">
        <w:rPr>
          <w:rFonts w:ascii="Garamond" w:eastAsia="Malgun Gothic" w:hAnsi="Garamond" w:cs="Times New Roman"/>
          <w:color w:val="000000" w:themeColor="text1"/>
          <w:sz w:val="20"/>
          <w:szCs w:val="20"/>
        </w:rPr>
        <w:t xml:space="preserve">. International </w:t>
      </w:r>
    </w:p>
    <w:p w14:paraId="54AE3075"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Reading Association.</w:t>
      </w:r>
    </w:p>
    <w:p w14:paraId="3985EE24"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*Stapleton, P. (2010). Writing in an electronic age: A case study of L2 composing processes. </w:t>
      </w:r>
    </w:p>
    <w:p w14:paraId="620DBBA9"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lastRenderedPageBreak/>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9</w:t>
      </w:r>
      <w:r w:rsidRPr="00911388">
        <w:rPr>
          <w:rFonts w:ascii="Garamond" w:eastAsia="Malgun Gothic" w:hAnsi="Garamond" w:cs="Times New Roman"/>
          <w:color w:val="000000" w:themeColor="text1"/>
          <w:sz w:val="20"/>
          <w:szCs w:val="20"/>
        </w:rPr>
        <w:t>(4), 295–307.</w:t>
      </w:r>
    </w:p>
    <w:p w14:paraId="43E52167" w14:textId="77777777" w:rsidR="00626EB6" w:rsidRPr="00911388" w:rsidRDefault="00626EB6" w:rsidP="00626EB6">
      <w:pPr>
        <w:ind w:firstLine="720"/>
        <w:rPr>
          <w:rFonts w:ascii="Garamond" w:eastAsia="Malgun Gothic" w:hAnsi="Garamond" w:cs="Times New Roman"/>
          <w:color w:val="000000" w:themeColor="text1"/>
          <w:sz w:val="20"/>
          <w:szCs w:val="20"/>
        </w:rPr>
      </w:pPr>
      <w:hyperlink r:id="rId93" w:history="1">
        <w:r w:rsidRPr="00911388">
          <w:rPr>
            <w:rStyle w:val="Hyperlink"/>
            <w:rFonts w:ascii="Garamond" w:eastAsia="Malgun Gothic" w:hAnsi="Garamond" w:cs="Times New Roman"/>
            <w:sz w:val="20"/>
            <w:szCs w:val="20"/>
          </w:rPr>
          <w:t>https://doi.org/10.1016/j.jeap.2010.10.002</w:t>
        </w:r>
      </w:hyperlink>
    </w:p>
    <w:p w14:paraId="483F528C"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Sun, Q. (2024). Exploring human-generative AI interaction in L2 learners’ source use practices: </w:t>
      </w:r>
    </w:p>
    <w:p w14:paraId="404E8E70"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Issues, trials, and critical reflections. </w:t>
      </w:r>
      <w:r w:rsidRPr="00911388">
        <w:rPr>
          <w:rFonts w:ascii="Garamond" w:eastAsia="Malgun Gothic" w:hAnsi="Garamond" w:cs="Times New Roman"/>
          <w:i/>
          <w:iCs/>
          <w:color w:val="000000" w:themeColor="text1"/>
          <w:sz w:val="20"/>
          <w:szCs w:val="20"/>
        </w:rPr>
        <w:t>Journal of Academic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14</w:t>
      </w:r>
      <w:r w:rsidRPr="00911388">
        <w:rPr>
          <w:rFonts w:ascii="Garamond" w:eastAsia="Malgun Gothic" w:hAnsi="Garamond" w:cs="Times New Roman"/>
          <w:color w:val="000000" w:themeColor="text1"/>
          <w:sz w:val="20"/>
          <w:szCs w:val="20"/>
        </w:rPr>
        <w:t xml:space="preserve">(1), 24–42. </w:t>
      </w:r>
      <w:hyperlink r:id="rId94" w:history="1">
        <w:r w:rsidRPr="00911388">
          <w:rPr>
            <w:rStyle w:val="Hyperlink"/>
            <w:rFonts w:ascii="Garamond" w:eastAsia="Malgun Gothic" w:hAnsi="Garamond" w:cs="Times New Roman"/>
            <w:sz w:val="20"/>
            <w:szCs w:val="20"/>
          </w:rPr>
          <w:t>https://doi.org/10.18552/joaw.v14i1.1055</w:t>
        </w:r>
      </w:hyperlink>
    </w:p>
    <w:p w14:paraId="20BB46C4"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*Sun, Q., &amp; Soden, B. (2021). International students’ engagement with support in developing </w:t>
      </w:r>
    </w:p>
    <w:p w14:paraId="4B968C24"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source use abilities: A longitudinal case study.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51</w:t>
      </w:r>
      <w:r w:rsidRPr="00911388">
        <w:rPr>
          <w:rFonts w:ascii="Garamond" w:eastAsia="Malgun Gothic" w:hAnsi="Garamond" w:cs="Times New Roman"/>
          <w:color w:val="000000" w:themeColor="text1"/>
          <w:sz w:val="20"/>
          <w:szCs w:val="20"/>
        </w:rPr>
        <w:t xml:space="preserve">, Article 100981. </w:t>
      </w:r>
      <w:hyperlink r:id="rId95" w:history="1">
        <w:r w:rsidRPr="00911388">
          <w:rPr>
            <w:rStyle w:val="Hyperlink"/>
            <w:rFonts w:ascii="Garamond" w:eastAsia="Malgun Gothic" w:hAnsi="Garamond" w:cs="Times New Roman"/>
            <w:sz w:val="20"/>
            <w:szCs w:val="20"/>
          </w:rPr>
          <w:t>https://doi.org/10.1016/j.jeap.2021.100981</w:t>
        </w:r>
      </w:hyperlink>
    </w:p>
    <w:p w14:paraId="698B3118"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Szabó, F., &amp; Szoke, J. (2024). How does generative AI promote autonomy and inclusivity in </w:t>
      </w:r>
    </w:p>
    <w:p w14:paraId="1BE754C4"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language teaching? </w:t>
      </w:r>
      <w:r w:rsidRPr="00911388">
        <w:rPr>
          <w:rFonts w:ascii="Garamond" w:eastAsia="Malgun Gothic" w:hAnsi="Garamond" w:cs="Times New Roman"/>
          <w:i/>
          <w:iCs/>
          <w:color w:val="000000" w:themeColor="text1"/>
          <w:sz w:val="20"/>
          <w:szCs w:val="20"/>
        </w:rPr>
        <w:t>ELT Journal</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78</w:t>
      </w:r>
      <w:r w:rsidRPr="00911388">
        <w:rPr>
          <w:rFonts w:ascii="Garamond" w:eastAsia="Malgun Gothic" w:hAnsi="Garamond" w:cs="Times New Roman"/>
          <w:color w:val="000000" w:themeColor="text1"/>
          <w:sz w:val="20"/>
          <w:szCs w:val="20"/>
        </w:rPr>
        <w:t>(4), 478</w:t>
      </w:r>
      <w:r w:rsidRPr="00911388">
        <w:rPr>
          <w:rFonts w:ascii="Times New Roman" w:eastAsia="Malgun Gothic" w:hAnsi="Times New Roman" w:cs="Times New Roman"/>
          <w:color w:val="000000" w:themeColor="text1"/>
          <w:sz w:val="20"/>
          <w:szCs w:val="20"/>
        </w:rPr>
        <w:t>‒</w:t>
      </w:r>
      <w:r w:rsidRPr="00911388">
        <w:rPr>
          <w:rFonts w:ascii="Garamond" w:eastAsia="Malgun Gothic" w:hAnsi="Garamond" w:cs="Times New Roman"/>
          <w:color w:val="000000" w:themeColor="text1"/>
          <w:sz w:val="20"/>
          <w:szCs w:val="20"/>
        </w:rPr>
        <w:t xml:space="preserve">488. </w:t>
      </w:r>
      <w:hyperlink r:id="rId96" w:history="1">
        <w:r w:rsidRPr="00911388">
          <w:rPr>
            <w:rStyle w:val="Hyperlink"/>
            <w:rFonts w:ascii="Garamond" w:eastAsia="Malgun Gothic" w:hAnsi="Garamond" w:cs="Times New Roman"/>
            <w:sz w:val="20"/>
            <w:szCs w:val="20"/>
          </w:rPr>
          <w:t>https://doi.org/10.1093/elt/ccae052</w:t>
        </w:r>
      </w:hyperlink>
    </w:p>
    <w:p w14:paraId="14AB9E06"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*Tywoniw, R., &amp; Crossley, S. (2019). The effect of cohesive features in integrated and independent L2 writing quality and text classification. </w:t>
      </w:r>
      <w:r w:rsidRPr="00911388">
        <w:rPr>
          <w:rFonts w:ascii="Garamond" w:hAnsi="Garamond" w:cstheme="majorBidi"/>
          <w:i/>
          <w:iCs/>
          <w:color w:val="000000" w:themeColor="text1"/>
          <w:sz w:val="20"/>
          <w:szCs w:val="20"/>
        </w:rPr>
        <w:t>Language Education and Assessment</w:t>
      </w:r>
      <w:r w:rsidRPr="00911388">
        <w:rPr>
          <w:rFonts w:ascii="Garamond" w:hAnsi="Garamond" w:cstheme="majorBidi"/>
          <w:color w:val="000000" w:themeColor="text1"/>
          <w:sz w:val="20"/>
          <w:szCs w:val="20"/>
        </w:rPr>
        <w:t xml:space="preserve">, </w:t>
      </w:r>
      <w:r w:rsidRPr="00911388">
        <w:rPr>
          <w:rFonts w:ascii="Garamond" w:hAnsi="Garamond" w:cstheme="majorBidi"/>
          <w:i/>
          <w:iCs/>
          <w:color w:val="000000" w:themeColor="text1"/>
          <w:sz w:val="20"/>
          <w:szCs w:val="20"/>
        </w:rPr>
        <w:t>2</w:t>
      </w:r>
      <w:r w:rsidRPr="00911388">
        <w:rPr>
          <w:rFonts w:ascii="Garamond" w:hAnsi="Garamond" w:cstheme="majorBidi"/>
          <w:color w:val="000000" w:themeColor="text1"/>
          <w:sz w:val="20"/>
          <w:szCs w:val="20"/>
        </w:rPr>
        <w:t xml:space="preserve">(3), 110–134. </w:t>
      </w:r>
      <w:hyperlink r:id="rId97" w:history="1">
        <w:r w:rsidRPr="00911388">
          <w:rPr>
            <w:rStyle w:val="Hyperlink"/>
            <w:rFonts w:ascii="Garamond" w:hAnsi="Garamond" w:cstheme="majorBidi"/>
            <w:color w:val="0070C0"/>
            <w:sz w:val="20"/>
            <w:szCs w:val="20"/>
          </w:rPr>
          <w:t>https://doi.org/10.29140/lea.v2n3.151</w:t>
        </w:r>
      </w:hyperlink>
    </w:p>
    <w:p w14:paraId="16DA1636"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w:t>
      </w:r>
      <w:proofErr w:type="spellStart"/>
      <w:r w:rsidRPr="00911388">
        <w:rPr>
          <w:rFonts w:ascii="Garamond" w:eastAsia="Malgun Gothic" w:hAnsi="Garamond" w:cs="Times New Roman"/>
          <w:color w:val="000000" w:themeColor="text1"/>
          <w:sz w:val="20"/>
          <w:szCs w:val="20"/>
        </w:rPr>
        <w:t>Uludag</w:t>
      </w:r>
      <w:proofErr w:type="spellEnd"/>
      <w:r w:rsidRPr="00911388">
        <w:rPr>
          <w:rFonts w:ascii="Garamond" w:eastAsia="Malgun Gothic" w:hAnsi="Garamond" w:cs="Times New Roman"/>
          <w:color w:val="000000" w:themeColor="text1"/>
          <w:sz w:val="20"/>
          <w:szCs w:val="20"/>
        </w:rPr>
        <w:t>, P., Lindberg, R., McDonough, K., &amp; Payant, C. (2019). Exploring L2 writers’ source-</w:t>
      </w:r>
    </w:p>
    <w:p w14:paraId="4792DAC7"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text use in an integrated writing assessment. </w:t>
      </w:r>
      <w:r w:rsidRPr="00911388">
        <w:rPr>
          <w:rFonts w:ascii="Garamond" w:eastAsia="Malgun Gothic" w:hAnsi="Garamond" w:cs="Times New Roman"/>
          <w:i/>
          <w:iCs/>
          <w:color w:val="000000" w:themeColor="text1"/>
          <w:sz w:val="20"/>
          <w:szCs w:val="20"/>
        </w:rPr>
        <w:t>Journal of Second 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46</w:t>
      </w:r>
      <w:r w:rsidRPr="00911388">
        <w:rPr>
          <w:rFonts w:ascii="Garamond" w:eastAsia="Malgun Gothic" w:hAnsi="Garamond" w:cs="Times New Roman"/>
          <w:color w:val="000000" w:themeColor="text1"/>
          <w:sz w:val="20"/>
          <w:szCs w:val="20"/>
        </w:rPr>
        <w:t xml:space="preserve">, Article 100670. </w:t>
      </w:r>
      <w:hyperlink r:id="rId98" w:history="1">
        <w:r w:rsidRPr="00911388">
          <w:rPr>
            <w:rStyle w:val="Hyperlink"/>
            <w:rFonts w:ascii="Garamond" w:eastAsia="Malgun Gothic" w:hAnsi="Garamond" w:cs="Times New Roman"/>
            <w:sz w:val="20"/>
            <w:szCs w:val="20"/>
          </w:rPr>
          <w:t>https://doi.org/10.1016/j.jslw.2019.100670</w:t>
        </w:r>
      </w:hyperlink>
    </w:p>
    <w:p w14:paraId="67DFD0DE"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w:t>
      </w:r>
      <w:proofErr w:type="spellStart"/>
      <w:r w:rsidRPr="00911388">
        <w:rPr>
          <w:rFonts w:ascii="Garamond" w:eastAsia="Malgun Gothic" w:hAnsi="Garamond" w:cs="Times New Roman"/>
          <w:color w:val="000000" w:themeColor="text1"/>
          <w:sz w:val="20"/>
          <w:szCs w:val="20"/>
        </w:rPr>
        <w:t>Uludag</w:t>
      </w:r>
      <w:proofErr w:type="spellEnd"/>
      <w:r w:rsidRPr="00911388">
        <w:rPr>
          <w:rFonts w:ascii="Garamond" w:eastAsia="Malgun Gothic" w:hAnsi="Garamond" w:cs="Times New Roman"/>
          <w:color w:val="000000" w:themeColor="text1"/>
          <w:sz w:val="20"/>
          <w:szCs w:val="20"/>
        </w:rPr>
        <w:t>, P., &amp; McDonough, K. (2022). Exploring EAP instructors’ evaluation of classroom-</w:t>
      </w:r>
    </w:p>
    <w:p w14:paraId="105CC6EB"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based integrated essays. </w:t>
      </w:r>
      <w:r w:rsidRPr="00911388">
        <w:rPr>
          <w:rFonts w:ascii="Garamond" w:eastAsia="Malgun Gothic" w:hAnsi="Garamond" w:cs="Times New Roman"/>
          <w:i/>
          <w:iCs/>
          <w:color w:val="000000" w:themeColor="text1"/>
          <w:sz w:val="20"/>
          <w:szCs w:val="20"/>
        </w:rPr>
        <w:t>TESOL Journal</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13</w:t>
      </w:r>
      <w:r w:rsidRPr="00911388">
        <w:rPr>
          <w:rFonts w:ascii="Garamond" w:eastAsia="Malgun Gothic" w:hAnsi="Garamond" w:cs="Times New Roman"/>
          <w:color w:val="000000" w:themeColor="text1"/>
          <w:sz w:val="20"/>
          <w:szCs w:val="20"/>
        </w:rPr>
        <w:t xml:space="preserve">(3), Article e670. </w:t>
      </w:r>
    </w:p>
    <w:p w14:paraId="5247D8EC" w14:textId="77777777" w:rsidR="00626EB6" w:rsidRPr="00911388" w:rsidRDefault="00626EB6" w:rsidP="00626EB6">
      <w:pPr>
        <w:ind w:firstLine="720"/>
        <w:rPr>
          <w:rFonts w:ascii="Garamond" w:hAnsi="Garamond"/>
          <w:sz w:val="20"/>
          <w:szCs w:val="20"/>
        </w:rPr>
      </w:pPr>
      <w:hyperlink r:id="rId99" w:history="1">
        <w:r w:rsidRPr="00911388">
          <w:rPr>
            <w:rStyle w:val="Hyperlink"/>
            <w:rFonts w:ascii="Garamond" w:eastAsia="Malgun Gothic" w:hAnsi="Garamond" w:cs="Times New Roman"/>
            <w:sz w:val="20"/>
            <w:szCs w:val="20"/>
          </w:rPr>
          <w:t>https://doi.org/10.1002/tesj.670</w:t>
        </w:r>
      </w:hyperlink>
    </w:p>
    <w:p w14:paraId="2959AE60" w14:textId="77777777" w:rsidR="00626EB6" w:rsidRPr="00911388" w:rsidRDefault="00626EB6" w:rsidP="00626EB6">
      <w:pPr>
        <w:pStyle w:val="Bibliography"/>
        <w:ind w:left="720" w:hanging="720"/>
        <w:rPr>
          <w:rFonts w:ascii="Garamond" w:hAnsi="Garamond" w:cstheme="majorBidi"/>
          <w:color w:val="000000" w:themeColor="text1"/>
          <w:sz w:val="20"/>
          <w:szCs w:val="20"/>
        </w:rPr>
      </w:pPr>
      <w:bookmarkStart w:id="15" w:name="_Hlk173777206"/>
      <w:r w:rsidRPr="00911388">
        <w:rPr>
          <w:rFonts w:ascii="Garamond" w:hAnsi="Garamond" w:cstheme="majorBidi"/>
          <w:color w:val="000000" w:themeColor="text1"/>
          <w:sz w:val="20"/>
          <w:szCs w:val="20"/>
        </w:rPr>
        <w:t>*</w:t>
      </w:r>
      <w:proofErr w:type="spellStart"/>
      <w:r w:rsidRPr="00911388">
        <w:rPr>
          <w:rFonts w:ascii="Garamond" w:hAnsi="Garamond" w:cstheme="majorBidi"/>
          <w:color w:val="000000" w:themeColor="text1"/>
          <w:sz w:val="20"/>
          <w:szCs w:val="20"/>
        </w:rPr>
        <w:t>Uludag</w:t>
      </w:r>
      <w:proofErr w:type="spellEnd"/>
      <w:r w:rsidRPr="00911388">
        <w:rPr>
          <w:rFonts w:ascii="Garamond" w:hAnsi="Garamond" w:cstheme="majorBidi"/>
          <w:color w:val="000000" w:themeColor="text1"/>
          <w:sz w:val="20"/>
          <w:szCs w:val="20"/>
        </w:rPr>
        <w:t xml:space="preserve">, P., McDonough, K., &amp; Payant, C. (2021). Does prewriting planning positively impact English L2 students’ integrated writing performance? </w:t>
      </w:r>
      <w:r w:rsidRPr="00911388">
        <w:rPr>
          <w:rFonts w:ascii="Garamond" w:hAnsi="Garamond" w:cstheme="majorBidi"/>
          <w:i/>
          <w:iCs/>
          <w:color w:val="000000" w:themeColor="text1"/>
          <w:sz w:val="20"/>
          <w:szCs w:val="20"/>
        </w:rPr>
        <w:t>Canadian Journal of Applied Linguistics</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24</w:t>
      </w:r>
      <w:r w:rsidRPr="00911388">
        <w:rPr>
          <w:rFonts w:ascii="Garamond" w:hAnsi="Garamond" w:cstheme="majorBidi"/>
          <w:color w:val="000000" w:themeColor="text1"/>
          <w:sz w:val="20"/>
          <w:szCs w:val="20"/>
        </w:rPr>
        <w:t>(3), 166–185.</w:t>
      </w:r>
      <w:bookmarkEnd w:id="15"/>
      <w:r w:rsidRPr="00911388">
        <w:rPr>
          <w:rFonts w:ascii="Garamond" w:hAnsi="Garamond" w:cstheme="majorBidi"/>
          <w:color w:val="000000" w:themeColor="text1"/>
          <w:sz w:val="20"/>
          <w:szCs w:val="20"/>
        </w:rPr>
        <w:t xml:space="preserve"> </w:t>
      </w:r>
      <w:r w:rsidRPr="00911388">
        <w:rPr>
          <w:rStyle w:val="Hyperlink"/>
          <w:rFonts w:ascii="Garamond" w:hAnsi="Garamond" w:cs="Times New Roman"/>
          <w:color w:val="0070C0"/>
          <w:sz w:val="20"/>
          <w:szCs w:val="20"/>
        </w:rPr>
        <w:t>https://doi.org/10.37213/cjal.2021.31313</w:t>
      </w:r>
    </w:p>
    <w:p w14:paraId="70836E24"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Vandermeulen, N., van den Broek, B., van </w:t>
      </w:r>
      <w:proofErr w:type="spellStart"/>
      <w:r w:rsidRPr="00911388">
        <w:rPr>
          <w:rFonts w:ascii="Garamond" w:eastAsia="Malgun Gothic" w:hAnsi="Garamond" w:cs="Times New Roman"/>
          <w:color w:val="000000" w:themeColor="text1"/>
          <w:sz w:val="20"/>
          <w:szCs w:val="20"/>
        </w:rPr>
        <w:t>Steendam</w:t>
      </w:r>
      <w:proofErr w:type="spellEnd"/>
      <w:r w:rsidRPr="00911388">
        <w:rPr>
          <w:rFonts w:ascii="Garamond" w:eastAsia="Malgun Gothic" w:hAnsi="Garamond" w:cs="Times New Roman"/>
          <w:color w:val="000000" w:themeColor="text1"/>
          <w:sz w:val="20"/>
          <w:szCs w:val="20"/>
        </w:rPr>
        <w:t xml:space="preserve">, E., &amp; </w:t>
      </w:r>
      <w:proofErr w:type="spellStart"/>
      <w:r w:rsidRPr="00911388">
        <w:rPr>
          <w:rFonts w:ascii="Garamond" w:eastAsia="Malgun Gothic" w:hAnsi="Garamond" w:cs="Times New Roman"/>
          <w:color w:val="000000" w:themeColor="text1"/>
          <w:sz w:val="20"/>
          <w:szCs w:val="20"/>
        </w:rPr>
        <w:t>Rijlaarsdam</w:t>
      </w:r>
      <w:proofErr w:type="spellEnd"/>
      <w:r w:rsidRPr="00911388">
        <w:rPr>
          <w:rFonts w:ascii="Garamond" w:eastAsia="Malgun Gothic" w:hAnsi="Garamond" w:cs="Times New Roman"/>
          <w:color w:val="000000" w:themeColor="text1"/>
          <w:sz w:val="20"/>
          <w:szCs w:val="20"/>
        </w:rPr>
        <w:t xml:space="preserve">, G. (2020). In search of </w:t>
      </w:r>
    </w:p>
    <w:p w14:paraId="7D25500A" w14:textId="77777777" w:rsidR="00626EB6" w:rsidRPr="00911388" w:rsidRDefault="00626EB6" w:rsidP="00626EB6">
      <w:pPr>
        <w:ind w:left="720"/>
        <w:rPr>
          <w:rFonts w:ascii="Garamond" w:hAnsi="Garamond" w:cs="Times New Roman"/>
          <w:color w:val="222222"/>
          <w:sz w:val="20"/>
          <w:szCs w:val="20"/>
          <w:shd w:val="clear" w:color="auto" w:fill="FFFFFF"/>
        </w:rPr>
      </w:pPr>
      <w:r w:rsidRPr="00911388">
        <w:rPr>
          <w:rFonts w:ascii="Garamond" w:eastAsia="Malgun Gothic" w:hAnsi="Garamond" w:cs="Times New Roman"/>
          <w:color w:val="000000" w:themeColor="text1"/>
          <w:sz w:val="20"/>
          <w:szCs w:val="20"/>
        </w:rPr>
        <w:t xml:space="preserve">an effective source use pattern for writing argumentative and informative synthesis texts. </w:t>
      </w:r>
      <w:r w:rsidRPr="00911388">
        <w:rPr>
          <w:rFonts w:ascii="Garamond" w:eastAsia="Malgun Gothic" w:hAnsi="Garamond" w:cs="Times New Roman"/>
          <w:i/>
          <w:iCs/>
          <w:color w:val="000000" w:themeColor="text1"/>
          <w:sz w:val="20"/>
          <w:szCs w:val="20"/>
        </w:rPr>
        <w:t>Reading and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33</w:t>
      </w:r>
      <w:r w:rsidRPr="00911388">
        <w:rPr>
          <w:rFonts w:ascii="Garamond" w:eastAsia="Malgun Gothic" w:hAnsi="Garamond" w:cs="Times New Roman"/>
          <w:color w:val="000000" w:themeColor="text1"/>
          <w:sz w:val="20"/>
          <w:szCs w:val="20"/>
        </w:rPr>
        <w:t xml:space="preserve">(2), 239–266. </w:t>
      </w:r>
      <w:hyperlink r:id="rId100" w:history="1">
        <w:r w:rsidRPr="00911388">
          <w:rPr>
            <w:rStyle w:val="Hyperlink"/>
            <w:rFonts w:ascii="Garamond" w:hAnsi="Garamond" w:cs="Times New Roman"/>
            <w:sz w:val="20"/>
            <w:szCs w:val="20"/>
          </w:rPr>
          <w:t>https://doi.org/10.1007/s11145-019-09958-3</w:t>
        </w:r>
      </w:hyperlink>
    </w:p>
    <w:p w14:paraId="1B7C7E4E"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van </w:t>
      </w:r>
      <w:proofErr w:type="spellStart"/>
      <w:r w:rsidRPr="00911388">
        <w:rPr>
          <w:rFonts w:ascii="Garamond" w:eastAsia="Malgun Gothic" w:hAnsi="Garamond" w:cs="Times New Roman"/>
          <w:color w:val="000000" w:themeColor="text1"/>
          <w:sz w:val="20"/>
          <w:szCs w:val="20"/>
        </w:rPr>
        <w:t>Ockenburg</w:t>
      </w:r>
      <w:proofErr w:type="spellEnd"/>
      <w:r w:rsidRPr="00911388">
        <w:rPr>
          <w:rFonts w:ascii="Garamond" w:eastAsia="Malgun Gothic" w:hAnsi="Garamond" w:cs="Times New Roman"/>
          <w:color w:val="000000" w:themeColor="text1"/>
          <w:sz w:val="20"/>
          <w:szCs w:val="20"/>
        </w:rPr>
        <w:t xml:space="preserve">, L., van </w:t>
      </w:r>
      <w:proofErr w:type="spellStart"/>
      <w:r w:rsidRPr="00911388">
        <w:rPr>
          <w:rFonts w:ascii="Garamond" w:eastAsia="Malgun Gothic" w:hAnsi="Garamond" w:cs="Times New Roman"/>
          <w:color w:val="000000" w:themeColor="text1"/>
          <w:sz w:val="20"/>
          <w:szCs w:val="20"/>
        </w:rPr>
        <w:t>Weijen</w:t>
      </w:r>
      <w:proofErr w:type="spellEnd"/>
      <w:r w:rsidRPr="00911388">
        <w:rPr>
          <w:rFonts w:ascii="Garamond" w:eastAsia="Malgun Gothic" w:hAnsi="Garamond" w:cs="Times New Roman"/>
          <w:color w:val="000000" w:themeColor="text1"/>
          <w:sz w:val="20"/>
          <w:szCs w:val="20"/>
        </w:rPr>
        <w:t xml:space="preserve">, D., &amp; </w:t>
      </w:r>
      <w:proofErr w:type="spellStart"/>
      <w:r w:rsidRPr="00911388">
        <w:rPr>
          <w:rFonts w:ascii="Garamond" w:eastAsia="Malgun Gothic" w:hAnsi="Garamond" w:cs="Times New Roman"/>
          <w:color w:val="000000" w:themeColor="text1"/>
          <w:sz w:val="20"/>
          <w:szCs w:val="20"/>
        </w:rPr>
        <w:t>Rijlaarsdam</w:t>
      </w:r>
      <w:proofErr w:type="spellEnd"/>
      <w:r w:rsidRPr="00911388">
        <w:rPr>
          <w:rFonts w:ascii="Garamond" w:eastAsia="Malgun Gothic" w:hAnsi="Garamond" w:cs="Times New Roman"/>
          <w:color w:val="000000" w:themeColor="text1"/>
          <w:sz w:val="20"/>
          <w:szCs w:val="20"/>
        </w:rPr>
        <w:t xml:space="preserve">, G. (2019). Learning to write synthesis texts: </w:t>
      </w:r>
    </w:p>
    <w:p w14:paraId="120634C1"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A review of intervention studies. </w:t>
      </w:r>
      <w:r w:rsidRPr="00911388">
        <w:rPr>
          <w:rFonts w:ascii="Garamond" w:eastAsia="Malgun Gothic" w:hAnsi="Garamond" w:cs="Times New Roman"/>
          <w:i/>
          <w:iCs/>
          <w:color w:val="000000" w:themeColor="text1"/>
          <w:sz w:val="20"/>
          <w:szCs w:val="20"/>
        </w:rPr>
        <w:t>Journal of Writing Research</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10</w:t>
      </w:r>
      <w:r w:rsidRPr="00911388">
        <w:rPr>
          <w:rFonts w:ascii="Garamond" w:eastAsia="Malgun Gothic" w:hAnsi="Garamond" w:cs="Times New Roman"/>
          <w:color w:val="000000" w:themeColor="text1"/>
          <w:sz w:val="20"/>
          <w:szCs w:val="20"/>
        </w:rPr>
        <w:t xml:space="preserve">(3), 401–428. </w:t>
      </w:r>
      <w:hyperlink r:id="rId101" w:history="1">
        <w:r w:rsidRPr="00911388">
          <w:rPr>
            <w:rStyle w:val="Hyperlink"/>
            <w:rFonts w:ascii="Garamond" w:eastAsia="Malgun Gothic" w:hAnsi="Garamond" w:cs="Times New Roman"/>
            <w:sz w:val="20"/>
            <w:szCs w:val="20"/>
          </w:rPr>
          <w:t>https://doi.org/10.17239/jowr-2019.10.03.01</w:t>
        </w:r>
      </w:hyperlink>
    </w:p>
    <w:p w14:paraId="13228F5B"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*Wang, C. (2024). Exploring students’ generative AI-assisted writing processes: Perceptions and </w:t>
      </w:r>
    </w:p>
    <w:p w14:paraId="2FE25539"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experiences from native and nonnative English speakers. </w:t>
      </w:r>
      <w:r w:rsidRPr="00911388">
        <w:rPr>
          <w:rFonts w:ascii="Garamond" w:eastAsia="Malgun Gothic" w:hAnsi="Garamond" w:cs="Times New Roman"/>
          <w:i/>
          <w:iCs/>
          <w:color w:val="000000" w:themeColor="text1"/>
          <w:sz w:val="20"/>
          <w:szCs w:val="20"/>
        </w:rPr>
        <w:t>Technology, Knowledge and Learning</w:t>
      </w:r>
      <w:r w:rsidRPr="00911388">
        <w:rPr>
          <w:rFonts w:ascii="Garamond" w:eastAsia="Malgun Gothic" w:hAnsi="Garamond" w:cs="Times New Roman"/>
          <w:color w:val="000000" w:themeColor="text1"/>
          <w:sz w:val="20"/>
          <w:szCs w:val="20"/>
        </w:rPr>
        <w:t xml:space="preserve">. </w:t>
      </w:r>
      <w:hyperlink r:id="rId102" w:history="1">
        <w:r w:rsidRPr="00911388">
          <w:rPr>
            <w:rStyle w:val="Hyperlink"/>
            <w:rFonts w:ascii="Garamond" w:eastAsia="Malgun Gothic" w:hAnsi="Garamond" w:cs="Times New Roman"/>
            <w:sz w:val="20"/>
            <w:szCs w:val="20"/>
          </w:rPr>
          <w:t>https://doi.org/10.1007/s10758-024-09744-3</w:t>
        </w:r>
      </w:hyperlink>
    </w:p>
    <w:p w14:paraId="18EC4A45"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*Westbrook, C., &amp; Holt, P. (2015). Addressing the problem of outside assistance in pre-sessional writing assessments. </w:t>
      </w:r>
      <w:r w:rsidRPr="00911388">
        <w:rPr>
          <w:rFonts w:ascii="Garamond" w:hAnsi="Garamond" w:cstheme="majorBidi"/>
          <w:i/>
          <w:iCs/>
          <w:color w:val="000000" w:themeColor="text1"/>
          <w:sz w:val="20"/>
          <w:szCs w:val="20"/>
        </w:rPr>
        <w:t>Journal of English for Academic Purposes</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18</w:t>
      </w:r>
      <w:r w:rsidRPr="00911388">
        <w:rPr>
          <w:rFonts w:ascii="Garamond" w:hAnsi="Garamond" w:cstheme="majorBidi"/>
          <w:color w:val="000000" w:themeColor="text1"/>
          <w:sz w:val="20"/>
          <w:szCs w:val="20"/>
        </w:rPr>
        <w:t xml:space="preserve">, 78–83. </w:t>
      </w:r>
      <w:hyperlink r:id="rId103" w:tgtFrame="_blank" w:tooltip="Persistent link using digital object identifier" w:history="1">
        <w:r w:rsidRPr="00911388">
          <w:rPr>
            <w:rStyle w:val="Hyperlink"/>
            <w:rFonts w:ascii="Garamond" w:hAnsi="Garamond" w:cstheme="majorBidi"/>
            <w:color w:val="0070C0"/>
            <w:sz w:val="20"/>
            <w:szCs w:val="20"/>
          </w:rPr>
          <w:t>https://doi.org/10.1016/j.jeap.2015.03.004</w:t>
        </w:r>
      </w:hyperlink>
    </w:p>
    <w:p w14:paraId="3BE9F562"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*Wette, R. (2010). Evaluating student learning in a university-level EAP unit on writing using sources. </w:t>
      </w:r>
      <w:r w:rsidRPr="00911388">
        <w:rPr>
          <w:rFonts w:ascii="Garamond" w:hAnsi="Garamond" w:cstheme="majorBidi"/>
          <w:i/>
          <w:iCs/>
          <w:color w:val="000000" w:themeColor="text1"/>
          <w:sz w:val="20"/>
          <w:szCs w:val="20"/>
        </w:rPr>
        <w:t>Journal of Second Language Writing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19</w:t>
      </w:r>
      <w:r w:rsidRPr="00911388">
        <w:rPr>
          <w:rFonts w:ascii="Garamond" w:hAnsi="Garamond" w:cstheme="majorBidi"/>
          <w:color w:val="000000" w:themeColor="text1"/>
          <w:sz w:val="20"/>
          <w:szCs w:val="20"/>
        </w:rPr>
        <w:t xml:space="preserve">(3), 158–177. </w:t>
      </w:r>
      <w:hyperlink r:id="rId104" w:tgtFrame="_blank" w:tooltip="Persistent link using digital object identifier" w:history="1">
        <w:r w:rsidRPr="00911388">
          <w:rPr>
            <w:rStyle w:val="Hyperlink"/>
            <w:rFonts w:ascii="Garamond" w:hAnsi="Garamond" w:cstheme="majorBidi"/>
            <w:color w:val="0070C0"/>
            <w:sz w:val="20"/>
            <w:szCs w:val="20"/>
          </w:rPr>
          <w:t>https://doi.org/10.1016/j.jslw.2010.06.002</w:t>
        </w:r>
      </w:hyperlink>
    </w:p>
    <w:p w14:paraId="197792E9"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*Wilson, J. A., &amp; </w:t>
      </w:r>
      <w:proofErr w:type="spellStart"/>
      <w:r w:rsidRPr="00911388">
        <w:rPr>
          <w:rFonts w:ascii="Garamond" w:hAnsi="Garamond" w:cstheme="majorBidi"/>
          <w:color w:val="000000" w:themeColor="text1"/>
          <w:sz w:val="20"/>
          <w:szCs w:val="20"/>
        </w:rPr>
        <w:t>Soblo</w:t>
      </w:r>
      <w:proofErr w:type="spellEnd"/>
      <w:r w:rsidRPr="00911388">
        <w:rPr>
          <w:rFonts w:ascii="Garamond" w:hAnsi="Garamond" w:cstheme="majorBidi"/>
          <w:color w:val="000000" w:themeColor="text1"/>
          <w:sz w:val="20"/>
          <w:szCs w:val="20"/>
        </w:rPr>
        <w:t xml:space="preserve">, H. (2020). Transfer and transformation in multilingual student writing. </w:t>
      </w:r>
      <w:r w:rsidRPr="00911388">
        <w:rPr>
          <w:rFonts w:ascii="Garamond" w:hAnsi="Garamond" w:cstheme="majorBidi"/>
          <w:i/>
          <w:iCs/>
          <w:color w:val="000000" w:themeColor="text1"/>
          <w:sz w:val="20"/>
          <w:szCs w:val="20"/>
        </w:rPr>
        <w:t>Journal of English for Academic Purposes</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44</w:t>
      </w:r>
      <w:r w:rsidRPr="00911388">
        <w:rPr>
          <w:rFonts w:ascii="Garamond" w:hAnsi="Garamond" w:cstheme="majorBidi"/>
          <w:color w:val="000000" w:themeColor="text1"/>
          <w:sz w:val="20"/>
          <w:szCs w:val="20"/>
        </w:rPr>
        <w:t xml:space="preserve">, Article 100812. </w:t>
      </w:r>
      <w:hyperlink r:id="rId105" w:tgtFrame="_blank" w:tooltip="Persistent link using digital object identifier" w:history="1">
        <w:r w:rsidRPr="00911388">
          <w:rPr>
            <w:rStyle w:val="Hyperlink"/>
            <w:rFonts w:ascii="Garamond" w:hAnsi="Garamond" w:cstheme="majorBidi"/>
            <w:color w:val="0070C0"/>
            <w:sz w:val="20"/>
            <w:szCs w:val="20"/>
          </w:rPr>
          <w:t>https://doi.org/10.1016/j.jeap.2019.100812</w:t>
        </w:r>
      </w:hyperlink>
    </w:p>
    <w:p w14:paraId="1B4BB41D"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Wingate, U., &amp; Harper, R. (2021). Completing the first assignment: A case study of the writing </w:t>
      </w:r>
    </w:p>
    <w:p w14:paraId="42496A3E"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processes of a successful and an unsuccessful student.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49</w:t>
      </w:r>
      <w:r w:rsidRPr="00911388">
        <w:rPr>
          <w:rFonts w:ascii="Garamond" w:eastAsia="Malgun Gothic" w:hAnsi="Garamond" w:cs="Times New Roman"/>
          <w:color w:val="000000" w:themeColor="text1"/>
          <w:sz w:val="20"/>
          <w:szCs w:val="20"/>
        </w:rPr>
        <w:t xml:space="preserve">, Article 100948. </w:t>
      </w:r>
      <w:hyperlink r:id="rId106" w:history="1">
        <w:r w:rsidRPr="00911388">
          <w:rPr>
            <w:rStyle w:val="Hyperlink"/>
            <w:rFonts w:ascii="Garamond" w:eastAsia="Malgun Gothic" w:hAnsi="Garamond" w:cs="Times New Roman"/>
            <w:sz w:val="20"/>
            <w:szCs w:val="20"/>
          </w:rPr>
          <w:t>https://doi.org/10.1016/j.jeap.2020.100948</w:t>
        </w:r>
      </w:hyperlink>
    </w:p>
    <w:p w14:paraId="157D9EB9"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*Wolfersberger, M. (2013). Refining the construct of classroom-based writing-from-readings </w:t>
      </w:r>
    </w:p>
    <w:p w14:paraId="0F3EDCA7"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assessment: The role of task representation. </w:t>
      </w:r>
      <w:r w:rsidRPr="00911388">
        <w:rPr>
          <w:rFonts w:ascii="Garamond" w:eastAsia="Malgun Gothic" w:hAnsi="Garamond" w:cs="Times New Roman"/>
          <w:i/>
          <w:iCs/>
          <w:color w:val="000000" w:themeColor="text1"/>
          <w:sz w:val="20"/>
          <w:szCs w:val="20"/>
        </w:rPr>
        <w:t>Language Assessment Quarterly</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10</w:t>
      </w:r>
      <w:r w:rsidRPr="00911388">
        <w:rPr>
          <w:rFonts w:ascii="Garamond" w:eastAsia="Malgun Gothic" w:hAnsi="Garamond" w:cs="Times New Roman"/>
          <w:color w:val="000000" w:themeColor="text1"/>
          <w:sz w:val="20"/>
          <w:szCs w:val="20"/>
        </w:rPr>
        <w:t xml:space="preserve">(1), 49–72. </w:t>
      </w:r>
      <w:hyperlink r:id="rId107" w:history="1">
        <w:r w:rsidRPr="00911388">
          <w:rPr>
            <w:rStyle w:val="Hyperlink"/>
            <w:rFonts w:ascii="Garamond" w:eastAsia="Malgun Gothic" w:hAnsi="Garamond" w:cs="Times New Roman"/>
            <w:sz w:val="20"/>
            <w:szCs w:val="20"/>
          </w:rPr>
          <w:t>https://doi.org/10.1080/15434303.2012.750661</w:t>
        </w:r>
      </w:hyperlink>
    </w:p>
    <w:p w14:paraId="79A3A40B" w14:textId="77777777" w:rsidR="00626EB6" w:rsidRPr="00911388" w:rsidRDefault="00626EB6" w:rsidP="00626EB6">
      <w:pPr>
        <w:pStyle w:val="Bibliography"/>
        <w:ind w:left="720" w:hanging="720"/>
        <w:rPr>
          <w:rFonts w:ascii="Garamond" w:hAnsi="Garamond" w:cstheme="majorBidi"/>
          <w:color w:val="000000" w:themeColor="text1"/>
          <w:sz w:val="20"/>
          <w:szCs w:val="20"/>
        </w:rPr>
      </w:pPr>
      <w:bookmarkStart w:id="16" w:name="_Hlk173874593"/>
      <w:r w:rsidRPr="00911388">
        <w:rPr>
          <w:rFonts w:ascii="Garamond" w:hAnsi="Garamond" w:cstheme="majorBidi"/>
          <w:color w:val="000000" w:themeColor="text1"/>
          <w:sz w:val="20"/>
          <w:szCs w:val="20"/>
        </w:rPr>
        <w:t xml:space="preserve">*Wu, Q., Jin, T., Chen, J., &amp; Lei, J. (2023). Peer leadership in collaborative argumentative writing: A qualitative case study of blended design. </w:t>
      </w:r>
      <w:r w:rsidRPr="00911388">
        <w:rPr>
          <w:rFonts w:ascii="Garamond" w:hAnsi="Garamond" w:cstheme="majorBidi"/>
          <w:i/>
          <w:iCs/>
          <w:color w:val="000000" w:themeColor="text1"/>
          <w:sz w:val="20"/>
          <w:szCs w:val="20"/>
        </w:rPr>
        <w:t>Journal of Second Language Writing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60</w:t>
      </w:r>
      <w:r w:rsidRPr="00911388">
        <w:rPr>
          <w:rFonts w:ascii="Garamond" w:hAnsi="Garamond" w:cstheme="majorBidi"/>
          <w:color w:val="000000" w:themeColor="text1"/>
          <w:sz w:val="20"/>
          <w:szCs w:val="20"/>
        </w:rPr>
        <w:t xml:space="preserve">, Article 100995. </w:t>
      </w:r>
      <w:hyperlink r:id="rId108" w:tgtFrame="_blank" w:tooltip="Persistent link using digital object identifier" w:history="1">
        <w:r w:rsidRPr="00911388">
          <w:rPr>
            <w:rStyle w:val="Hyperlink"/>
            <w:rFonts w:ascii="Garamond" w:hAnsi="Garamond" w:cstheme="majorBidi"/>
            <w:color w:val="0070C0"/>
            <w:sz w:val="20"/>
            <w:szCs w:val="20"/>
          </w:rPr>
          <w:t>https://doi.org/10.1016/j.jslw.2023.100995</w:t>
        </w:r>
      </w:hyperlink>
    </w:p>
    <w:bookmarkEnd w:id="16"/>
    <w:p w14:paraId="15D92EBD"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*Xie, J. (2017). Evaluation in moves: An integrated analysis of Chinese MA thesis literature reviews. </w:t>
      </w:r>
      <w:r w:rsidRPr="00911388">
        <w:rPr>
          <w:rFonts w:ascii="Garamond" w:hAnsi="Garamond" w:cstheme="majorBidi"/>
          <w:i/>
          <w:iCs/>
          <w:color w:val="000000" w:themeColor="text1"/>
          <w:sz w:val="20"/>
          <w:szCs w:val="20"/>
        </w:rPr>
        <w:t>English Language Teaching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10</w:t>
      </w:r>
      <w:r w:rsidRPr="00911388">
        <w:rPr>
          <w:rFonts w:ascii="Garamond" w:hAnsi="Garamond" w:cstheme="majorBidi"/>
          <w:color w:val="000000" w:themeColor="text1"/>
          <w:sz w:val="20"/>
          <w:szCs w:val="20"/>
        </w:rPr>
        <w:t xml:space="preserve">(3). </w:t>
      </w:r>
      <w:r w:rsidRPr="00911388">
        <w:rPr>
          <w:rStyle w:val="Hyperlink"/>
          <w:rFonts w:ascii="Garamond" w:hAnsi="Garamond" w:cs="Times New Roman"/>
          <w:color w:val="0070C0"/>
          <w:sz w:val="20"/>
          <w:szCs w:val="20"/>
        </w:rPr>
        <w:t>https://doi.org/10.5539/elt.v10n3p1</w:t>
      </w:r>
    </w:p>
    <w:p w14:paraId="47E2BBFC" w14:textId="77777777" w:rsidR="00626EB6" w:rsidRPr="00911388" w:rsidRDefault="00626EB6" w:rsidP="00626EB6">
      <w:pPr>
        <w:pStyle w:val="Bibliography"/>
        <w:ind w:left="720" w:hanging="720"/>
        <w:rPr>
          <w:rStyle w:val="Hyperlink"/>
          <w:rFonts w:ascii="Garamond" w:hAnsi="Garamond" w:cs="Times New Roman"/>
          <w:color w:val="000000" w:themeColor="text1"/>
          <w:sz w:val="20"/>
          <w:szCs w:val="20"/>
        </w:rPr>
      </w:pPr>
      <w:r w:rsidRPr="00911388">
        <w:rPr>
          <w:rFonts w:ascii="Garamond" w:hAnsi="Garamond" w:cstheme="majorBidi"/>
          <w:color w:val="000000" w:themeColor="text1"/>
          <w:sz w:val="20"/>
          <w:szCs w:val="20"/>
        </w:rPr>
        <w:t xml:space="preserve">*Yang, H., &amp; </w:t>
      </w:r>
      <w:proofErr w:type="spellStart"/>
      <w:r w:rsidRPr="00911388">
        <w:rPr>
          <w:rFonts w:ascii="Garamond" w:hAnsi="Garamond" w:cstheme="majorBidi"/>
          <w:color w:val="000000" w:themeColor="text1"/>
          <w:sz w:val="20"/>
          <w:szCs w:val="20"/>
        </w:rPr>
        <w:t>Plakans</w:t>
      </w:r>
      <w:proofErr w:type="spellEnd"/>
      <w:r w:rsidRPr="00911388">
        <w:rPr>
          <w:rFonts w:ascii="Garamond" w:hAnsi="Garamond" w:cstheme="majorBidi"/>
          <w:color w:val="000000" w:themeColor="text1"/>
          <w:sz w:val="20"/>
          <w:szCs w:val="20"/>
        </w:rPr>
        <w:t xml:space="preserve">, L. (2012). Second language writers’ strategy use and performance on an integrated reading-listening-writing task. </w:t>
      </w:r>
      <w:r w:rsidRPr="00911388">
        <w:rPr>
          <w:rFonts w:ascii="Garamond" w:hAnsi="Garamond" w:cstheme="majorBidi"/>
          <w:i/>
          <w:iCs/>
          <w:color w:val="000000" w:themeColor="text1"/>
          <w:sz w:val="20"/>
          <w:szCs w:val="20"/>
        </w:rPr>
        <w:t>TESOL Quarterly</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46</w:t>
      </w:r>
      <w:r w:rsidRPr="00911388">
        <w:rPr>
          <w:rFonts w:ascii="Garamond" w:hAnsi="Garamond" w:cstheme="majorBidi"/>
          <w:color w:val="000000" w:themeColor="text1"/>
          <w:sz w:val="20"/>
          <w:szCs w:val="20"/>
        </w:rPr>
        <w:t xml:space="preserve">(1), 80–103. </w:t>
      </w:r>
      <w:r w:rsidRPr="00911388">
        <w:rPr>
          <w:rStyle w:val="Hyperlink"/>
          <w:rFonts w:ascii="Garamond" w:hAnsi="Garamond" w:cs="Times New Roman"/>
          <w:color w:val="0070C0"/>
          <w:sz w:val="20"/>
          <w:szCs w:val="20"/>
        </w:rPr>
        <w:t>https://doi.org/10.1002/tesq.6</w:t>
      </w:r>
    </w:p>
    <w:p w14:paraId="60529CA5"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rPr>
        <w:t xml:space="preserve">*Yang, L. (2014). Examining the mediational means in collaborative writing: Case studies of undergraduate ESL students in business courses. </w:t>
      </w:r>
      <w:r w:rsidRPr="00911388">
        <w:rPr>
          <w:rFonts w:ascii="Garamond" w:hAnsi="Garamond" w:cstheme="majorBidi"/>
          <w:i/>
          <w:iCs/>
          <w:color w:val="000000" w:themeColor="text1"/>
          <w:sz w:val="20"/>
          <w:szCs w:val="20"/>
        </w:rPr>
        <w:t>Journal of Second Language Writing</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23</w:t>
      </w:r>
      <w:r w:rsidRPr="00911388">
        <w:rPr>
          <w:rFonts w:ascii="Garamond" w:hAnsi="Garamond" w:cstheme="majorBidi"/>
          <w:color w:val="000000" w:themeColor="text1"/>
          <w:sz w:val="20"/>
          <w:szCs w:val="20"/>
        </w:rPr>
        <w:t xml:space="preserve">, 74–89. </w:t>
      </w:r>
      <w:hyperlink r:id="rId109" w:tgtFrame="_blank" w:tooltip="Persistent link using digital object identifier" w:history="1">
        <w:r w:rsidRPr="00911388">
          <w:rPr>
            <w:rStyle w:val="Hyperlink"/>
            <w:rFonts w:ascii="Garamond" w:hAnsi="Garamond" w:cstheme="majorBidi"/>
            <w:color w:val="0070C0"/>
            <w:sz w:val="20"/>
            <w:szCs w:val="20"/>
          </w:rPr>
          <w:t>https://doi.org/10.1016/j.jslw.2014.01.003</w:t>
        </w:r>
      </w:hyperlink>
    </w:p>
    <w:p w14:paraId="5C504792"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*Yang, M. (2023). Supervisory feedback, reflection, and academic discourse socialization: </w:t>
      </w:r>
    </w:p>
    <w:p w14:paraId="0ED69FE2" w14:textId="77777777" w:rsidR="00626EB6" w:rsidRPr="00911388" w:rsidRDefault="00626EB6" w:rsidP="00626EB6">
      <w:pPr>
        <w:ind w:left="720"/>
        <w:rPr>
          <w:rFonts w:ascii="Garamond" w:hAnsi="Garamond"/>
          <w:sz w:val="20"/>
          <w:szCs w:val="20"/>
        </w:rPr>
      </w:pPr>
      <w:r w:rsidRPr="00911388">
        <w:rPr>
          <w:rFonts w:ascii="Garamond" w:eastAsia="Malgun Gothic" w:hAnsi="Garamond" w:cs="Times New Roman"/>
          <w:color w:val="000000" w:themeColor="text1"/>
          <w:sz w:val="20"/>
          <w:szCs w:val="20"/>
        </w:rPr>
        <w:t xml:space="preserve">Insights from an L2 doctoral student’s paper writing experience.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62</w:t>
      </w:r>
      <w:r w:rsidRPr="00911388">
        <w:rPr>
          <w:rFonts w:ascii="Garamond" w:eastAsia="Malgun Gothic" w:hAnsi="Garamond" w:cs="Times New Roman"/>
          <w:color w:val="000000" w:themeColor="text1"/>
          <w:sz w:val="20"/>
          <w:szCs w:val="20"/>
        </w:rPr>
        <w:t xml:space="preserve">, Article 101215. </w:t>
      </w:r>
      <w:hyperlink r:id="rId110" w:history="1">
        <w:r w:rsidRPr="00911388">
          <w:rPr>
            <w:rStyle w:val="Hyperlink"/>
            <w:rFonts w:ascii="Garamond" w:eastAsia="Malgun Gothic" w:hAnsi="Garamond" w:cs="Times New Roman"/>
            <w:sz w:val="20"/>
            <w:szCs w:val="20"/>
          </w:rPr>
          <w:t>https://doi.org/10.1016/j.jeap.2023.101215</w:t>
        </w:r>
      </w:hyperlink>
    </w:p>
    <w:p w14:paraId="5AC04D88" w14:textId="77777777" w:rsidR="00626EB6" w:rsidRPr="00911388" w:rsidRDefault="00626EB6" w:rsidP="00626EB6">
      <w:pPr>
        <w:rPr>
          <w:rFonts w:ascii="Garamond" w:hAnsi="Garamond" w:cs="Times New Roman"/>
          <w:i/>
          <w:iCs/>
          <w:sz w:val="20"/>
          <w:szCs w:val="20"/>
        </w:rPr>
      </w:pPr>
      <w:r w:rsidRPr="00911388">
        <w:rPr>
          <w:rFonts w:ascii="Garamond" w:hAnsi="Garamond" w:cs="Times New Roman"/>
          <w:sz w:val="20"/>
          <w:szCs w:val="20"/>
        </w:rPr>
        <w:lastRenderedPageBreak/>
        <w:t>Yoo, J. (2023). </w:t>
      </w:r>
      <w:r w:rsidRPr="00911388">
        <w:rPr>
          <w:rFonts w:ascii="Garamond" w:hAnsi="Garamond" w:cs="Times New Roman"/>
          <w:i/>
          <w:iCs/>
          <w:sz w:val="20"/>
          <w:szCs w:val="20"/>
        </w:rPr>
        <w:t xml:space="preserve">Synthesis Writing for Multilingual Writers in English for Academic Purposes </w:t>
      </w:r>
    </w:p>
    <w:p w14:paraId="1E6B4F99" w14:textId="77777777" w:rsidR="00626EB6" w:rsidRPr="00911388" w:rsidRDefault="00626EB6" w:rsidP="00626EB6">
      <w:pPr>
        <w:ind w:left="720"/>
        <w:rPr>
          <w:rFonts w:ascii="Garamond" w:hAnsi="Garamond" w:cs="Times New Roman"/>
          <w:sz w:val="20"/>
          <w:szCs w:val="20"/>
        </w:rPr>
      </w:pPr>
      <w:r w:rsidRPr="00911388">
        <w:rPr>
          <w:rFonts w:ascii="Garamond" w:hAnsi="Garamond" w:cs="Times New Roman"/>
          <w:i/>
          <w:iCs/>
          <w:sz w:val="20"/>
          <w:szCs w:val="20"/>
        </w:rPr>
        <w:t>(EAP) Courses in the United States</w:t>
      </w:r>
      <w:r w:rsidRPr="00911388">
        <w:rPr>
          <w:rFonts w:ascii="Garamond" w:hAnsi="Garamond" w:cs="Times New Roman"/>
          <w:sz w:val="20"/>
          <w:szCs w:val="20"/>
        </w:rPr>
        <w:t> [Unpublished doctoral dissertation, The Ohio State University].</w:t>
      </w:r>
    </w:p>
    <w:p w14:paraId="15D9575C"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lang w:val="es-ES"/>
        </w:rPr>
        <w:t>*</w:t>
      </w:r>
      <w:proofErr w:type="spellStart"/>
      <w:r w:rsidRPr="00911388">
        <w:rPr>
          <w:rFonts w:ascii="Garamond" w:hAnsi="Garamond" w:cstheme="majorBidi"/>
          <w:color w:val="000000" w:themeColor="text1"/>
          <w:sz w:val="20"/>
          <w:szCs w:val="20"/>
          <w:lang w:val="es-ES"/>
        </w:rPr>
        <w:t>Yoon</w:t>
      </w:r>
      <w:proofErr w:type="spellEnd"/>
      <w:r w:rsidRPr="00911388">
        <w:rPr>
          <w:rFonts w:ascii="Garamond" w:hAnsi="Garamond" w:cstheme="majorBidi"/>
          <w:color w:val="000000" w:themeColor="text1"/>
          <w:sz w:val="20"/>
          <w:szCs w:val="20"/>
          <w:lang w:val="es-ES"/>
        </w:rPr>
        <w:t xml:space="preserve">, H.-J., &amp; Abdi </w:t>
      </w:r>
      <w:proofErr w:type="spellStart"/>
      <w:r w:rsidRPr="00911388">
        <w:rPr>
          <w:rFonts w:ascii="Garamond" w:hAnsi="Garamond" w:cstheme="majorBidi"/>
          <w:color w:val="000000" w:themeColor="text1"/>
          <w:sz w:val="20"/>
          <w:szCs w:val="20"/>
          <w:lang w:val="es-ES"/>
        </w:rPr>
        <w:t>Tabari</w:t>
      </w:r>
      <w:proofErr w:type="spellEnd"/>
      <w:r w:rsidRPr="00911388">
        <w:rPr>
          <w:rFonts w:ascii="Garamond" w:hAnsi="Garamond" w:cstheme="majorBidi"/>
          <w:color w:val="000000" w:themeColor="text1"/>
          <w:sz w:val="20"/>
          <w:szCs w:val="20"/>
          <w:lang w:val="es-ES"/>
        </w:rPr>
        <w:t xml:space="preserve">, M. (2023). </w:t>
      </w:r>
      <w:r w:rsidRPr="00911388">
        <w:rPr>
          <w:rFonts w:ascii="Garamond" w:hAnsi="Garamond" w:cstheme="majorBidi"/>
          <w:color w:val="000000" w:themeColor="text1"/>
          <w:sz w:val="20"/>
          <w:szCs w:val="20"/>
        </w:rPr>
        <w:t xml:space="preserve">Authorial voice in source-based and opinion-based argumentative writing: Patterns of voice across task types and proficiency levels. </w:t>
      </w:r>
      <w:r w:rsidRPr="00911388">
        <w:rPr>
          <w:rFonts w:ascii="Garamond" w:hAnsi="Garamond" w:cstheme="majorBidi"/>
          <w:i/>
          <w:iCs/>
          <w:color w:val="000000" w:themeColor="text1"/>
          <w:sz w:val="20"/>
          <w:szCs w:val="20"/>
        </w:rPr>
        <w:t>Journal of English for Academic Purposes</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62</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w:t>
      </w:r>
      <w:r w:rsidRPr="00911388">
        <w:rPr>
          <w:rFonts w:ascii="Garamond" w:hAnsi="Garamond" w:cstheme="majorBidi"/>
          <w:color w:val="000000" w:themeColor="text1"/>
          <w:sz w:val="20"/>
          <w:szCs w:val="20"/>
        </w:rPr>
        <w:t xml:space="preserve">Article 101228. </w:t>
      </w:r>
      <w:hyperlink r:id="rId111" w:tgtFrame="_blank" w:tooltip="Persistent link using digital object identifier" w:history="1">
        <w:r w:rsidRPr="00911388">
          <w:rPr>
            <w:rStyle w:val="Hyperlink"/>
            <w:rFonts w:ascii="Garamond" w:hAnsi="Garamond" w:cstheme="majorBidi"/>
            <w:color w:val="0070C0"/>
            <w:sz w:val="20"/>
            <w:szCs w:val="20"/>
          </w:rPr>
          <w:t>https://doi.org/10.1016/j.jeap.2023.101228</w:t>
        </w:r>
      </w:hyperlink>
    </w:p>
    <w:p w14:paraId="4DF90F6E" w14:textId="77777777" w:rsidR="00626EB6" w:rsidRPr="00911388" w:rsidRDefault="00626EB6" w:rsidP="00626EB6">
      <w:pPr>
        <w:pStyle w:val="Bibliography"/>
        <w:ind w:left="720" w:hanging="720"/>
        <w:rPr>
          <w:rFonts w:ascii="Garamond" w:hAnsi="Garamond" w:cstheme="majorBidi"/>
          <w:color w:val="000000" w:themeColor="text1"/>
          <w:sz w:val="20"/>
          <w:szCs w:val="20"/>
        </w:rPr>
      </w:pPr>
      <w:r w:rsidRPr="00911388">
        <w:rPr>
          <w:rFonts w:ascii="Garamond" w:hAnsi="Garamond" w:cstheme="majorBidi"/>
          <w:color w:val="000000" w:themeColor="text1"/>
          <w:sz w:val="20"/>
          <w:szCs w:val="20"/>
          <w:lang w:val="es-ES"/>
        </w:rPr>
        <w:t>*</w:t>
      </w:r>
      <w:proofErr w:type="spellStart"/>
      <w:r w:rsidRPr="00911388">
        <w:rPr>
          <w:rFonts w:ascii="Garamond" w:hAnsi="Garamond" w:cstheme="majorBidi"/>
          <w:color w:val="000000" w:themeColor="text1"/>
          <w:sz w:val="20"/>
          <w:szCs w:val="20"/>
          <w:lang w:val="es-ES"/>
        </w:rPr>
        <w:t>Yu</w:t>
      </w:r>
      <w:proofErr w:type="spellEnd"/>
      <w:r w:rsidRPr="00911388">
        <w:rPr>
          <w:rFonts w:ascii="Garamond" w:hAnsi="Garamond" w:cstheme="majorBidi"/>
          <w:color w:val="000000" w:themeColor="text1"/>
          <w:sz w:val="20"/>
          <w:szCs w:val="20"/>
          <w:lang w:val="es-ES"/>
        </w:rPr>
        <w:t xml:space="preserve">, L., &amp; </w:t>
      </w:r>
      <w:proofErr w:type="spellStart"/>
      <w:r w:rsidRPr="00911388">
        <w:rPr>
          <w:rFonts w:ascii="Garamond" w:hAnsi="Garamond" w:cstheme="majorBidi"/>
          <w:color w:val="000000" w:themeColor="text1"/>
          <w:sz w:val="20"/>
          <w:szCs w:val="20"/>
          <w:lang w:val="es-ES"/>
        </w:rPr>
        <w:t>Poehner</w:t>
      </w:r>
      <w:proofErr w:type="spellEnd"/>
      <w:r w:rsidRPr="00911388">
        <w:rPr>
          <w:rFonts w:ascii="Garamond" w:hAnsi="Garamond" w:cstheme="majorBidi"/>
          <w:color w:val="000000" w:themeColor="text1"/>
          <w:sz w:val="20"/>
          <w:szCs w:val="20"/>
          <w:lang w:val="es-ES"/>
        </w:rPr>
        <w:t xml:space="preserve">, M. E. (2023). </w:t>
      </w:r>
      <w:r w:rsidRPr="00911388">
        <w:rPr>
          <w:rFonts w:ascii="Garamond" w:hAnsi="Garamond" w:cstheme="majorBidi"/>
          <w:color w:val="000000" w:themeColor="text1"/>
          <w:sz w:val="20"/>
          <w:szCs w:val="20"/>
        </w:rPr>
        <w:t xml:space="preserve">Developing L2 writing abilities through an instructional enrichment program informed by dynamic assessment. </w:t>
      </w:r>
      <w:r w:rsidRPr="00911388">
        <w:rPr>
          <w:rFonts w:ascii="Garamond" w:hAnsi="Garamond" w:cstheme="majorBidi"/>
          <w:i/>
          <w:iCs/>
          <w:color w:val="000000" w:themeColor="text1"/>
          <w:sz w:val="20"/>
          <w:szCs w:val="20"/>
        </w:rPr>
        <w:t>Journal of Second Language Writing</w:t>
      </w:r>
      <w:r w:rsidRPr="00911388">
        <w:rPr>
          <w:rFonts w:ascii="Garamond" w:hAnsi="Garamond" w:cstheme="majorBidi"/>
          <w:color w:val="000000" w:themeColor="text1"/>
          <w:sz w:val="20"/>
          <w:szCs w:val="20"/>
        </w:rPr>
        <w:t xml:space="preserve">, </w:t>
      </w:r>
      <w:r w:rsidRPr="00911388">
        <w:rPr>
          <w:rFonts w:ascii="Garamond" w:hAnsi="Garamond" w:cstheme="majorBidi"/>
          <w:i/>
          <w:iCs/>
          <w:color w:val="000000" w:themeColor="text1"/>
          <w:sz w:val="20"/>
          <w:szCs w:val="20"/>
        </w:rPr>
        <w:t>60</w:t>
      </w:r>
      <w:r w:rsidRPr="00911388">
        <w:rPr>
          <w:rFonts w:ascii="Garamond" w:hAnsi="Garamond" w:cstheme="majorBidi"/>
          <w:color w:val="000000" w:themeColor="text1"/>
          <w:sz w:val="20"/>
          <w:szCs w:val="20"/>
        </w:rPr>
        <w:t>,</w:t>
      </w:r>
      <w:r w:rsidRPr="00911388">
        <w:rPr>
          <w:rFonts w:ascii="Garamond" w:hAnsi="Garamond" w:cstheme="majorBidi"/>
          <w:i/>
          <w:iCs/>
          <w:color w:val="000000" w:themeColor="text1"/>
          <w:sz w:val="20"/>
          <w:szCs w:val="20"/>
        </w:rPr>
        <w:t xml:space="preserve"> </w:t>
      </w:r>
      <w:r w:rsidRPr="00911388">
        <w:rPr>
          <w:rFonts w:ascii="Garamond" w:hAnsi="Garamond" w:cstheme="majorBidi"/>
          <w:color w:val="000000" w:themeColor="text1"/>
          <w:sz w:val="20"/>
          <w:szCs w:val="20"/>
        </w:rPr>
        <w:t xml:space="preserve">Article 101013. </w:t>
      </w:r>
      <w:hyperlink r:id="rId112" w:tgtFrame="_blank" w:tooltip="Persistent link using digital object identifier" w:history="1">
        <w:r w:rsidRPr="00911388">
          <w:rPr>
            <w:rStyle w:val="Hyperlink"/>
            <w:rFonts w:ascii="Garamond" w:hAnsi="Garamond" w:cstheme="majorBidi"/>
            <w:color w:val="0070C0"/>
            <w:sz w:val="20"/>
            <w:szCs w:val="20"/>
          </w:rPr>
          <w:t>https://doi.org/10.1016/j.jslw.2023.101013</w:t>
        </w:r>
      </w:hyperlink>
    </w:p>
    <w:p w14:paraId="66D1D2D7" w14:textId="77777777" w:rsidR="00626EB6" w:rsidRPr="00911388" w:rsidRDefault="00626EB6" w:rsidP="00626EB6">
      <w:pPr>
        <w:rPr>
          <w:rFonts w:ascii="Garamond" w:eastAsia="Malgun Gothic" w:hAnsi="Garamond" w:cs="Times New Roman"/>
          <w:i/>
          <w:iCs/>
          <w:color w:val="000000" w:themeColor="text1"/>
          <w:sz w:val="20"/>
          <w:szCs w:val="20"/>
        </w:rPr>
      </w:pPr>
      <w:r w:rsidRPr="00911388">
        <w:rPr>
          <w:rFonts w:ascii="Garamond" w:eastAsia="Malgun Gothic" w:hAnsi="Garamond" w:cs="Times New Roman"/>
          <w:color w:val="000000" w:themeColor="text1"/>
          <w:sz w:val="20"/>
          <w:szCs w:val="20"/>
        </w:rPr>
        <w:t xml:space="preserve">*Zhang, C. (2013). Effect of instruction on ESL students’ synthesis writing. </w:t>
      </w:r>
      <w:r w:rsidRPr="00911388">
        <w:rPr>
          <w:rFonts w:ascii="Garamond" w:eastAsia="Malgun Gothic" w:hAnsi="Garamond" w:cs="Times New Roman"/>
          <w:i/>
          <w:iCs/>
          <w:color w:val="000000" w:themeColor="text1"/>
          <w:sz w:val="20"/>
          <w:szCs w:val="20"/>
        </w:rPr>
        <w:t xml:space="preserve">Journal of Second </w:t>
      </w:r>
    </w:p>
    <w:p w14:paraId="1A9260D1"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i/>
          <w:iCs/>
          <w:color w:val="000000" w:themeColor="text1"/>
          <w:sz w:val="20"/>
          <w:szCs w:val="20"/>
        </w:rPr>
        <w:t>Language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22</w:t>
      </w:r>
      <w:r w:rsidRPr="00911388">
        <w:rPr>
          <w:rFonts w:ascii="Garamond" w:eastAsia="Malgun Gothic" w:hAnsi="Garamond" w:cs="Times New Roman"/>
          <w:color w:val="000000" w:themeColor="text1"/>
          <w:sz w:val="20"/>
          <w:szCs w:val="20"/>
        </w:rPr>
        <w:t xml:space="preserve">(1), 51–67. </w:t>
      </w:r>
      <w:hyperlink r:id="rId113" w:history="1">
        <w:r w:rsidRPr="00911388">
          <w:rPr>
            <w:rStyle w:val="Hyperlink"/>
            <w:rFonts w:ascii="Garamond" w:eastAsia="Malgun Gothic" w:hAnsi="Garamond" w:cs="Times New Roman"/>
            <w:sz w:val="20"/>
            <w:szCs w:val="20"/>
          </w:rPr>
          <w:t>https://doi.org/10.1016/j.jslw.2012.12.001</w:t>
        </w:r>
      </w:hyperlink>
    </w:p>
    <w:p w14:paraId="7C98FC2D"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*Zhang, Y. O. (2023). Tracing development: Feedback orientations and knowledge construction </w:t>
      </w:r>
    </w:p>
    <w:p w14:paraId="140F4AC7"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in master’s theses.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63</w:t>
      </w:r>
      <w:r w:rsidRPr="00911388">
        <w:rPr>
          <w:rFonts w:ascii="Garamond" w:eastAsia="Malgun Gothic" w:hAnsi="Garamond" w:cs="Times New Roman"/>
          <w:color w:val="000000" w:themeColor="text1"/>
          <w:sz w:val="20"/>
          <w:szCs w:val="20"/>
        </w:rPr>
        <w:t xml:space="preserve">, Article 101246. </w:t>
      </w:r>
    </w:p>
    <w:p w14:paraId="29B47482" w14:textId="77777777" w:rsidR="00626EB6" w:rsidRPr="00911388" w:rsidRDefault="00626EB6" w:rsidP="00626EB6">
      <w:pPr>
        <w:ind w:firstLine="720"/>
        <w:rPr>
          <w:rFonts w:ascii="Garamond" w:hAnsi="Garamond"/>
          <w:sz w:val="20"/>
          <w:szCs w:val="20"/>
        </w:rPr>
      </w:pPr>
      <w:hyperlink r:id="rId114" w:history="1">
        <w:r w:rsidRPr="00911388">
          <w:rPr>
            <w:rStyle w:val="Hyperlink"/>
            <w:rFonts w:ascii="Garamond" w:eastAsia="Malgun Gothic" w:hAnsi="Garamond" w:cs="Times New Roman"/>
            <w:sz w:val="20"/>
            <w:szCs w:val="20"/>
          </w:rPr>
          <w:t>https://doi.org/10.1016/j.jeap.2023.101246</w:t>
        </w:r>
      </w:hyperlink>
    </w:p>
    <w:p w14:paraId="0AE66C42"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*Zhao, R., &amp; Hirvela, A. (2015). Undergraduate ESL students’ engagement in academic reading </w:t>
      </w:r>
    </w:p>
    <w:p w14:paraId="44D3C8F6"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and writing in learning to write a synthesis paper. </w:t>
      </w:r>
      <w:r w:rsidRPr="00911388">
        <w:rPr>
          <w:rFonts w:ascii="Garamond" w:eastAsia="Malgun Gothic" w:hAnsi="Garamond" w:cs="Times New Roman"/>
          <w:i/>
          <w:iCs/>
          <w:color w:val="000000" w:themeColor="text1"/>
          <w:sz w:val="20"/>
          <w:szCs w:val="20"/>
        </w:rPr>
        <w:t>Reading in a Foreign Language</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27</w:t>
      </w:r>
      <w:r w:rsidRPr="00911388">
        <w:rPr>
          <w:rFonts w:ascii="Garamond" w:eastAsia="Malgun Gothic" w:hAnsi="Garamond" w:cs="Times New Roman"/>
          <w:color w:val="000000" w:themeColor="text1"/>
          <w:sz w:val="20"/>
          <w:szCs w:val="20"/>
        </w:rPr>
        <w:t>(2), 219–241.</w:t>
      </w:r>
    </w:p>
    <w:p w14:paraId="0BD16CEC"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*Zheng, Z. Z., &amp; </w:t>
      </w:r>
      <w:proofErr w:type="spellStart"/>
      <w:r w:rsidRPr="00911388">
        <w:rPr>
          <w:rFonts w:ascii="Garamond" w:eastAsia="Malgun Gothic" w:hAnsi="Garamond" w:cs="Times New Roman"/>
          <w:color w:val="000000" w:themeColor="text1"/>
          <w:sz w:val="20"/>
          <w:szCs w:val="20"/>
        </w:rPr>
        <w:t>Drybrough</w:t>
      </w:r>
      <w:proofErr w:type="spellEnd"/>
      <w:r w:rsidRPr="00911388">
        <w:rPr>
          <w:rFonts w:ascii="Garamond" w:eastAsia="Malgun Gothic" w:hAnsi="Garamond" w:cs="Times New Roman"/>
          <w:color w:val="000000" w:themeColor="text1"/>
          <w:sz w:val="20"/>
          <w:szCs w:val="20"/>
        </w:rPr>
        <w:t xml:space="preserve">, A. G. (2023). Translanguaging in the academic writing process: </w:t>
      </w:r>
    </w:p>
    <w:p w14:paraId="7C4C4E41"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Exploring Chinese bilingual postgraduate students’ practices at a British university. </w:t>
      </w:r>
      <w:r w:rsidRPr="00911388">
        <w:rPr>
          <w:rFonts w:ascii="Garamond" w:eastAsia="Malgun Gothic" w:hAnsi="Garamond" w:cs="Times New Roman"/>
          <w:i/>
          <w:iCs/>
          <w:color w:val="000000" w:themeColor="text1"/>
          <w:sz w:val="20"/>
          <w:szCs w:val="20"/>
        </w:rPr>
        <w:t>Journal of English for Academic Purposes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65</w:t>
      </w:r>
      <w:r w:rsidRPr="00911388">
        <w:rPr>
          <w:rFonts w:ascii="Garamond" w:eastAsia="Malgun Gothic" w:hAnsi="Garamond" w:cs="Times New Roman"/>
          <w:color w:val="000000" w:themeColor="text1"/>
          <w:sz w:val="20"/>
          <w:szCs w:val="20"/>
        </w:rPr>
        <w:t xml:space="preserve">, Article 101269. </w:t>
      </w:r>
      <w:hyperlink r:id="rId115" w:history="1">
        <w:r w:rsidRPr="00911388">
          <w:rPr>
            <w:rStyle w:val="Hyperlink"/>
            <w:rFonts w:ascii="Garamond" w:eastAsia="Malgun Gothic" w:hAnsi="Garamond" w:cs="Times New Roman"/>
            <w:sz w:val="20"/>
            <w:szCs w:val="20"/>
          </w:rPr>
          <w:t>https://doi.org/10.1016/j.jeap.2023.101269</w:t>
        </w:r>
      </w:hyperlink>
    </w:p>
    <w:p w14:paraId="1663207B"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*Zhu, W. (2005). Source articles as scaffolds in reading to write: The case of a Chinese student </w:t>
      </w:r>
    </w:p>
    <w:p w14:paraId="73E1D4BD" w14:textId="77777777" w:rsidR="00626EB6" w:rsidRPr="00911388" w:rsidRDefault="00626EB6" w:rsidP="00626EB6">
      <w:pPr>
        <w:ind w:firstLine="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writing in English. </w:t>
      </w:r>
      <w:r w:rsidRPr="00911388">
        <w:rPr>
          <w:rFonts w:ascii="Garamond" w:eastAsia="Malgun Gothic" w:hAnsi="Garamond" w:cs="Times New Roman"/>
          <w:i/>
          <w:iCs/>
          <w:color w:val="000000" w:themeColor="text1"/>
          <w:sz w:val="20"/>
          <w:szCs w:val="20"/>
        </w:rPr>
        <w:t>Journal of Asian Pacific Communication</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15</w:t>
      </w:r>
      <w:r w:rsidRPr="00911388">
        <w:rPr>
          <w:rFonts w:ascii="Garamond" w:eastAsia="Malgun Gothic" w:hAnsi="Garamond" w:cs="Times New Roman"/>
          <w:color w:val="000000" w:themeColor="text1"/>
          <w:sz w:val="20"/>
          <w:szCs w:val="20"/>
        </w:rPr>
        <w:t>(1), 129–152.</w:t>
      </w:r>
    </w:p>
    <w:p w14:paraId="39AB507F"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*Zhu, X., Li, G. Y., Cheong, C. M., Yu, G., &amp; Liao, X. (2021). Secondary school students’ </w:t>
      </w:r>
    </w:p>
    <w:p w14:paraId="7C3BD8F2"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discourse synthesis performance on Chinese (L1) and English (L2) integrated writing assessments. </w:t>
      </w:r>
      <w:r w:rsidRPr="00911388">
        <w:rPr>
          <w:rFonts w:ascii="Garamond" w:eastAsia="Malgun Gothic" w:hAnsi="Garamond" w:cs="Times New Roman"/>
          <w:i/>
          <w:iCs/>
          <w:color w:val="000000" w:themeColor="text1"/>
          <w:sz w:val="20"/>
          <w:szCs w:val="20"/>
        </w:rPr>
        <w:t>Reading and Writing</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34</w:t>
      </w:r>
      <w:r w:rsidRPr="00911388">
        <w:rPr>
          <w:rFonts w:ascii="Garamond" w:eastAsia="Malgun Gothic" w:hAnsi="Garamond" w:cs="Times New Roman"/>
          <w:color w:val="000000" w:themeColor="text1"/>
          <w:sz w:val="20"/>
          <w:szCs w:val="20"/>
        </w:rPr>
        <w:t xml:space="preserve">(1), 49–78. </w:t>
      </w:r>
      <w:hyperlink r:id="rId116" w:history="1">
        <w:r w:rsidRPr="00911388">
          <w:rPr>
            <w:rStyle w:val="Hyperlink"/>
            <w:rFonts w:ascii="Garamond" w:eastAsia="Malgun Gothic" w:hAnsi="Garamond" w:cs="Times New Roman"/>
            <w:sz w:val="20"/>
            <w:szCs w:val="20"/>
          </w:rPr>
          <w:t>https://doi.org/10.1007/s11145-020-10065-x</w:t>
        </w:r>
      </w:hyperlink>
    </w:p>
    <w:p w14:paraId="1EFEC0B0" w14:textId="77777777" w:rsidR="00626EB6" w:rsidRPr="00911388" w:rsidRDefault="00626EB6" w:rsidP="00626EB6">
      <w:pPr>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Zou, M., &amp; Huang, L. (2023). The impact of ChatGPT on L2 writing and expected responses: </w:t>
      </w:r>
    </w:p>
    <w:p w14:paraId="2E32F4AF" w14:textId="77777777" w:rsidR="00626EB6" w:rsidRPr="00911388" w:rsidRDefault="00626EB6" w:rsidP="00626EB6">
      <w:pPr>
        <w:ind w:left="720"/>
        <w:rPr>
          <w:rFonts w:ascii="Garamond" w:eastAsia="Malgun Gothic" w:hAnsi="Garamond" w:cs="Times New Roman"/>
          <w:color w:val="000000" w:themeColor="text1"/>
          <w:sz w:val="20"/>
          <w:szCs w:val="20"/>
        </w:rPr>
      </w:pPr>
      <w:r w:rsidRPr="00911388">
        <w:rPr>
          <w:rFonts w:ascii="Garamond" w:eastAsia="Malgun Gothic" w:hAnsi="Garamond" w:cs="Times New Roman"/>
          <w:color w:val="000000" w:themeColor="text1"/>
          <w:sz w:val="20"/>
          <w:szCs w:val="20"/>
        </w:rPr>
        <w:t xml:space="preserve">Voice from doctoral students. </w:t>
      </w:r>
      <w:r w:rsidRPr="00911388">
        <w:rPr>
          <w:rFonts w:ascii="Garamond" w:eastAsia="Malgun Gothic" w:hAnsi="Garamond" w:cs="Times New Roman"/>
          <w:i/>
          <w:iCs/>
          <w:color w:val="000000" w:themeColor="text1"/>
          <w:sz w:val="20"/>
          <w:szCs w:val="20"/>
        </w:rPr>
        <w:t>Education and Information Technologies</w:t>
      </w:r>
      <w:r w:rsidRPr="00911388">
        <w:rPr>
          <w:rFonts w:ascii="Garamond" w:eastAsia="Malgun Gothic" w:hAnsi="Garamond" w:cs="Times New Roman"/>
          <w:color w:val="000000" w:themeColor="text1"/>
          <w:sz w:val="20"/>
          <w:szCs w:val="20"/>
        </w:rPr>
        <w:t xml:space="preserve">, </w:t>
      </w:r>
      <w:r w:rsidRPr="00911388">
        <w:rPr>
          <w:rFonts w:ascii="Garamond" w:eastAsia="Malgun Gothic" w:hAnsi="Garamond" w:cs="Times New Roman"/>
          <w:i/>
          <w:iCs/>
          <w:color w:val="000000" w:themeColor="text1"/>
          <w:sz w:val="20"/>
          <w:szCs w:val="20"/>
        </w:rPr>
        <w:t>29</w:t>
      </w:r>
      <w:r w:rsidRPr="00911388">
        <w:rPr>
          <w:rFonts w:ascii="Garamond" w:eastAsia="Malgun Gothic" w:hAnsi="Garamond" w:cs="Times New Roman"/>
          <w:color w:val="000000" w:themeColor="text1"/>
          <w:sz w:val="20"/>
          <w:szCs w:val="20"/>
        </w:rPr>
        <w:t xml:space="preserve">(1), 13201–13219. </w:t>
      </w:r>
      <w:hyperlink r:id="rId117" w:history="1">
        <w:r w:rsidRPr="00911388">
          <w:rPr>
            <w:rStyle w:val="Hyperlink"/>
            <w:rFonts w:ascii="Garamond" w:eastAsia="Malgun Gothic" w:hAnsi="Garamond" w:cs="Times New Roman"/>
            <w:sz w:val="20"/>
            <w:szCs w:val="20"/>
          </w:rPr>
          <w:t>https://doi.org/10.1007/s10639-023-12397-x</w:t>
        </w:r>
      </w:hyperlink>
    </w:p>
    <w:p w14:paraId="73E1A1C2" w14:textId="77777777" w:rsidR="00626EB6" w:rsidRPr="00911388" w:rsidRDefault="00626EB6" w:rsidP="00626EB6">
      <w:pPr>
        <w:rPr>
          <w:rFonts w:ascii="Garamond" w:eastAsia="Malgun Gothic" w:hAnsi="Garamond" w:cs="Times New Roman"/>
          <w:color w:val="000000" w:themeColor="text1"/>
          <w:sz w:val="20"/>
          <w:szCs w:val="20"/>
        </w:rPr>
      </w:pPr>
    </w:p>
    <w:p w14:paraId="2AA1A4D5" w14:textId="558C87FC" w:rsidR="00302D1C" w:rsidRDefault="00302D1C" w:rsidP="00626EB6">
      <w:pPr>
        <w:pStyle w:val="L2JReferences"/>
      </w:pPr>
    </w:p>
    <w:p w14:paraId="4CD65518" w14:textId="77777777" w:rsidR="00611F84" w:rsidRDefault="00611F84">
      <w:pPr>
        <w:sectPr w:rsidR="00611F84">
          <w:headerReference w:type="default" r:id="rId118"/>
          <w:footerReference w:type="even" r:id="rId119"/>
          <w:footerReference w:type="default" r:id="rId120"/>
          <w:headerReference w:type="first" r:id="rId121"/>
          <w:pgSz w:w="12240" w:h="15840"/>
          <w:pgMar w:top="1440" w:right="1800" w:bottom="1440" w:left="1800" w:header="706" w:footer="706" w:gutter="0"/>
          <w:pgNumType w:start="1"/>
          <w:cols w:space="720"/>
          <w:titlePg/>
        </w:sectPr>
      </w:pPr>
    </w:p>
    <w:p w14:paraId="0B70DB30" w14:textId="558B4B77" w:rsidR="00616096" w:rsidRDefault="00616096">
      <w:pPr>
        <w:rPr>
          <w:rFonts w:ascii="Garamond" w:hAnsi="Garamond"/>
          <w:sz w:val="20"/>
          <w:szCs w:val="20"/>
          <w:lang w:eastAsia="zh-CN"/>
        </w:rPr>
      </w:pPr>
    </w:p>
    <w:p w14:paraId="74719C0A" w14:textId="77777777" w:rsidR="00616096" w:rsidRPr="006368A5" w:rsidRDefault="00616096" w:rsidP="00611F84">
      <w:pPr>
        <w:pStyle w:val="L2JH1"/>
      </w:pPr>
      <w:r w:rsidRPr="006368A5">
        <w:t>A</w:t>
      </w:r>
      <w:r w:rsidRPr="006368A5">
        <w:rPr>
          <w:rFonts w:hint="eastAsia"/>
        </w:rPr>
        <w:t>PPENDIX</w:t>
      </w:r>
      <w:r w:rsidRPr="006368A5">
        <w:t xml:space="preserve"> </w:t>
      </w:r>
    </w:p>
    <w:p w14:paraId="3BF3FD61" w14:textId="3CCA4C46" w:rsidR="00611F84" w:rsidRDefault="00616096" w:rsidP="00611F84">
      <w:pPr>
        <w:pStyle w:val="L2JH1"/>
      </w:pPr>
      <w:r w:rsidRPr="006368A5">
        <w:rPr>
          <w:rFonts w:hint="eastAsia"/>
        </w:rPr>
        <w:t>CODED DATA</w:t>
      </w:r>
    </w:p>
    <w:p w14:paraId="33E03F0E" w14:textId="77777777" w:rsidR="00611F84" w:rsidRPr="00611F84" w:rsidRDefault="00611F84" w:rsidP="00611F84">
      <w:pPr>
        <w:pStyle w:val="Heading1"/>
      </w:pPr>
    </w:p>
    <w:tbl>
      <w:tblPr>
        <w:tblW w:w="15210" w:type="dxa"/>
        <w:tblInd w:w="-995" w:type="dxa"/>
        <w:tblLayout w:type="fixed"/>
        <w:tblLook w:val="04A0" w:firstRow="1" w:lastRow="0" w:firstColumn="1" w:lastColumn="0" w:noHBand="0" w:noVBand="1"/>
      </w:tblPr>
      <w:tblGrid>
        <w:gridCol w:w="1620"/>
        <w:gridCol w:w="1980"/>
        <w:gridCol w:w="2160"/>
        <w:gridCol w:w="1530"/>
        <w:gridCol w:w="1530"/>
        <w:gridCol w:w="1080"/>
        <w:gridCol w:w="1440"/>
        <w:gridCol w:w="990"/>
        <w:gridCol w:w="1440"/>
        <w:gridCol w:w="1440"/>
      </w:tblGrid>
      <w:tr w:rsidR="00611F84" w:rsidRPr="00611F84" w14:paraId="310EFD5F" w14:textId="77777777" w:rsidTr="00611F84">
        <w:trPr>
          <w:trHeight w:val="632"/>
        </w:trPr>
        <w:tc>
          <w:tcPr>
            <w:tcW w:w="1620" w:type="dxa"/>
            <w:tcBorders>
              <w:top w:val="single" w:sz="4" w:space="0" w:color="auto"/>
              <w:left w:val="single" w:sz="4" w:space="0" w:color="auto"/>
              <w:bottom w:val="single" w:sz="4" w:space="0" w:color="auto"/>
              <w:right w:val="single" w:sz="4" w:space="0" w:color="auto"/>
            </w:tcBorders>
            <w:shd w:val="clear" w:color="000000" w:fill="DAE9F8"/>
            <w:hideMark/>
          </w:tcPr>
          <w:p w14:paraId="4723687E" w14:textId="77777777" w:rsidR="00616096" w:rsidRPr="00611F84" w:rsidRDefault="00616096" w:rsidP="00924822">
            <w:pPr>
              <w:jc w:val="center"/>
              <w:rPr>
                <w:rFonts w:ascii="Garamond" w:eastAsia="Times New Roman" w:hAnsi="Garamond" w:cs="Times New Roman"/>
                <w:szCs w:val="20"/>
              </w:rPr>
            </w:pPr>
            <w:r w:rsidRPr="00611F84">
              <w:rPr>
                <w:rFonts w:ascii="Garamond" w:eastAsia="Times New Roman" w:hAnsi="Garamond" w:cs="Times New Roman"/>
                <w:szCs w:val="20"/>
              </w:rPr>
              <w:t xml:space="preserve">Author &amp; </w:t>
            </w:r>
            <w:r w:rsidRPr="00611F84">
              <w:rPr>
                <w:rFonts w:ascii="Garamond" w:eastAsia="Times New Roman" w:hAnsi="Garamond" w:cs="Times New Roman"/>
                <w:szCs w:val="20"/>
              </w:rPr>
              <w:br/>
              <w:t>publication year</w:t>
            </w:r>
          </w:p>
        </w:tc>
        <w:tc>
          <w:tcPr>
            <w:tcW w:w="1980" w:type="dxa"/>
            <w:tcBorders>
              <w:top w:val="single" w:sz="4" w:space="0" w:color="auto"/>
              <w:left w:val="nil"/>
              <w:bottom w:val="single" w:sz="4" w:space="0" w:color="auto"/>
              <w:right w:val="single" w:sz="4" w:space="0" w:color="auto"/>
            </w:tcBorders>
            <w:shd w:val="clear" w:color="000000" w:fill="DAE9F8"/>
            <w:hideMark/>
          </w:tcPr>
          <w:p w14:paraId="346C850A" w14:textId="77777777" w:rsidR="00616096" w:rsidRPr="00611F84" w:rsidRDefault="00616096" w:rsidP="00924822">
            <w:pPr>
              <w:jc w:val="center"/>
              <w:rPr>
                <w:rFonts w:ascii="Garamond" w:eastAsia="Times New Roman" w:hAnsi="Garamond" w:cs="Times New Roman"/>
                <w:szCs w:val="20"/>
              </w:rPr>
            </w:pPr>
            <w:r w:rsidRPr="00611F84">
              <w:rPr>
                <w:rFonts w:ascii="Garamond" w:eastAsia="Times New Roman" w:hAnsi="Garamond" w:cs="Times New Roman"/>
                <w:szCs w:val="20"/>
              </w:rPr>
              <w:t>Topic &amp; theme</w:t>
            </w:r>
          </w:p>
        </w:tc>
        <w:tc>
          <w:tcPr>
            <w:tcW w:w="2160" w:type="dxa"/>
            <w:tcBorders>
              <w:top w:val="single" w:sz="4" w:space="0" w:color="auto"/>
              <w:left w:val="nil"/>
              <w:bottom w:val="single" w:sz="4" w:space="0" w:color="auto"/>
              <w:right w:val="single" w:sz="4" w:space="0" w:color="auto"/>
            </w:tcBorders>
            <w:shd w:val="clear" w:color="000000" w:fill="DAE9F8"/>
            <w:hideMark/>
          </w:tcPr>
          <w:p w14:paraId="42388D40" w14:textId="77777777" w:rsidR="00616096" w:rsidRPr="00611F84" w:rsidRDefault="00616096" w:rsidP="00924822">
            <w:pPr>
              <w:jc w:val="center"/>
              <w:rPr>
                <w:rFonts w:ascii="Garamond" w:eastAsia="Times New Roman" w:hAnsi="Garamond" w:cs="Times New Roman"/>
                <w:szCs w:val="20"/>
              </w:rPr>
            </w:pPr>
            <w:r w:rsidRPr="00611F84">
              <w:rPr>
                <w:rFonts w:ascii="Garamond" w:eastAsia="Times New Roman" w:hAnsi="Garamond" w:cs="Times New Roman"/>
                <w:szCs w:val="20"/>
              </w:rPr>
              <w:t>Main finding</w:t>
            </w:r>
          </w:p>
        </w:tc>
        <w:tc>
          <w:tcPr>
            <w:tcW w:w="1530" w:type="dxa"/>
            <w:tcBorders>
              <w:top w:val="single" w:sz="4" w:space="0" w:color="auto"/>
              <w:left w:val="nil"/>
              <w:bottom w:val="single" w:sz="4" w:space="0" w:color="auto"/>
              <w:right w:val="single" w:sz="4" w:space="0" w:color="auto"/>
            </w:tcBorders>
            <w:shd w:val="clear" w:color="000000" w:fill="DAE9F8"/>
            <w:hideMark/>
          </w:tcPr>
          <w:p w14:paraId="0E8FA812" w14:textId="77777777" w:rsidR="00616096" w:rsidRPr="00611F84" w:rsidRDefault="00616096" w:rsidP="00924822">
            <w:pPr>
              <w:jc w:val="center"/>
              <w:rPr>
                <w:rFonts w:ascii="Garamond" w:hAnsi="Garamond" w:cs="Times New Roman"/>
                <w:szCs w:val="20"/>
              </w:rPr>
            </w:pPr>
            <w:r w:rsidRPr="00611F84">
              <w:rPr>
                <w:rFonts w:ascii="Garamond" w:eastAsia="Times New Roman" w:hAnsi="Garamond" w:cs="Times New Roman"/>
                <w:szCs w:val="20"/>
              </w:rPr>
              <w:t>Sample</w:t>
            </w:r>
          </w:p>
        </w:tc>
        <w:tc>
          <w:tcPr>
            <w:tcW w:w="1530" w:type="dxa"/>
            <w:tcBorders>
              <w:top w:val="single" w:sz="4" w:space="0" w:color="auto"/>
              <w:left w:val="nil"/>
              <w:bottom w:val="single" w:sz="4" w:space="0" w:color="auto"/>
              <w:right w:val="single" w:sz="4" w:space="0" w:color="auto"/>
            </w:tcBorders>
            <w:shd w:val="clear" w:color="000000" w:fill="DAE9F8"/>
            <w:hideMark/>
          </w:tcPr>
          <w:p w14:paraId="382F6985" w14:textId="77777777" w:rsidR="00616096" w:rsidRPr="00611F84" w:rsidRDefault="00616096" w:rsidP="00924822">
            <w:pPr>
              <w:jc w:val="center"/>
              <w:rPr>
                <w:rFonts w:ascii="Garamond" w:eastAsia="Times New Roman" w:hAnsi="Garamond" w:cs="Times New Roman"/>
                <w:szCs w:val="20"/>
              </w:rPr>
            </w:pPr>
            <w:r w:rsidRPr="00611F84">
              <w:rPr>
                <w:rFonts w:ascii="Garamond" w:eastAsia="Times New Roman" w:hAnsi="Garamond" w:cs="Times New Roman"/>
                <w:szCs w:val="20"/>
              </w:rPr>
              <w:t>L1/L2</w:t>
            </w:r>
          </w:p>
        </w:tc>
        <w:tc>
          <w:tcPr>
            <w:tcW w:w="1080" w:type="dxa"/>
            <w:tcBorders>
              <w:top w:val="single" w:sz="4" w:space="0" w:color="auto"/>
              <w:left w:val="nil"/>
              <w:bottom w:val="single" w:sz="4" w:space="0" w:color="auto"/>
              <w:right w:val="single" w:sz="4" w:space="0" w:color="auto"/>
            </w:tcBorders>
            <w:shd w:val="clear" w:color="000000" w:fill="DAE9F8"/>
            <w:hideMark/>
          </w:tcPr>
          <w:p w14:paraId="0DEFE8E3" w14:textId="77777777" w:rsidR="00616096" w:rsidRPr="00611F84" w:rsidRDefault="00616096" w:rsidP="00924822">
            <w:pPr>
              <w:jc w:val="center"/>
              <w:rPr>
                <w:rFonts w:ascii="Garamond" w:eastAsia="Times New Roman" w:hAnsi="Garamond" w:cs="Times New Roman"/>
                <w:szCs w:val="20"/>
              </w:rPr>
            </w:pPr>
            <w:r w:rsidRPr="00611F84">
              <w:rPr>
                <w:rFonts w:ascii="Garamond" w:eastAsia="Times New Roman" w:hAnsi="Garamond" w:cs="Times New Roman"/>
                <w:szCs w:val="20"/>
              </w:rPr>
              <w:t>Context</w:t>
            </w:r>
          </w:p>
        </w:tc>
        <w:tc>
          <w:tcPr>
            <w:tcW w:w="1440" w:type="dxa"/>
            <w:tcBorders>
              <w:top w:val="single" w:sz="4" w:space="0" w:color="auto"/>
              <w:left w:val="nil"/>
              <w:bottom w:val="single" w:sz="4" w:space="0" w:color="auto"/>
              <w:right w:val="single" w:sz="4" w:space="0" w:color="auto"/>
            </w:tcBorders>
            <w:shd w:val="clear" w:color="000000" w:fill="DAE9F8"/>
            <w:hideMark/>
          </w:tcPr>
          <w:p w14:paraId="47C61093" w14:textId="77777777" w:rsidR="00616096" w:rsidRPr="00611F84" w:rsidRDefault="00616096" w:rsidP="00924822">
            <w:pPr>
              <w:jc w:val="center"/>
              <w:rPr>
                <w:rFonts w:ascii="Garamond" w:eastAsia="Times New Roman" w:hAnsi="Garamond" w:cs="Times New Roman"/>
                <w:szCs w:val="20"/>
              </w:rPr>
            </w:pPr>
            <w:r w:rsidRPr="00611F84">
              <w:rPr>
                <w:rFonts w:ascii="Garamond" w:eastAsia="Times New Roman" w:hAnsi="Garamond" w:cs="Times New Roman"/>
                <w:szCs w:val="20"/>
              </w:rPr>
              <w:t>Theory</w:t>
            </w:r>
          </w:p>
        </w:tc>
        <w:tc>
          <w:tcPr>
            <w:tcW w:w="990" w:type="dxa"/>
            <w:tcBorders>
              <w:top w:val="single" w:sz="4" w:space="0" w:color="auto"/>
              <w:left w:val="nil"/>
              <w:bottom w:val="single" w:sz="4" w:space="0" w:color="auto"/>
              <w:right w:val="single" w:sz="4" w:space="0" w:color="auto"/>
            </w:tcBorders>
            <w:shd w:val="clear" w:color="000000" w:fill="DAE9F8"/>
            <w:hideMark/>
          </w:tcPr>
          <w:p w14:paraId="1476B584" w14:textId="77777777" w:rsidR="00616096" w:rsidRPr="00611F84" w:rsidRDefault="00616096" w:rsidP="00924822">
            <w:pPr>
              <w:jc w:val="center"/>
              <w:rPr>
                <w:rFonts w:ascii="Garamond" w:eastAsia="Times New Roman" w:hAnsi="Garamond" w:cs="Times New Roman"/>
                <w:szCs w:val="20"/>
              </w:rPr>
            </w:pPr>
            <w:r w:rsidRPr="00611F84">
              <w:rPr>
                <w:rFonts w:ascii="Garamond" w:eastAsia="Times New Roman" w:hAnsi="Garamond" w:cs="Times New Roman"/>
                <w:szCs w:val="20"/>
              </w:rPr>
              <w:t>Research design</w:t>
            </w:r>
          </w:p>
        </w:tc>
        <w:tc>
          <w:tcPr>
            <w:tcW w:w="1440" w:type="dxa"/>
            <w:tcBorders>
              <w:top w:val="single" w:sz="4" w:space="0" w:color="auto"/>
              <w:left w:val="nil"/>
              <w:bottom w:val="single" w:sz="4" w:space="0" w:color="auto"/>
              <w:right w:val="single" w:sz="4" w:space="0" w:color="auto"/>
            </w:tcBorders>
            <w:shd w:val="clear" w:color="000000" w:fill="DAE9F8"/>
            <w:hideMark/>
          </w:tcPr>
          <w:p w14:paraId="291E41D3" w14:textId="77777777" w:rsidR="00616096" w:rsidRPr="00611F84" w:rsidRDefault="00616096" w:rsidP="00924822">
            <w:pPr>
              <w:jc w:val="center"/>
              <w:rPr>
                <w:rFonts w:ascii="Garamond" w:eastAsia="Times New Roman" w:hAnsi="Garamond" w:cs="Times New Roman"/>
                <w:szCs w:val="20"/>
              </w:rPr>
            </w:pPr>
            <w:proofErr w:type="gramStart"/>
            <w:r w:rsidRPr="00611F84">
              <w:rPr>
                <w:rFonts w:ascii="Garamond" w:eastAsia="Times New Roman" w:hAnsi="Garamond" w:cs="Times New Roman"/>
                <w:szCs w:val="20"/>
              </w:rPr>
              <w:t>Data  source</w:t>
            </w:r>
            <w:proofErr w:type="gramEnd"/>
          </w:p>
        </w:tc>
        <w:tc>
          <w:tcPr>
            <w:tcW w:w="1440" w:type="dxa"/>
            <w:tcBorders>
              <w:top w:val="single" w:sz="4" w:space="0" w:color="auto"/>
              <w:left w:val="nil"/>
              <w:bottom w:val="single" w:sz="4" w:space="0" w:color="auto"/>
              <w:right w:val="single" w:sz="4" w:space="0" w:color="auto"/>
            </w:tcBorders>
            <w:shd w:val="clear" w:color="000000" w:fill="DAE9F8"/>
            <w:hideMark/>
          </w:tcPr>
          <w:p w14:paraId="08D01053" w14:textId="77777777" w:rsidR="00616096" w:rsidRPr="00611F84" w:rsidRDefault="00616096" w:rsidP="00611F84">
            <w:pPr>
              <w:ind w:right="-109"/>
              <w:jc w:val="center"/>
              <w:rPr>
                <w:rFonts w:ascii="Garamond" w:eastAsia="Times New Roman" w:hAnsi="Garamond" w:cs="Times New Roman"/>
                <w:szCs w:val="20"/>
              </w:rPr>
            </w:pPr>
            <w:r w:rsidRPr="00611F84">
              <w:rPr>
                <w:rFonts w:ascii="Garamond" w:eastAsia="Times New Roman" w:hAnsi="Garamond" w:cs="Times New Roman"/>
                <w:szCs w:val="20"/>
              </w:rPr>
              <w:t>Duration</w:t>
            </w:r>
          </w:p>
        </w:tc>
      </w:tr>
      <w:tr w:rsidR="00611F84" w:rsidRPr="00611F84" w14:paraId="4E940D79"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271AE85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Alinasab et al. (2021)</w:t>
            </w:r>
          </w:p>
        </w:tc>
        <w:tc>
          <w:tcPr>
            <w:tcW w:w="1980" w:type="dxa"/>
            <w:tcBorders>
              <w:top w:val="nil"/>
              <w:left w:val="nil"/>
              <w:bottom w:val="single" w:sz="4" w:space="0" w:color="auto"/>
              <w:right w:val="single" w:sz="4" w:space="0" w:color="auto"/>
            </w:tcBorders>
            <w:shd w:val="clear" w:color="auto" w:fill="auto"/>
            <w:hideMark/>
          </w:tcPr>
          <w:p w14:paraId="4E50791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Writing strategies</w:t>
            </w:r>
            <w:r w:rsidRPr="00611F84">
              <w:rPr>
                <w:rFonts w:ascii="Garamond" w:eastAsia="Times New Roman" w:hAnsi="Garamond" w:cs="Times New Roman"/>
                <w:szCs w:val="20"/>
              </w:rPr>
              <w:br/>
              <w:t>• Revision strategies</w:t>
            </w:r>
          </w:p>
        </w:tc>
        <w:tc>
          <w:tcPr>
            <w:tcW w:w="2160" w:type="dxa"/>
            <w:tcBorders>
              <w:top w:val="nil"/>
              <w:left w:val="nil"/>
              <w:bottom w:val="single" w:sz="4" w:space="0" w:color="auto"/>
              <w:right w:val="single" w:sz="4" w:space="0" w:color="auto"/>
            </w:tcBorders>
            <w:shd w:val="clear" w:color="auto" w:fill="auto"/>
            <w:hideMark/>
          </w:tcPr>
          <w:p w14:paraId="0041801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most common revision strategies were expansion, reformulation, and addition.</w:t>
            </w:r>
          </w:p>
        </w:tc>
        <w:tc>
          <w:tcPr>
            <w:tcW w:w="1530" w:type="dxa"/>
            <w:tcBorders>
              <w:top w:val="nil"/>
              <w:left w:val="nil"/>
              <w:bottom w:val="single" w:sz="4" w:space="0" w:color="auto"/>
              <w:right w:val="single" w:sz="4" w:space="0" w:color="auto"/>
            </w:tcBorders>
            <w:shd w:val="clear" w:color="auto" w:fill="auto"/>
            <w:hideMark/>
          </w:tcPr>
          <w:p w14:paraId="6BDC5A1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12 grad students</w:t>
            </w:r>
          </w:p>
        </w:tc>
        <w:tc>
          <w:tcPr>
            <w:tcW w:w="1530" w:type="dxa"/>
            <w:tcBorders>
              <w:top w:val="nil"/>
              <w:left w:val="nil"/>
              <w:bottom w:val="single" w:sz="4" w:space="0" w:color="auto"/>
              <w:right w:val="single" w:sz="4" w:space="0" w:color="auto"/>
            </w:tcBorders>
            <w:shd w:val="clear" w:color="auto" w:fill="auto"/>
            <w:hideMark/>
          </w:tcPr>
          <w:p w14:paraId="7F79B6E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Farsi L1</w:t>
            </w:r>
          </w:p>
        </w:tc>
        <w:tc>
          <w:tcPr>
            <w:tcW w:w="1080" w:type="dxa"/>
            <w:tcBorders>
              <w:top w:val="nil"/>
              <w:left w:val="nil"/>
              <w:bottom w:val="single" w:sz="4" w:space="0" w:color="auto"/>
              <w:right w:val="single" w:sz="4" w:space="0" w:color="auto"/>
            </w:tcBorders>
            <w:shd w:val="clear" w:color="auto" w:fill="auto"/>
            <w:hideMark/>
          </w:tcPr>
          <w:p w14:paraId="7B6A456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(Iran)</w:t>
            </w:r>
          </w:p>
        </w:tc>
        <w:tc>
          <w:tcPr>
            <w:tcW w:w="1440" w:type="dxa"/>
            <w:tcBorders>
              <w:top w:val="nil"/>
              <w:left w:val="nil"/>
              <w:bottom w:val="single" w:sz="4" w:space="0" w:color="auto"/>
              <w:right w:val="single" w:sz="4" w:space="0" w:color="auto"/>
            </w:tcBorders>
            <w:shd w:val="clear" w:color="auto" w:fill="auto"/>
            <w:hideMark/>
          </w:tcPr>
          <w:p w14:paraId="36F68FD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Genre theory</w:t>
            </w:r>
          </w:p>
        </w:tc>
        <w:tc>
          <w:tcPr>
            <w:tcW w:w="990" w:type="dxa"/>
            <w:tcBorders>
              <w:top w:val="nil"/>
              <w:left w:val="nil"/>
              <w:bottom w:val="single" w:sz="4" w:space="0" w:color="auto"/>
              <w:right w:val="single" w:sz="4" w:space="0" w:color="auto"/>
            </w:tcBorders>
            <w:shd w:val="clear" w:color="auto" w:fill="auto"/>
            <w:hideMark/>
          </w:tcPr>
          <w:p w14:paraId="2BF9D15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29E128C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research paper and a stimulated recall</w:t>
            </w:r>
          </w:p>
        </w:tc>
        <w:tc>
          <w:tcPr>
            <w:tcW w:w="1440" w:type="dxa"/>
            <w:tcBorders>
              <w:top w:val="nil"/>
              <w:left w:val="nil"/>
              <w:bottom w:val="single" w:sz="4" w:space="0" w:color="auto"/>
              <w:right w:val="single" w:sz="4" w:space="0" w:color="auto"/>
            </w:tcBorders>
            <w:shd w:val="clear" w:color="auto" w:fill="auto"/>
            <w:hideMark/>
          </w:tcPr>
          <w:p w14:paraId="3DE67E9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10 sessions</w:t>
            </w:r>
          </w:p>
        </w:tc>
      </w:tr>
      <w:tr w:rsidR="00611F84" w:rsidRPr="00611F84" w14:paraId="57445D44"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20D5BCE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Awada &amp; Diab (2023)</w:t>
            </w:r>
          </w:p>
        </w:tc>
        <w:tc>
          <w:tcPr>
            <w:tcW w:w="1980" w:type="dxa"/>
            <w:tcBorders>
              <w:top w:val="nil"/>
              <w:left w:val="nil"/>
              <w:bottom w:val="single" w:sz="4" w:space="0" w:color="auto"/>
              <w:right w:val="single" w:sz="4" w:space="0" w:color="auto"/>
            </w:tcBorders>
            <w:shd w:val="clear" w:color="auto" w:fill="auto"/>
            <w:hideMark/>
          </w:tcPr>
          <w:p w14:paraId="42BC39D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Feedback</w:t>
            </w:r>
            <w:r w:rsidRPr="00611F84">
              <w:rPr>
                <w:rFonts w:ascii="Garamond" w:eastAsia="Times New Roman" w:hAnsi="Garamond" w:cs="Times New Roman"/>
                <w:szCs w:val="20"/>
              </w:rPr>
              <w:br/>
              <w:t>• Peer review modality</w:t>
            </w:r>
          </w:p>
        </w:tc>
        <w:tc>
          <w:tcPr>
            <w:tcW w:w="2160" w:type="dxa"/>
            <w:tcBorders>
              <w:top w:val="nil"/>
              <w:left w:val="nil"/>
              <w:bottom w:val="single" w:sz="4" w:space="0" w:color="auto"/>
              <w:right w:val="single" w:sz="4" w:space="0" w:color="auto"/>
            </w:tcBorders>
            <w:shd w:val="clear" w:color="auto" w:fill="auto"/>
            <w:hideMark/>
          </w:tcPr>
          <w:p w14:paraId="4A02C93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who received online peer review feedback performed better than those who received face-to-face peer review feedback.</w:t>
            </w:r>
          </w:p>
        </w:tc>
        <w:tc>
          <w:tcPr>
            <w:tcW w:w="1530" w:type="dxa"/>
            <w:tcBorders>
              <w:top w:val="nil"/>
              <w:left w:val="nil"/>
              <w:bottom w:val="single" w:sz="4" w:space="0" w:color="auto"/>
              <w:right w:val="single" w:sz="4" w:space="0" w:color="auto"/>
            </w:tcBorders>
            <w:shd w:val="clear" w:color="auto" w:fill="auto"/>
            <w:hideMark/>
          </w:tcPr>
          <w:p w14:paraId="67EEF97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122 under-grads </w:t>
            </w:r>
          </w:p>
        </w:tc>
        <w:tc>
          <w:tcPr>
            <w:tcW w:w="1530" w:type="dxa"/>
            <w:tcBorders>
              <w:top w:val="nil"/>
              <w:left w:val="nil"/>
              <w:bottom w:val="single" w:sz="4" w:space="0" w:color="auto"/>
              <w:right w:val="single" w:sz="4" w:space="0" w:color="auto"/>
            </w:tcBorders>
            <w:shd w:val="clear" w:color="auto" w:fill="auto"/>
            <w:hideMark/>
          </w:tcPr>
          <w:p w14:paraId="55E5D91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Kinyarwanda L1</w:t>
            </w:r>
          </w:p>
        </w:tc>
        <w:tc>
          <w:tcPr>
            <w:tcW w:w="1080" w:type="dxa"/>
            <w:tcBorders>
              <w:top w:val="nil"/>
              <w:left w:val="nil"/>
              <w:bottom w:val="single" w:sz="4" w:space="0" w:color="auto"/>
              <w:right w:val="single" w:sz="4" w:space="0" w:color="auto"/>
            </w:tcBorders>
            <w:shd w:val="clear" w:color="auto" w:fill="auto"/>
            <w:hideMark/>
          </w:tcPr>
          <w:p w14:paraId="6DC65FC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(Leba-non)</w:t>
            </w:r>
          </w:p>
        </w:tc>
        <w:tc>
          <w:tcPr>
            <w:tcW w:w="1440" w:type="dxa"/>
            <w:tcBorders>
              <w:top w:val="nil"/>
              <w:left w:val="nil"/>
              <w:bottom w:val="single" w:sz="4" w:space="0" w:color="auto"/>
              <w:right w:val="single" w:sz="4" w:space="0" w:color="auto"/>
            </w:tcBorders>
            <w:shd w:val="clear" w:color="auto" w:fill="auto"/>
            <w:hideMark/>
          </w:tcPr>
          <w:p w14:paraId="6E5480D9" w14:textId="77777777" w:rsidR="00616096" w:rsidRPr="00611F84" w:rsidRDefault="00616096" w:rsidP="00924822">
            <w:pPr>
              <w:rPr>
                <w:rFonts w:ascii="Garamond" w:eastAsia="Times New Roman" w:hAnsi="Garamond" w:cs="Times New Roman"/>
                <w:szCs w:val="20"/>
              </w:rPr>
            </w:pPr>
            <w:r w:rsidRPr="00611F84">
              <w:rPr>
                <w:rFonts w:ascii="Garamond" w:hAnsi="Garamond" w:cs="Times New Roman"/>
                <w:szCs w:val="20"/>
              </w:rPr>
              <w:t>S</w:t>
            </w:r>
            <w:r w:rsidRPr="00611F84">
              <w:rPr>
                <w:rFonts w:ascii="Garamond" w:eastAsia="Times New Roman" w:hAnsi="Garamond" w:cs="Times New Roman"/>
                <w:szCs w:val="20"/>
              </w:rPr>
              <w:t>ociocultural theory, writing process theory</w:t>
            </w:r>
          </w:p>
        </w:tc>
        <w:tc>
          <w:tcPr>
            <w:tcW w:w="990" w:type="dxa"/>
            <w:tcBorders>
              <w:top w:val="nil"/>
              <w:left w:val="nil"/>
              <w:bottom w:val="single" w:sz="4" w:space="0" w:color="auto"/>
              <w:right w:val="single" w:sz="4" w:space="0" w:color="auto"/>
            </w:tcBorders>
            <w:shd w:val="clear" w:color="auto" w:fill="auto"/>
            <w:hideMark/>
          </w:tcPr>
          <w:p w14:paraId="3ADFE9E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3B1D6AD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argumentative synthesis essays and a peer review</w:t>
            </w:r>
          </w:p>
        </w:tc>
        <w:tc>
          <w:tcPr>
            <w:tcW w:w="1440" w:type="dxa"/>
            <w:tcBorders>
              <w:top w:val="nil"/>
              <w:left w:val="nil"/>
              <w:bottom w:val="single" w:sz="4" w:space="0" w:color="auto"/>
              <w:right w:val="single" w:sz="4" w:space="0" w:color="auto"/>
            </w:tcBorders>
            <w:shd w:val="clear" w:color="auto" w:fill="auto"/>
            <w:hideMark/>
          </w:tcPr>
          <w:p w14:paraId="7298496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12 weeks</w:t>
            </w:r>
          </w:p>
        </w:tc>
      </w:tr>
      <w:tr w:rsidR="00611F84" w:rsidRPr="00611F84" w14:paraId="5037B322"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74BACEBE"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Barkaoui</w:t>
            </w:r>
            <w:proofErr w:type="spellEnd"/>
            <w:r w:rsidRPr="00611F84">
              <w:rPr>
                <w:rFonts w:ascii="Garamond" w:eastAsia="Times New Roman" w:hAnsi="Garamond" w:cs="Times New Roman"/>
                <w:szCs w:val="20"/>
              </w:rPr>
              <w:t xml:space="preserve"> (2014)</w:t>
            </w:r>
          </w:p>
        </w:tc>
        <w:tc>
          <w:tcPr>
            <w:tcW w:w="1980" w:type="dxa"/>
            <w:tcBorders>
              <w:top w:val="nil"/>
              <w:left w:val="nil"/>
              <w:bottom w:val="single" w:sz="4" w:space="0" w:color="auto"/>
              <w:right w:val="single" w:sz="4" w:space="0" w:color="auto"/>
            </w:tcBorders>
            <w:shd w:val="clear" w:color="auto" w:fill="auto"/>
            <w:hideMark/>
          </w:tcPr>
          <w:p w14:paraId="3D9A557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L2 proficiency</w:t>
            </w:r>
            <w:r w:rsidRPr="00611F84">
              <w:rPr>
                <w:rFonts w:ascii="Garamond" w:eastAsia="Times New Roman" w:hAnsi="Garamond" w:cs="Times New Roman"/>
                <w:szCs w:val="20"/>
              </w:rPr>
              <w:br/>
              <w:t>• Keyboarding skills</w:t>
            </w:r>
          </w:p>
        </w:tc>
        <w:tc>
          <w:tcPr>
            <w:tcW w:w="2160" w:type="dxa"/>
            <w:tcBorders>
              <w:top w:val="nil"/>
              <w:left w:val="nil"/>
              <w:bottom w:val="single" w:sz="4" w:space="0" w:color="auto"/>
              <w:right w:val="single" w:sz="4" w:space="0" w:color="auto"/>
            </w:tcBorders>
            <w:shd w:val="clear" w:color="auto" w:fill="auto"/>
            <w:hideMark/>
          </w:tcPr>
          <w:p w14:paraId="64CCCB0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Overall English language proficiency was a stronger predictor of TOEFL writing scores than keyboarding skills.</w:t>
            </w:r>
          </w:p>
        </w:tc>
        <w:tc>
          <w:tcPr>
            <w:tcW w:w="1530" w:type="dxa"/>
            <w:tcBorders>
              <w:top w:val="nil"/>
              <w:left w:val="nil"/>
              <w:bottom w:val="single" w:sz="4" w:space="0" w:color="auto"/>
              <w:right w:val="single" w:sz="4" w:space="0" w:color="auto"/>
            </w:tcBorders>
            <w:shd w:val="clear" w:color="auto" w:fill="auto"/>
            <w:hideMark/>
          </w:tcPr>
          <w:p w14:paraId="1F94E85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97 under-</w:t>
            </w:r>
          </w:p>
          <w:p w14:paraId="2EA2189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grads and grad students</w:t>
            </w:r>
          </w:p>
        </w:tc>
        <w:tc>
          <w:tcPr>
            <w:tcW w:w="1530" w:type="dxa"/>
            <w:tcBorders>
              <w:top w:val="nil"/>
              <w:left w:val="nil"/>
              <w:bottom w:val="single" w:sz="4" w:space="0" w:color="auto"/>
              <w:right w:val="single" w:sz="4" w:space="0" w:color="auto"/>
            </w:tcBorders>
            <w:shd w:val="clear" w:color="auto" w:fill="auto"/>
            <w:hideMark/>
          </w:tcPr>
          <w:p w14:paraId="1B9526A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Farsi L1</w:t>
            </w:r>
            <w:r w:rsidRPr="00611F84">
              <w:rPr>
                <w:rFonts w:ascii="Garamond" w:eastAsia="Times New Roman" w:hAnsi="Garamond" w:cs="Times New Roman"/>
                <w:szCs w:val="20"/>
              </w:rPr>
              <w:br/>
              <w:t>Korean L1</w:t>
            </w:r>
          </w:p>
        </w:tc>
        <w:tc>
          <w:tcPr>
            <w:tcW w:w="1080" w:type="dxa"/>
            <w:tcBorders>
              <w:top w:val="nil"/>
              <w:left w:val="nil"/>
              <w:bottom w:val="single" w:sz="4" w:space="0" w:color="auto"/>
              <w:right w:val="single" w:sz="4" w:space="0" w:color="auto"/>
            </w:tcBorders>
            <w:shd w:val="clear" w:color="auto" w:fill="auto"/>
            <w:hideMark/>
          </w:tcPr>
          <w:p w14:paraId="43F996E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(Canada)</w:t>
            </w:r>
          </w:p>
        </w:tc>
        <w:tc>
          <w:tcPr>
            <w:tcW w:w="1440" w:type="dxa"/>
            <w:tcBorders>
              <w:top w:val="nil"/>
              <w:left w:val="nil"/>
              <w:bottom w:val="single" w:sz="4" w:space="0" w:color="auto"/>
              <w:right w:val="single" w:sz="4" w:space="0" w:color="auto"/>
            </w:tcBorders>
            <w:shd w:val="clear" w:color="auto" w:fill="auto"/>
            <w:hideMark/>
          </w:tcPr>
          <w:p w14:paraId="592031B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Cognitive models of writing: Fayol, Hayes, Kellogg</w:t>
            </w:r>
          </w:p>
        </w:tc>
        <w:tc>
          <w:tcPr>
            <w:tcW w:w="990" w:type="dxa"/>
            <w:tcBorders>
              <w:top w:val="nil"/>
              <w:left w:val="nil"/>
              <w:bottom w:val="single" w:sz="4" w:space="0" w:color="auto"/>
              <w:right w:val="single" w:sz="4" w:space="0" w:color="auto"/>
            </w:tcBorders>
            <w:shd w:val="clear" w:color="auto" w:fill="auto"/>
            <w:hideMark/>
          </w:tcPr>
          <w:p w14:paraId="4320A3C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5638091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 TOEFL writing tasks (1 integrated &amp; 2 independent) and typing skills tests</w:t>
            </w:r>
          </w:p>
        </w:tc>
        <w:tc>
          <w:tcPr>
            <w:tcW w:w="1440" w:type="dxa"/>
            <w:tcBorders>
              <w:top w:val="nil"/>
              <w:left w:val="nil"/>
              <w:bottom w:val="single" w:sz="4" w:space="0" w:color="auto"/>
              <w:right w:val="single" w:sz="4" w:space="0" w:color="auto"/>
            </w:tcBorders>
            <w:shd w:val="clear" w:color="auto" w:fill="auto"/>
            <w:hideMark/>
          </w:tcPr>
          <w:p w14:paraId="3EC2BF7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25</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30 min (timed writing tasks)</w:t>
            </w:r>
          </w:p>
        </w:tc>
      </w:tr>
      <w:tr w:rsidR="00611F84" w:rsidRPr="00611F84" w14:paraId="196C44D1" w14:textId="77777777" w:rsidTr="00611F84">
        <w:trPr>
          <w:trHeight w:val="60"/>
        </w:trPr>
        <w:tc>
          <w:tcPr>
            <w:tcW w:w="1620" w:type="dxa"/>
            <w:tcBorders>
              <w:top w:val="nil"/>
              <w:left w:val="single" w:sz="4" w:space="0" w:color="auto"/>
              <w:bottom w:val="single" w:sz="4" w:space="0" w:color="auto"/>
              <w:right w:val="single" w:sz="4" w:space="0" w:color="auto"/>
            </w:tcBorders>
            <w:shd w:val="clear" w:color="auto" w:fill="auto"/>
            <w:hideMark/>
          </w:tcPr>
          <w:p w14:paraId="03E01212"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Barkaoui</w:t>
            </w:r>
            <w:proofErr w:type="spellEnd"/>
            <w:r w:rsidRPr="00611F84">
              <w:rPr>
                <w:rFonts w:ascii="Garamond" w:eastAsia="Times New Roman" w:hAnsi="Garamond" w:cs="Times New Roman"/>
                <w:szCs w:val="20"/>
              </w:rPr>
              <w:t xml:space="preserve"> (2015)</w:t>
            </w:r>
          </w:p>
          <w:p w14:paraId="4621F389" w14:textId="77777777" w:rsidR="00616096" w:rsidRPr="00611F84" w:rsidRDefault="00616096" w:rsidP="00924822">
            <w:pPr>
              <w:rPr>
                <w:rFonts w:ascii="Garamond" w:eastAsia="Times New Roman" w:hAnsi="Garamond" w:cs="Times New Roman"/>
                <w:szCs w:val="20"/>
              </w:rPr>
            </w:pPr>
          </w:p>
        </w:tc>
        <w:tc>
          <w:tcPr>
            <w:tcW w:w="1980" w:type="dxa"/>
            <w:tcBorders>
              <w:top w:val="nil"/>
              <w:left w:val="nil"/>
              <w:bottom w:val="single" w:sz="4" w:space="0" w:color="auto"/>
              <w:right w:val="single" w:sz="4" w:space="0" w:color="auto"/>
            </w:tcBorders>
            <w:shd w:val="clear" w:color="auto" w:fill="auto"/>
            <w:hideMark/>
          </w:tcPr>
          <w:p w14:paraId="1F88B50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Composing processes</w:t>
            </w:r>
            <w:r w:rsidRPr="00611F84">
              <w:rPr>
                <w:rFonts w:ascii="Garamond" w:eastAsia="Times New Roman" w:hAnsi="Garamond" w:cs="Times New Roman"/>
                <w:szCs w:val="20"/>
              </w:rPr>
              <w:br/>
              <w:t>• Writing activities</w:t>
            </w:r>
          </w:p>
        </w:tc>
        <w:tc>
          <w:tcPr>
            <w:tcW w:w="2160" w:type="dxa"/>
            <w:tcBorders>
              <w:top w:val="nil"/>
              <w:left w:val="nil"/>
              <w:bottom w:val="single" w:sz="4" w:space="0" w:color="auto"/>
              <w:right w:val="single" w:sz="4" w:space="0" w:color="auto"/>
            </w:tcBorders>
            <w:shd w:val="clear" w:color="auto" w:fill="auto"/>
            <w:hideMark/>
          </w:tcPr>
          <w:p w14:paraId="5A9664E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Test-takers engaged in various activities, such as interacting with sources and generating and retrieving </w:t>
            </w:r>
            <w:r w:rsidRPr="00611F84">
              <w:rPr>
                <w:rFonts w:ascii="Garamond" w:eastAsia="Times New Roman" w:hAnsi="Garamond" w:cs="Times New Roman"/>
                <w:szCs w:val="20"/>
              </w:rPr>
              <w:lastRenderedPageBreak/>
              <w:t>information during TOEFL writing tasks.</w:t>
            </w:r>
          </w:p>
        </w:tc>
        <w:tc>
          <w:tcPr>
            <w:tcW w:w="1530" w:type="dxa"/>
            <w:tcBorders>
              <w:top w:val="nil"/>
              <w:left w:val="nil"/>
              <w:bottom w:val="single" w:sz="4" w:space="0" w:color="auto"/>
              <w:right w:val="single" w:sz="4" w:space="0" w:color="auto"/>
            </w:tcBorders>
            <w:shd w:val="clear" w:color="auto" w:fill="auto"/>
            <w:hideMark/>
          </w:tcPr>
          <w:p w14:paraId="56A8C53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97 under-grads and grad students</w:t>
            </w:r>
          </w:p>
        </w:tc>
        <w:tc>
          <w:tcPr>
            <w:tcW w:w="1530" w:type="dxa"/>
            <w:tcBorders>
              <w:top w:val="nil"/>
              <w:left w:val="nil"/>
              <w:bottom w:val="single" w:sz="4" w:space="0" w:color="auto"/>
              <w:right w:val="single" w:sz="4" w:space="0" w:color="auto"/>
            </w:tcBorders>
            <w:shd w:val="clear" w:color="auto" w:fill="auto"/>
            <w:hideMark/>
          </w:tcPr>
          <w:p w14:paraId="23A2684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Vietnamese L1</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Bengali L1</w:t>
            </w:r>
            <w:r w:rsidRPr="00611F84">
              <w:rPr>
                <w:rFonts w:ascii="Garamond" w:eastAsia="Times New Roman" w:hAnsi="Garamond" w:cs="Times New Roman"/>
                <w:szCs w:val="20"/>
              </w:rPr>
              <w:br/>
            </w:r>
            <w:r w:rsidRPr="00611F84">
              <w:rPr>
                <w:rFonts w:ascii="Garamond" w:eastAsia="Times New Roman" w:hAnsi="Garamond" w:cs="Times New Roman"/>
                <w:szCs w:val="20"/>
              </w:rPr>
              <w:lastRenderedPageBreak/>
              <w:t>Farsi L1</w:t>
            </w:r>
            <w:r w:rsidRPr="00611F84">
              <w:rPr>
                <w:rFonts w:ascii="Garamond" w:eastAsia="Times New Roman" w:hAnsi="Garamond" w:cs="Times New Roman"/>
                <w:szCs w:val="20"/>
              </w:rPr>
              <w:br/>
              <w:t>other L1s</w:t>
            </w:r>
          </w:p>
        </w:tc>
        <w:tc>
          <w:tcPr>
            <w:tcW w:w="1080" w:type="dxa"/>
            <w:tcBorders>
              <w:top w:val="nil"/>
              <w:left w:val="nil"/>
              <w:bottom w:val="single" w:sz="4" w:space="0" w:color="auto"/>
              <w:right w:val="single" w:sz="4" w:space="0" w:color="auto"/>
            </w:tcBorders>
            <w:shd w:val="clear" w:color="auto" w:fill="auto"/>
            <w:hideMark/>
          </w:tcPr>
          <w:p w14:paraId="2888615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ESL (Canada)</w:t>
            </w:r>
          </w:p>
        </w:tc>
        <w:tc>
          <w:tcPr>
            <w:tcW w:w="1440" w:type="dxa"/>
            <w:tcBorders>
              <w:top w:val="nil"/>
              <w:left w:val="nil"/>
              <w:bottom w:val="single" w:sz="4" w:space="0" w:color="auto"/>
              <w:right w:val="single" w:sz="4" w:space="0" w:color="auto"/>
            </w:tcBorders>
            <w:shd w:val="clear" w:color="auto" w:fill="auto"/>
            <w:hideMark/>
          </w:tcPr>
          <w:p w14:paraId="1309FFE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Hayes and Flower’s model of writing, </w:t>
            </w:r>
            <w:proofErr w:type="spellStart"/>
            <w:r w:rsidRPr="00611F84">
              <w:rPr>
                <w:rFonts w:ascii="Garamond" w:eastAsia="Times New Roman" w:hAnsi="Garamond" w:cs="Times New Roman"/>
                <w:szCs w:val="20"/>
              </w:rPr>
              <w:t>Scardamalia</w:t>
            </w:r>
            <w:proofErr w:type="spellEnd"/>
            <w:r w:rsidRPr="00611F84">
              <w:rPr>
                <w:rFonts w:ascii="Garamond" w:eastAsia="Times New Roman" w:hAnsi="Garamond" w:cs="Times New Roman"/>
                <w:szCs w:val="20"/>
              </w:rPr>
              <w:t xml:space="preserve"> and Bereiter’s </w:t>
            </w:r>
            <w:r w:rsidRPr="00611F84">
              <w:rPr>
                <w:rFonts w:ascii="Garamond" w:eastAsia="Times New Roman" w:hAnsi="Garamond" w:cs="Times New Roman"/>
                <w:szCs w:val="20"/>
              </w:rPr>
              <w:lastRenderedPageBreak/>
              <w:t>knowledge telling and knowledge transforming</w:t>
            </w:r>
          </w:p>
        </w:tc>
        <w:tc>
          <w:tcPr>
            <w:tcW w:w="990" w:type="dxa"/>
            <w:tcBorders>
              <w:top w:val="nil"/>
              <w:left w:val="nil"/>
              <w:bottom w:val="single" w:sz="4" w:space="0" w:color="auto"/>
              <w:right w:val="single" w:sz="4" w:space="0" w:color="auto"/>
            </w:tcBorders>
            <w:shd w:val="clear" w:color="auto" w:fill="auto"/>
            <w:hideMark/>
          </w:tcPr>
          <w:p w14:paraId="01AAD92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QT</w:t>
            </w:r>
          </w:p>
        </w:tc>
        <w:tc>
          <w:tcPr>
            <w:tcW w:w="1440" w:type="dxa"/>
            <w:tcBorders>
              <w:top w:val="nil"/>
              <w:left w:val="nil"/>
              <w:bottom w:val="single" w:sz="4" w:space="0" w:color="auto"/>
              <w:right w:val="single" w:sz="4" w:space="0" w:color="auto"/>
            </w:tcBorders>
            <w:shd w:val="clear" w:color="auto" w:fill="auto"/>
            <w:hideMark/>
          </w:tcPr>
          <w:p w14:paraId="1258477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3 TOEFL writing tasks (1 integrated &amp; 2 independent), typing skills </w:t>
            </w:r>
            <w:r w:rsidRPr="00611F84">
              <w:rPr>
                <w:rFonts w:ascii="Garamond" w:eastAsia="Times New Roman" w:hAnsi="Garamond" w:cs="Times New Roman"/>
                <w:szCs w:val="20"/>
              </w:rPr>
              <w:lastRenderedPageBreak/>
              <w:t>tests, and a stimulated recall</w:t>
            </w:r>
          </w:p>
        </w:tc>
        <w:tc>
          <w:tcPr>
            <w:tcW w:w="1440" w:type="dxa"/>
            <w:tcBorders>
              <w:top w:val="nil"/>
              <w:left w:val="nil"/>
              <w:bottom w:val="single" w:sz="4" w:space="0" w:color="auto"/>
              <w:right w:val="single" w:sz="4" w:space="0" w:color="auto"/>
            </w:tcBorders>
            <w:shd w:val="clear" w:color="auto" w:fill="auto"/>
            <w:hideMark/>
          </w:tcPr>
          <w:p w14:paraId="5FB970F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25</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30 min (timed writing tasks)</w:t>
            </w:r>
          </w:p>
          <w:p w14:paraId="682FF6C4" w14:textId="77777777" w:rsidR="00616096" w:rsidRPr="00611F84" w:rsidRDefault="00616096" w:rsidP="00924822">
            <w:pPr>
              <w:rPr>
                <w:rFonts w:ascii="Garamond" w:eastAsia="Times New Roman" w:hAnsi="Garamond" w:cs="Times New Roman"/>
                <w:szCs w:val="20"/>
              </w:rPr>
            </w:pPr>
          </w:p>
          <w:p w14:paraId="131AB624" w14:textId="77777777" w:rsidR="00616096" w:rsidRPr="00611F84" w:rsidRDefault="00616096" w:rsidP="00924822">
            <w:pPr>
              <w:rPr>
                <w:rFonts w:ascii="Garamond" w:eastAsia="Times New Roman" w:hAnsi="Garamond" w:cs="Times New Roman"/>
                <w:szCs w:val="20"/>
              </w:rPr>
            </w:pPr>
          </w:p>
          <w:p w14:paraId="02CA3D00" w14:textId="77777777" w:rsidR="00616096" w:rsidRPr="00611F84" w:rsidRDefault="00616096" w:rsidP="00924822">
            <w:pPr>
              <w:rPr>
                <w:rFonts w:ascii="Garamond" w:eastAsia="Times New Roman" w:hAnsi="Garamond" w:cs="Times New Roman"/>
                <w:szCs w:val="20"/>
              </w:rPr>
            </w:pPr>
          </w:p>
          <w:p w14:paraId="2392EC23" w14:textId="77777777" w:rsidR="00616096" w:rsidRPr="00611F84" w:rsidRDefault="00616096" w:rsidP="00924822">
            <w:pPr>
              <w:rPr>
                <w:rFonts w:ascii="Garamond" w:eastAsia="Times New Roman" w:hAnsi="Garamond" w:cs="Times New Roman"/>
                <w:szCs w:val="20"/>
              </w:rPr>
            </w:pPr>
          </w:p>
          <w:p w14:paraId="5679CAF7" w14:textId="77777777" w:rsidR="00616096" w:rsidRPr="00611F84" w:rsidRDefault="00616096" w:rsidP="00924822">
            <w:pPr>
              <w:rPr>
                <w:rFonts w:ascii="Garamond" w:eastAsia="Times New Roman" w:hAnsi="Garamond" w:cs="Times New Roman"/>
                <w:szCs w:val="20"/>
              </w:rPr>
            </w:pPr>
          </w:p>
        </w:tc>
      </w:tr>
      <w:tr w:rsidR="00611F84" w:rsidRPr="00611F84" w14:paraId="3B994D08" w14:textId="77777777" w:rsidTr="00611F84">
        <w:trPr>
          <w:trHeight w:val="3433"/>
        </w:trPr>
        <w:tc>
          <w:tcPr>
            <w:tcW w:w="1620" w:type="dxa"/>
            <w:tcBorders>
              <w:top w:val="nil"/>
              <w:left w:val="single" w:sz="4" w:space="0" w:color="auto"/>
              <w:bottom w:val="single" w:sz="4" w:space="0" w:color="auto"/>
              <w:right w:val="single" w:sz="4" w:space="0" w:color="auto"/>
            </w:tcBorders>
            <w:shd w:val="clear" w:color="auto" w:fill="auto"/>
            <w:hideMark/>
          </w:tcPr>
          <w:p w14:paraId="6998CCA8"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lastRenderedPageBreak/>
              <w:t>Barkaoui</w:t>
            </w:r>
            <w:proofErr w:type="spellEnd"/>
            <w:r w:rsidRPr="00611F84">
              <w:rPr>
                <w:rFonts w:ascii="Garamond" w:eastAsia="Times New Roman" w:hAnsi="Garamond" w:cs="Times New Roman"/>
                <w:szCs w:val="20"/>
              </w:rPr>
              <w:t xml:space="preserve"> (2016)</w:t>
            </w:r>
          </w:p>
        </w:tc>
        <w:tc>
          <w:tcPr>
            <w:tcW w:w="1980" w:type="dxa"/>
            <w:tcBorders>
              <w:top w:val="nil"/>
              <w:left w:val="nil"/>
              <w:bottom w:val="single" w:sz="4" w:space="0" w:color="auto"/>
              <w:right w:val="single" w:sz="4" w:space="0" w:color="auto"/>
            </w:tcBorders>
            <w:shd w:val="clear" w:color="auto" w:fill="auto"/>
            <w:hideMark/>
          </w:tcPr>
          <w:p w14:paraId="25F034D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Composing processes</w:t>
            </w:r>
            <w:r w:rsidRPr="00611F84">
              <w:rPr>
                <w:rFonts w:ascii="Garamond" w:eastAsia="Times New Roman" w:hAnsi="Garamond" w:cs="Times New Roman"/>
                <w:szCs w:val="20"/>
              </w:rPr>
              <w:br/>
              <w:t>• Revision behavior (what, when, and how often L2 writers revise)</w:t>
            </w:r>
          </w:p>
        </w:tc>
        <w:tc>
          <w:tcPr>
            <w:tcW w:w="2160" w:type="dxa"/>
            <w:tcBorders>
              <w:top w:val="nil"/>
              <w:left w:val="nil"/>
              <w:bottom w:val="single" w:sz="4" w:space="0" w:color="auto"/>
              <w:right w:val="single" w:sz="4" w:space="0" w:color="auto"/>
            </w:tcBorders>
            <w:shd w:val="clear" w:color="auto" w:fill="auto"/>
            <w:hideMark/>
          </w:tcPr>
          <w:p w14:paraId="0B2877A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Participants made more </w:t>
            </w:r>
            <w:proofErr w:type="spellStart"/>
            <w:r w:rsidRPr="00611F84">
              <w:rPr>
                <w:rFonts w:ascii="Garamond" w:eastAsia="Times New Roman" w:hAnsi="Garamond" w:cs="Times New Roman"/>
                <w:szCs w:val="20"/>
              </w:rPr>
              <w:t>precontextual</w:t>
            </w:r>
            <w:proofErr w:type="spellEnd"/>
            <w:r w:rsidRPr="00611F84">
              <w:rPr>
                <w:rFonts w:ascii="Garamond" w:eastAsia="Times New Roman" w:hAnsi="Garamond" w:cs="Times New Roman"/>
                <w:szCs w:val="20"/>
              </w:rPr>
              <w:t xml:space="preserve"> revisions (at the point of writing) compared to contextual revisions (revising what has already been written). </w:t>
            </w:r>
            <w:proofErr w:type="gramStart"/>
            <w:r w:rsidRPr="00611F84">
              <w:rPr>
                <w:rFonts w:ascii="Garamond" w:eastAsia="Times New Roman" w:hAnsi="Garamond" w:cs="Times New Roman"/>
                <w:szCs w:val="20"/>
              </w:rPr>
              <w:t>More lower</w:t>
            </w:r>
            <w:proofErr w:type="gramEnd"/>
            <w:r w:rsidRPr="00611F84">
              <w:rPr>
                <w:rFonts w:ascii="Garamond" w:eastAsia="Times New Roman" w:hAnsi="Garamond" w:cs="Times New Roman"/>
                <w:szCs w:val="20"/>
              </w:rPr>
              <w:t>-level revisions were made than higher-level ones.</w:t>
            </w:r>
          </w:p>
        </w:tc>
        <w:tc>
          <w:tcPr>
            <w:tcW w:w="1530" w:type="dxa"/>
            <w:tcBorders>
              <w:top w:val="nil"/>
              <w:left w:val="nil"/>
              <w:bottom w:val="single" w:sz="4" w:space="0" w:color="auto"/>
              <w:right w:val="single" w:sz="4" w:space="0" w:color="auto"/>
            </w:tcBorders>
            <w:shd w:val="clear" w:color="auto" w:fill="auto"/>
            <w:hideMark/>
          </w:tcPr>
          <w:p w14:paraId="2A82D6B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54 under-grads and grad students</w:t>
            </w:r>
          </w:p>
        </w:tc>
        <w:tc>
          <w:tcPr>
            <w:tcW w:w="1530" w:type="dxa"/>
            <w:tcBorders>
              <w:top w:val="nil"/>
              <w:left w:val="nil"/>
              <w:bottom w:val="single" w:sz="4" w:space="0" w:color="auto"/>
              <w:right w:val="single" w:sz="4" w:space="0" w:color="auto"/>
            </w:tcBorders>
            <w:shd w:val="clear" w:color="auto" w:fill="auto"/>
            <w:hideMark/>
          </w:tcPr>
          <w:p w14:paraId="7874529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Farsi L1</w:t>
            </w:r>
            <w:r w:rsidRPr="00611F84">
              <w:rPr>
                <w:rFonts w:ascii="Garamond" w:eastAsia="Times New Roman" w:hAnsi="Garamond" w:cs="Times New Roman"/>
                <w:szCs w:val="20"/>
              </w:rPr>
              <w:br/>
              <w:t>other L1s</w:t>
            </w:r>
          </w:p>
        </w:tc>
        <w:tc>
          <w:tcPr>
            <w:tcW w:w="1080" w:type="dxa"/>
            <w:tcBorders>
              <w:top w:val="nil"/>
              <w:left w:val="nil"/>
              <w:bottom w:val="single" w:sz="4" w:space="0" w:color="auto"/>
              <w:right w:val="single" w:sz="4" w:space="0" w:color="auto"/>
            </w:tcBorders>
            <w:shd w:val="clear" w:color="auto" w:fill="auto"/>
            <w:hideMark/>
          </w:tcPr>
          <w:p w14:paraId="2192685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(Canada)</w:t>
            </w:r>
          </w:p>
        </w:tc>
        <w:tc>
          <w:tcPr>
            <w:tcW w:w="1440" w:type="dxa"/>
            <w:tcBorders>
              <w:top w:val="nil"/>
              <w:left w:val="nil"/>
              <w:bottom w:val="single" w:sz="4" w:space="0" w:color="auto"/>
              <w:right w:val="single" w:sz="4" w:space="0" w:color="auto"/>
            </w:tcBorders>
            <w:shd w:val="clear" w:color="auto" w:fill="auto"/>
            <w:hideMark/>
          </w:tcPr>
          <w:p w14:paraId="08B8BB1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Faigley and </w:t>
            </w:r>
            <w:proofErr w:type="gramStart"/>
            <w:r w:rsidRPr="00611F84">
              <w:rPr>
                <w:rFonts w:ascii="Garamond" w:eastAsia="Times New Roman" w:hAnsi="Garamond" w:cs="Times New Roman"/>
                <w:szCs w:val="20"/>
              </w:rPr>
              <w:t>Witte’s  model</w:t>
            </w:r>
            <w:proofErr w:type="gramEnd"/>
            <w:r w:rsidRPr="00611F84">
              <w:rPr>
                <w:rFonts w:ascii="Garamond" w:eastAsia="Times New Roman" w:hAnsi="Garamond" w:cs="Times New Roman"/>
                <w:szCs w:val="20"/>
              </w:rPr>
              <w:t xml:space="preserve"> of revision changes, </w:t>
            </w:r>
            <w:proofErr w:type="spellStart"/>
            <w:r w:rsidRPr="00611F84">
              <w:rPr>
                <w:rFonts w:ascii="Garamond" w:eastAsia="Times New Roman" w:hAnsi="Garamond" w:cs="Times New Roman"/>
                <w:szCs w:val="20"/>
              </w:rPr>
              <w:t>Scardamalia</w:t>
            </w:r>
            <w:proofErr w:type="spellEnd"/>
            <w:r w:rsidRPr="00611F84">
              <w:rPr>
                <w:rFonts w:ascii="Garamond" w:eastAsia="Times New Roman" w:hAnsi="Garamond" w:cs="Times New Roman"/>
                <w:szCs w:val="20"/>
              </w:rPr>
              <w:t xml:space="preserve"> and Bereiter’s process model, Lindgren and Sullivan’s internal and external revisions</w:t>
            </w:r>
          </w:p>
        </w:tc>
        <w:tc>
          <w:tcPr>
            <w:tcW w:w="990" w:type="dxa"/>
            <w:tcBorders>
              <w:top w:val="nil"/>
              <w:left w:val="nil"/>
              <w:bottom w:val="single" w:sz="4" w:space="0" w:color="auto"/>
              <w:right w:val="single" w:sz="4" w:space="0" w:color="auto"/>
            </w:tcBorders>
            <w:shd w:val="clear" w:color="auto" w:fill="auto"/>
            <w:hideMark/>
          </w:tcPr>
          <w:p w14:paraId="31EDA4F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04DE622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 TOEFL writing tasks (1 integrated &amp; 1 independent) and typing skills tests</w:t>
            </w:r>
          </w:p>
        </w:tc>
        <w:tc>
          <w:tcPr>
            <w:tcW w:w="1440" w:type="dxa"/>
            <w:tcBorders>
              <w:top w:val="nil"/>
              <w:left w:val="nil"/>
              <w:bottom w:val="single" w:sz="4" w:space="0" w:color="auto"/>
              <w:right w:val="single" w:sz="4" w:space="0" w:color="auto"/>
            </w:tcBorders>
            <w:shd w:val="clear" w:color="auto" w:fill="auto"/>
            <w:hideMark/>
          </w:tcPr>
          <w:p w14:paraId="62679A5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25</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30 min (timed writing tasks)</w:t>
            </w:r>
          </w:p>
        </w:tc>
      </w:tr>
      <w:tr w:rsidR="00611F84" w:rsidRPr="00611F84" w14:paraId="6A68ABA8"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032CF9B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Baxter &amp; </w:t>
            </w:r>
            <w:proofErr w:type="gramStart"/>
            <w:r w:rsidRPr="00611F84">
              <w:rPr>
                <w:rFonts w:ascii="Garamond" w:eastAsia="Times New Roman" w:hAnsi="Garamond" w:cs="Times New Roman"/>
                <w:szCs w:val="20"/>
              </w:rPr>
              <w:t>Neumann  (</w:t>
            </w:r>
            <w:proofErr w:type="gramEnd"/>
            <w:r w:rsidRPr="00611F84">
              <w:rPr>
                <w:rFonts w:ascii="Garamond" w:eastAsia="Times New Roman" w:hAnsi="Garamond" w:cs="Times New Roman"/>
                <w:szCs w:val="20"/>
              </w:rPr>
              <w:t>2023)</w:t>
            </w:r>
          </w:p>
        </w:tc>
        <w:tc>
          <w:tcPr>
            <w:tcW w:w="1980" w:type="dxa"/>
            <w:tcBorders>
              <w:top w:val="nil"/>
              <w:left w:val="nil"/>
              <w:bottom w:val="single" w:sz="4" w:space="0" w:color="auto"/>
              <w:right w:val="single" w:sz="4" w:space="0" w:color="auto"/>
            </w:tcBorders>
            <w:shd w:val="clear" w:color="auto" w:fill="auto"/>
            <w:hideMark/>
          </w:tcPr>
          <w:p w14:paraId="6F7376E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L2 writing proficiency and source integration patterns</w:t>
            </w:r>
          </w:p>
        </w:tc>
        <w:tc>
          <w:tcPr>
            <w:tcW w:w="2160" w:type="dxa"/>
            <w:tcBorders>
              <w:top w:val="nil"/>
              <w:left w:val="nil"/>
              <w:bottom w:val="single" w:sz="4" w:space="0" w:color="auto"/>
              <w:right w:val="single" w:sz="4" w:space="0" w:color="auto"/>
            </w:tcBorders>
            <w:shd w:val="clear" w:color="auto" w:fill="auto"/>
            <w:hideMark/>
          </w:tcPr>
          <w:p w14:paraId="3BA47A7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L2 writers with high writing scores included less word-for-word source copying and showed more thorough source attribution as well as integration of sources indirectly with citations.</w:t>
            </w:r>
          </w:p>
        </w:tc>
        <w:tc>
          <w:tcPr>
            <w:tcW w:w="1530" w:type="dxa"/>
            <w:tcBorders>
              <w:top w:val="nil"/>
              <w:left w:val="nil"/>
              <w:bottom w:val="single" w:sz="4" w:space="0" w:color="auto"/>
              <w:right w:val="single" w:sz="4" w:space="0" w:color="auto"/>
            </w:tcBorders>
            <w:shd w:val="clear" w:color="auto" w:fill="auto"/>
            <w:hideMark/>
          </w:tcPr>
          <w:p w14:paraId="2FFA369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43 high school students</w:t>
            </w:r>
          </w:p>
        </w:tc>
        <w:tc>
          <w:tcPr>
            <w:tcW w:w="1530" w:type="dxa"/>
            <w:tcBorders>
              <w:top w:val="nil"/>
              <w:left w:val="nil"/>
              <w:bottom w:val="single" w:sz="4" w:space="0" w:color="auto"/>
              <w:right w:val="single" w:sz="4" w:space="0" w:color="auto"/>
            </w:tcBorders>
            <w:shd w:val="clear" w:color="auto" w:fill="auto"/>
            <w:hideMark/>
          </w:tcPr>
          <w:p w14:paraId="2D0DFEA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French L1</w:t>
            </w:r>
            <w:r w:rsidRPr="00611F84">
              <w:rPr>
                <w:rFonts w:ascii="Garamond" w:eastAsia="Times New Roman" w:hAnsi="Garamond" w:cs="Times New Roman"/>
                <w:szCs w:val="20"/>
              </w:rPr>
              <w:br/>
              <w:t>other L1s</w:t>
            </w:r>
          </w:p>
        </w:tc>
        <w:tc>
          <w:tcPr>
            <w:tcW w:w="1080" w:type="dxa"/>
            <w:tcBorders>
              <w:top w:val="nil"/>
              <w:left w:val="nil"/>
              <w:bottom w:val="single" w:sz="4" w:space="0" w:color="auto"/>
              <w:right w:val="single" w:sz="4" w:space="0" w:color="auto"/>
            </w:tcBorders>
            <w:shd w:val="clear" w:color="auto" w:fill="auto"/>
            <w:hideMark/>
          </w:tcPr>
          <w:p w14:paraId="0CEF097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(Canada)</w:t>
            </w:r>
          </w:p>
        </w:tc>
        <w:tc>
          <w:tcPr>
            <w:tcW w:w="1440" w:type="dxa"/>
            <w:tcBorders>
              <w:top w:val="nil"/>
              <w:left w:val="nil"/>
              <w:bottom w:val="single" w:sz="4" w:space="0" w:color="auto"/>
              <w:right w:val="single" w:sz="4" w:space="0" w:color="auto"/>
            </w:tcBorders>
            <w:shd w:val="clear" w:color="auto" w:fill="auto"/>
            <w:hideMark/>
          </w:tcPr>
          <w:p w14:paraId="4949CD1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2F4D455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426AFD7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discussion essay</w:t>
            </w:r>
          </w:p>
        </w:tc>
        <w:tc>
          <w:tcPr>
            <w:tcW w:w="1440" w:type="dxa"/>
            <w:tcBorders>
              <w:top w:val="nil"/>
              <w:left w:val="nil"/>
              <w:bottom w:val="single" w:sz="4" w:space="0" w:color="auto"/>
              <w:right w:val="single" w:sz="4" w:space="0" w:color="auto"/>
            </w:tcBorders>
            <w:shd w:val="clear" w:color="auto" w:fill="auto"/>
            <w:hideMark/>
          </w:tcPr>
          <w:p w14:paraId="1D8AA1A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5 days (3 days for reviewing source texts, two 75-min classes for writing the essay)</w:t>
            </w:r>
          </w:p>
        </w:tc>
      </w:tr>
      <w:tr w:rsidR="00611F84" w:rsidRPr="00611F84" w14:paraId="31BE01A8"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4C8E2F0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Chan (2017)</w:t>
            </w:r>
          </w:p>
        </w:tc>
        <w:tc>
          <w:tcPr>
            <w:tcW w:w="1980" w:type="dxa"/>
            <w:tcBorders>
              <w:top w:val="nil"/>
              <w:left w:val="nil"/>
              <w:bottom w:val="single" w:sz="4" w:space="0" w:color="auto"/>
              <w:right w:val="single" w:sz="4" w:space="0" w:color="auto"/>
            </w:tcBorders>
            <w:shd w:val="clear" w:color="auto" w:fill="auto"/>
            <w:hideMark/>
          </w:tcPr>
          <w:p w14:paraId="05AE5DE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Composing processes</w:t>
            </w:r>
          </w:p>
        </w:tc>
        <w:tc>
          <w:tcPr>
            <w:tcW w:w="2160" w:type="dxa"/>
            <w:tcBorders>
              <w:top w:val="nil"/>
              <w:left w:val="nil"/>
              <w:bottom w:val="single" w:sz="4" w:space="0" w:color="auto"/>
              <w:right w:val="single" w:sz="4" w:space="0" w:color="auto"/>
            </w:tcBorders>
            <w:shd w:val="clear" w:color="auto" w:fill="auto"/>
            <w:hideMark/>
          </w:tcPr>
          <w:p w14:paraId="0D5562A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writer with a higher writing score showed more linear composing process and paused less with higher fluency. Local revisions did not affect the writing score greatly.</w:t>
            </w:r>
          </w:p>
        </w:tc>
        <w:tc>
          <w:tcPr>
            <w:tcW w:w="1530" w:type="dxa"/>
            <w:tcBorders>
              <w:top w:val="nil"/>
              <w:left w:val="nil"/>
              <w:bottom w:val="single" w:sz="4" w:space="0" w:color="auto"/>
              <w:right w:val="single" w:sz="4" w:space="0" w:color="auto"/>
            </w:tcBorders>
            <w:shd w:val="clear" w:color="auto" w:fill="auto"/>
            <w:hideMark/>
          </w:tcPr>
          <w:p w14:paraId="1FB569B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2 grad students in </w:t>
            </w:r>
            <w:proofErr w:type="spellStart"/>
            <w:r w:rsidRPr="00611F84">
              <w:rPr>
                <w:rFonts w:ascii="Garamond" w:eastAsia="Times New Roman" w:hAnsi="Garamond" w:cs="Times New Roman"/>
                <w:szCs w:val="20"/>
              </w:rPr>
              <w:t>engi-neering</w:t>
            </w:r>
            <w:proofErr w:type="spellEnd"/>
            <w:r w:rsidRPr="00611F84">
              <w:rPr>
                <w:rFonts w:ascii="Garamond" w:eastAsia="Times New Roman" w:hAnsi="Garamond" w:cs="Times New Roman"/>
                <w:szCs w:val="20"/>
              </w:rPr>
              <w:t xml:space="preserve"> and </w:t>
            </w:r>
            <w:proofErr w:type="spellStart"/>
            <w:r w:rsidRPr="00611F84">
              <w:rPr>
                <w:rFonts w:ascii="Garamond" w:eastAsia="Times New Roman" w:hAnsi="Garamond" w:cs="Times New Roman"/>
                <w:szCs w:val="20"/>
              </w:rPr>
              <w:t>lingui</w:t>
            </w:r>
            <w:proofErr w:type="spellEnd"/>
            <w:r w:rsidRPr="00611F84">
              <w:rPr>
                <w:rFonts w:ascii="Garamond" w:eastAsia="Times New Roman" w:hAnsi="Garamond" w:cs="Times New Roman"/>
                <w:szCs w:val="20"/>
              </w:rPr>
              <w:t>-</w:t>
            </w:r>
          </w:p>
          <w:p w14:paraId="0DA495C7"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stics</w:t>
            </w:r>
            <w:proofErr w:type="spellEnd"/>
          </w:p>
        </w:tc>
        <w:tc>
          <w:tcPr>
            <w:tcW w:w="1530" w:type="dxa"/>
            <w:tcBorders>
              <w:top w:val="nil"/>
              <w:left w:val="nil"/>
              <w:bottom w:val="single" w:sz="4" w:space="0" w:color="auto"/>
              <w:right w:val="single" w:sz="4" w:space="0" w:color="auto"/>
            </w:tcBorders>
            <w:shd w:val="clear" w:color="auto" w:fill="auto"/>
            <w:hideMark/>
          </w:tcPr>
          <w:p w14:paraId="7E12AB0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2D387DD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(UK)</w:t>
            </w:r>
          </w:p>
        </w:tc>
        <w:tc>
          <w:tcPr>
            <w:tcW w:w="1440" w:type="dxa"/>
            <w:tcBorders>
              <w:top w:val="nil"/>
              <w:left w:val="nil"/>
              <w:bottom w:val="single" w:sz="4" w:space="0" w:color="auto"/>
              <w:right w:val="single" w:sz="4" w:space="0" w:color="auto"/>
            </w:tcBorders>
            <w:shd w:val="clear" w:color="auto" w:fill="auto"/>
            <w:hideMark/>
          </w:tcPr>
          <w:p w14:paraId="6B41826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Discourse synthesis</w:t>
            </w:r>
          </w:p>
        </w:tc>
        <w:tc>
          <w:tcPr>
            <w:tcW w:w="990" w:type="dxa"/>
            <w:tcBorders>
              <w:top w:val="nil"/>
              <w:left w:val="nil"/>
              <w:bottom w:val="single" w:sz="4" w:space="0" w:color="auto"/>
              <w:right w:val="single" w:sz="4" w:space="0" w:color="auto"/>
            </w:tcBorders>
            <w:shd w:val="clear" w:color="auto" w:fill="auto"/>
            <w:hideMark/>
          </w:tcPr>
          <w:p w14:paraId="4B3420E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29DE167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argumenta-</w:t>
            </w:r>
            <w:proofErr w:type="spellStart"/>
            <w:r w:rsidRPr="00611F84">
              <w:rPr>
                <w:rFonts w:ascii="Garamond" w:eastAsia="Times New Roman" w:hAnsi="Garamond" w:cs="Times New Roman"/>
                <w:szCs w:val="20"/>
              </w:rPr>
              <w:t>tive</w:t>
            </w:r>
            <w:proofErr w:type="spellEnd"/>
            <w:r w:rsidRPr="00611F84">
              <w:rPr>
                <w:rFonts w:ascii="Garamond" w:eastAsia="Times New Roman" w:hAnsi="Garamond" w:cs="Times New Roman"/>
                <w:szCs w:val="20"/>
              </w:rPr>
              <w:t xml:space="preserve"> essay and a retrospective interview</w:t>
            </w:r>
          </w:p>
        </w:tc>
        <w:tc>
          <w:tcPr>
            <w:tcW w:w="1440" w:type="dxa"/>
            <w:tcBorders>
              <w:top w:val="nil"/>
              <w:left w:val="nil"/>
              <w:bottom w:val="single" w:sz="4" w:space="0" w:color="auto"/>
              <w:right w:val="single" w:sz="4" w:space="0" w:color="auto"/>
            </w:tcBorders>
            <w:shd w:val="clear" w:color="auto" w:fill="auto"/>
            <w:hideMark/>
          </w:tcPr>
          <w:p w14:paraId="48103B4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60 min (timed writing task)</w:t>
            </w:r>
          </w:p>
        </w:tc>
      </w:tr>
      <w:tr w:rsidR="00611F84" w:rsidRPr="00611F84" w14:paraId="6748C9CF" w14:textId="77777777" w:rsidTr="00611F84">
        <w:trPr>
          <w:trHeight w:val="2861"/>
        </w:trPr>
        <w:tc>
          <w:tcPr>
            <w:tcW w:w="1620" w:type="dxa"/>
            <w:tcBorders>
              <w:top w:val="nil"/>
              <w:left w:val="single" w:sz="4" w:space="0" w:color="auto"/>
              <w:bottom w:val="single" w:sz="4" w:space="0" w:color="auto"/>
              <w:right w:val="single" w:sz="4" w:space="0" w:color="auto"/>
            </w:tcBorders>
            <w:shd w:val="clear" w:color="auto" w:fill="auto"/>
            <w:hideMark/>
          </w:tcPr>
          <w:p w14:paraId="61526A1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Chen &amp; Wang (2022)</w:t>
            </w:r>
          </w:p>
        </w:tc>
        <w:tc>
          <w:tcPr>
            <w:tcW w:w="1980" w:type="dxa"/>
            <w:tcBorders>
              <w:top w:val="nil"/>
              <w:left w:val="nil"/>
              <w:bottom w:val="single" w:sz="4" w:space="0" w:color="auto"/>
              <w:right w:val="single" w:sz="4" w:space="0" w:color="auto"/>
            </w:tcBorders>
            <w:shd w:val="clear" w:color="auto" w:fill="auto"/>
            <w:hideMark/>
          </w:tcPr>
          <w:p w14:paraId="31BCC8F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p>
        </w:tc>
        <w:tc>
          <w:tcPr>
            <w:tcW w:w="2160" w:type="dxa"/>
            <w:tcBorders>
              <w:top w:val="nil"/>
              <w:left w:val="nil"/>
              <w:bottom w:val="single" w:sz="4" w:space="0" w:color="auto"/>
              <w:right w:val="single" w:sz="4" w:space="0" w:color="auto"/>
            </w:tcBorders>
            <w:shd w:val="clear" w:color="auto" w:fill="auto"/>
            <w:hideMark/>
          </w:tcPr>
          <w:p w14:paraId="3275EEE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main source integration method was paraphrasing, most of which was satisfactory; some showed verbatim copying and patching. Students struggled to find, comprehend, and integrate sources.</w:t>
            </w:r>
          </w:p>
        </w:tc>
        <w:tc>
          <w:tcPr>
            <w:tcW w:w="1530" w:type="dxa"/>
            <w:tcBorders>
              <w:top w:val="nil"/>
              <w:left w:val="nil"/>
              <w:bottom w:val="single" w:sz="4" w:space="0" w:color="auto"/>
              <w:right w:val="single" w:sz="4" w:space="0" w:color="auto"/>
            </w:tcBorders>
            <w:shd w:val="clear" w:color="auto" w:fill="auto"/>
            <w:hideMark/>
          </w:tcPr>
          <w:p w14:paraId="715A67C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59 under-grads in English</w:t>
            </w:r>
          </w:p>
        </w:tc>
        <w:tc>
          <w:tcPr>
            <w:tcW w:w="1530" w:type="dxa"/>
            <w:tcBorders>
              <w:top w:val="nil"/>
              <w:left w:val="nil"/>
              <w:bottom w:val="single" w:sz="4" w:space="0" w:color="auto"/>
              <w:right w:val="single" w:sz="4" w:space="0" w:color="auto"/>
            </w:tcBorders>
            <w:shd w:val="clear" w:color="auto" w:fill="auto"/>
            <w:hideMark/>
          </w:tcPr>
          <w:p w14:paraId="344C646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71B3DFB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(China)</w:t>
            </w:r>
          </w:p>
        </w:tc>
        <w:tc>
          <w:tcPr>
            <w:tcW w:w="1440" w:type="dxa"/>
            <w:tcBorders>
              <w:top w:val="nil"/>
              <w:left w:val="nil"/>
              <w:bottom w:val="single" w:sz="4" w:space="0" w:color="auto"/>
              <w:right w:val="single" w:sz="4" w:space="0" w:color="auto"/>
            </w:tcBorders>
            <w:shd w:val="clear" w:color="auto" w:fill="auto"/>
            <w:hideMark/>
          </w:tcPr>
          <w:p w14:paraId="1C9945D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3F194051" w14:textId="77777777" w:rsidR="00616096" w:rsidRPr="00611F84" w:rsidRDefault="00616096" w:rsidP="00924822">
            <w:pPr>
              <w:rPr>
                <w:rFonts w:ascii="Garamond" w:hAnsi="Garamond" w:cs="Times New Roman"/>
                <w:szCs w:val="20"/>
              </w:rPr>
            </w:pPr>
            <w:r w:rsidRPr="00611F84">
              <w:rPr>
                <w:rFonts w:ascii="Garamond" w:eastAsia="Times New Roman" w:hAnsi="Garamond" w:cs="Times New Roman"/>
                <w:szCs w:val="20"/>
              </w:rPr>
              <w:t>MM</w:t>
            </w:r>
          </w:p>
        </w:tc>
        <w:tc>
          <w:tcPr>
            <w:tcW w:w="1440" w:type="dxa"/>
            <w:tcBorders>
              <w:top w:val="nil"/>
              <w:left w:val="nil"/>
              <w:bottom w:val="single" w:sz="4" w:space="0" w:color="auto"/>
              <w:right w:val="single" w:sz="4" w:space="0" w:color="auto"/>
            </w:tcBorders>
            <w:shd w:val="clear" w:color="auto" w:fill="auto"/>
            <w:hideMark/>
          </w:tcPr>
          <w:p w14:paraId="46C53CE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expository essay and an interview</w:t>
            </w:r>
          </w:p>
        </w:tc>
        <w:tc>
          <w:tcPr>
            <w:tcW w:w="1440" w:type="dxa"/>
            <w:tcBorders>
              <w:top w:val="nil"/>
              <w:left w:val="nil"/>
              <w:bottom w:val="single" w:sz="4" w:space="0" w:color="auto"/>
              <w:right w:val="single" w:sz="4" w:space="0" w:color="auto"/>
            </w:tcBorders>
            <w:shd w:val="clear" w:color="auto" w:fill="auto"/>
            <w:hideMark/>
          </w:tcPr>
          <w:p w14:paraId="17BDCC0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 weeks for the writing task and 60 min for the interview</w:t>
            </w:r>
          </w:p>
        </w:tc>
      </w:tr>
      <w:tr w:rsidR="00611F84" w:rsidRPr="00611F84" w14:paraId="632601F5"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6E72FCE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Cheng (2009)</w:t>
            </w:r>
          </w:p>
        </w:tc>
        <w:tc>
          <w:tcPr>
            <w:tcW w:w="1980" w:type="dxa"/>
            <w:tcBorders>
              <w:top w:val="nil"/>
              <w:left w:val="nil"/>
              <w:bottom w:val="single" w:sz="4" w:space="0" w:color="auto"/>
              <w:right w:val="single" w:sz="4" w:space="0" w:color="auto"/>
            </w:tcBorders>
            <w:shd w:val="clear" w:color="auto" w:fill="auto"/>
            <w:hideMark/>
          </w:tcPr>
          <w:p w14:paraId="4C5D7A5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Task representation</w:t>
            </w:r>
          </w:p>
        </w:tc>
        <w:tc>
          <w:tcPr>
            <w:tcW w:w="2160" w:type="dxa"/>
            <w:tcBorders>
              <w:top w:val="nil"/>
              <w:left w:val="nil"/>
              <w:bottom w:val="single" w:sz="4" w:space="0" w:color="auto"/>
              <w:right w:val="single" w:sz="4" w:space="0" w:color="auto"/>
            </w:tcBorders>
            <w:shd w:val="clear" w:color="auto" w:fill="auto"/>
            <w:hideMark/>
          </w:tcPr>
          <w:p w14:paraId="392C4E6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individual task representations led to the use of different reading and writing strategies.</w:t>
            </w:r>
          </w:p>
        </w:tc>
        <w:tc>
          <w:tcPr>
            <w:tcW w:w="1530" w:type="dxa"/>
            <w:tcBorders>
              <w:top w:val="nil"/>
              <w:left w:val="nil"/>
              <w:bottom w:val="single" w:sz="4" w:space="0" w:color="auto"/>
              <w:right w:val="single" w:sz="4" w:space="0" w:color="auto"/>
            </w:tcBorders>
            <w:shd w:val="clear" w:color="auto" w:fill="auto"/>
            <w:hideMark/>
          </w:tcPr>
          <w:p w14:paraId="73C9831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 under-grads in English</w:t>
            </w:r>
          </w:p>
        </w:tc>
        <w:tc>
          <w:tcPr>
            <w:tcW w:w="1530" w:type="dxa"/>
            <w:tcBorders>
              <w:top w:val="nil"/>
              <w:left w:val="nil"/>
              <w:bottom w:val="single" w:sz="4" w:space="0" w:color="auto"/>
              <w:right w:val="single" w:sz="4" w:space="0" w:color="auto"/>
            </w:tcBorders>
            <w:shd w:val="clear" w:color="auto" w:fill="auto"/>
            <w:hideMark/>
          </w:tcPr>
          <w:p w14:paraId="14B7CF5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6A9B2F4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(Taiwan)</w:t>
            </w:r>
          </w:p>
        </w:tc>
        <w:tc>
          <w:tcPr>
            <w:tcW w:w="1440" w:type="dxa"/>
            <w:tcBorders>
              <w:top w:val="nil"/>
              <w:left w:val="nil"/>
              <w:bottom w:val="single" w:sz="4" w:space="0" w:color="auto"/>
              <w:right w:val="single" w:sz="4" w:space="0" w:color="auto"/>
            </w:tcBorders>
            <w:shd w:val="clear" w:color="auto" w:fill="auto"/>
            <w:hideMark/>
          </w:tcPr>
          <w:p w14:paraId="5E71805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Task representation</w:t>
            </w:r>
          </w:p>
        </w:tc>
        <w:tc>
          <w:tcPr>
            <w:tcW w:w="990" w:type="dxa"/>
            <w:tcBorders>
              <w:top w:val="nil"/>
              <w:left w:val="nil"/>
              <w:bottom w:val="single" w:sz="4" w:space="0" w:color="auto"/>
              <w:right w:val="single" w:sz="4" w:space="0" w:color="auto"/>
            </w:tcBorders>
            <w:shd w:val="clear" w:color="auto" w:fill="auto"/>
            <w:hideMark/>
          </w:tcPr>
          <w:p w14:paraId="4356A49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6DF4F3C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argumenta-</w:t>
            </w:r>
            <w:proofErr w:type="spellStart"/>
            <w:r w:rsidRPr="00611F84">
              <w:rPr>
                <w:rFonts w:ascii="Garamond" w:eastAsia="Times New Roman" w:hAnsi="Garamond" w:cs="Times New Roman"/>
                <w:szCs w:val="20"/>
              </w:rPr>
              <w:t>tive</w:t>
            </w:r>
            <w:proofErr w:type="spellEnd"/>
            <w:r w:rsidRPr="00611F84">
              <w:rPr>
                <w:rFonts w:ascii="Garamond" w:eastAsia="Times New Roman" w:hAnsi="Garamond" w:cs="Times New Roman"/>
                <w:szCs w:val="20"/>
              </w:rPr>
              <w:t xml:space="preserve"> essay, think</w:t>
            </w:r>
            <w:r w:rsidRPr="00611F84">
              <w:rPr>
                <w:rFonts w:ascii="Garamond" w:hAnsi="Garamond" w:cs="Times New Roman"/>
                <w:szCs w:val="20"/>
              </w:rPr>
              <w:t xml:space="preserve"> </w:t>
            </w:r>
            <w:proofErr w:type="spellStart"/>
            <w:r w:rsidRPr="00611F84">
              <w:rPr>
                <w:rFonts w:ascii="Garamond" w:eastAsia="Times New Roman" w:hAnsi="Garamond" w:cs="Times New Roman"/>
                <w:szCs w:val="20"/>
              </w:rPr>
              <w:t>alouds</w:t>
            </w:r>
            <w:proofErr w:type="spellEnd"/>
            <w:r w:rsidRPr="00611F84">
              <w:rPr>
                <w:rFonts w:ascii="Garamond" w:eastAsia="Times New Roman" w:hAnsi="Garamond" w:cs="Times New Roman"/>
                <w:szCs w:val="20"/>
              </w:rPr>
              <w:t>, and 2 retrospective interviews</w:t>
            </w:r>
          </w:p>
        </w:tc>
        <w:tc>
          <w:tcPr>
            <w:tcW w:w="1440" w:type="dxa"/>
            <w:tcBorders>
              <w:top w:val="nil"/>
              <w:left w:val="nil"/>
              <w:bottom w:val="single" w:sz="4" w:space="0" w:color="auto"/>
              <w:right w:val="single" w:sz="4" w:space="0" w:color="auto"/>
            </w:tcBorders>
            <w:shd w:val="clear" w:color="auto" w:fill="auto"/>
            <w:hideMark/>
          </w:tcPr>
          <w:p w14:paraId="6939A2C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6</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 xml:space="preserve">9 </w:t>
            </w:r>
            <w:proofErr w:type="spellStart"/>
            <w:r w:rsidRPr="00611F84">
              <w:rPr>
                <w:rFonts w:ascii="Garamond" w:eastAsia="Times New Roman" w:hAnsi="Garamond" w:cs="Times New Roman"/>
                <w:szCs w:val="20"/>
              </w:rPr>
              <w:t>hr</w:t>
            </w:r>
            <w:proofErr w:type="spellEnd"/>
            <w:r w:rsidRPr="00611F84">
              <w:rPr>
                <w:rFonts w:ascii="Garamond" w:eastAsia="Times New Roman" w:hAnsi="Garamond" w:cs="Times New Roman"/>
                <w:szCs w:val="20"/>
              </w:rPr>
              <w:t xml:space="preserve"> (over 3 sessions)</w:t>
            </w:r>
          </w:p>
        </w:tc>
      </w:tr>
      <w:tr w:rsidR="00611F84" w:rsidRPr="00611F84" w14:paraId="00156643"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4425FC2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Cheong et al. (2019)</w:t>
            </w:r>
          </w:p>
        </w:tc>
        <w:tc>
          <w:tcPr>
            <w:tcW w:w="1980" w:type="dxa"/>
            <w:tcBorders>
              <w:top w:val="nil"/>
              <w:left w:val="nil"/>
              <w:bottom w:val="single" w:sz="4" w:space="0" w:color="auto"/>
              <w:right w:val="single" w:sz="4" w:space="0" w:color="auto"/>
            </w:tcBorders>
            <w:shd w:val="clear" w:color="auto" w:fill="auto"/>
            <w:hideMark/>
          </w:tcPr>
          <w:p w14:paraId="0047507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p>
        </w:tc>
        <w:tc>
          <w:tcPr>
            <w:tcW w:w="2160" w:type="dxa"/>
            <w:tcBorders>
              <w:top w:val="nil"/>
              <w:left w:val="nil"/>
              <w:bottom w:val="single" w:sz="4" w:space="0" w:color="auto"/>
              <w:right w:val="single" w:sz="4" w:space="0" w:color="auto"/>
            </w:tcBorders>
            <w:shd w:val="clear" w:color="auto" w:fill="auto"/>
            <w:hideMark/>
          </w:tcPr>
          <w:p w14:paraId="4AE5C49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Students’ multiple-text comprehension and discourse synthesis skills significantly predicted both of their Chinese and English </w:t>
            </w:r>
            <w:r w:rsidRPr="00611F84">
              <w:rPr>
                <w:rFonts w:ascii="Garamond" w:eastAsia="Times New Roman" w:hAnsi="Garamond" w:cs="Times New Roman"/>
                <w:szCs w:val="20"/>
              </w:rPr>
              <w:lastRenderedPageBreak/>
              <w:t>integrated writing tasks.</w:t>
            </w:r>
          </w:p>
        </w:tc>
        <w:tc>
          <w:tcPr>
            <w:tcW w:w="1530" w:type="dxa"/>
            <w:tcBorders>
              <w:top w:val="nil"/>
              <w:left w:val="nil"/>
              <w:bottom w:val="single" w:sz="4" w:space="0" w:color="auto"/>
              <w:right w:val="single" w:sz="4" w:space="0" w:color="auto"/>
            </w:tcBorders>
            <w:shd w:val="clear" w:color="auto" w:fill="auto"/>
            <w:hideMark/>
          </w:tcPr>
          <w:p w14:paraId="6BB3778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415 secondary school students</w:t>
            </w:r>
          </w:p>
        </w:tc>
        <w:tc>
          <w:tcPr>
            <w:tcW w:w="1530" w:type="dxa"/>
            <w:tcBorders>
              <w:top w:val="nil"/>
              <w:left w:val="nil"/>
              <w:bottom w:val="single" w:sz="4" w:space="0" w:color="auto"/>
              <w:right w:val="single" w:sz="4" w:space="0" w:color="auto"/>
            </w:tcBorders>
            <w:shd w:val="clear" w:color="auto" w:fill="auto"/>
            <w:hideMark/>
          </w:tcPr>
          <w:p w14:paraId="5EFE21E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5667984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(HK)</w:t>
            </w:r>
          </w:p>
        </w:tc>
        <w:tc>
          <w:tcPr>
            <w:tcW w:w="1440" w:type="dxa"/>
            <w:tcBorders>
              <w:top w:val="nil"/>
              <w:left w:val="nil"/>
              <w:bottom w:val="single" w:sz="4" w:space="0" w:color="auto"/>
              <w:right w:val="single" w:sz="4" w:space="0" w:color="auto"/>
            </w:tcBorders>
            <w:shd w:val="clear" w:color="auto" w:fill="auto"/>
            <w:hideMark/>
          </w:tcPr>
          <w:p w14:paraId="5F498AD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Spivey’s discourse synthesis</w:t>
            </w:r>
          </w:p>
        </w:tc>
        <w:tc>
          <w:tcPr>
            <w:tcW w:w="990" w:type="dxa"/>
            <w:tcBorders>
              <w:top w:val="nil"/>
              <w:left w:val="nil"/>
              <w:bottom w:val="single" w:sz="4" w:space="0" w:color="auto"/>
              <w:right w:val="single" w:sz="4" w:space="0" w:color="auto"/>
            </w:tcBorders>
            <w:shd w:val="clear" w:color="auto" w:fill="auto"/>
            <w:hideMark/>
          </w:tcPr>
          <w:p w14:paraId="2360835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489C938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integrated writing tasks (Chinese &amp; English)</w:t>
            </w:r>
          </w:p>
        </w:tc>
        <w:tc>
          <w:tcPr>
            <w:tcW w:w="1440" w:type="dxa"/>
            <w:tcBorders>
              <w:top w:val="nil"/>
              <w:left w:val="nil"/>
              <w:bottom w:val="single" w:sz="4" w:space="0" w:color="auto"/>
              <w:right w:val="single" w:sz="4" w:space="0" w:color="auto"/>
            </w:tcBorders>
            <w:shd w:val="clear" w:color="auto" w:fill="auto"/>
            <w:hideMark/>
          </w:tcPr>
          <w:p w14:paraId="39D373F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60 min for each writing task</w:t>
            </w:r>
          </w:p>
        </w:tc>
      </w:tr>
      <w:tr w:rsidR="00611F84" w:rsidRPr="00611F84" w14:paraId="37977946"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hideMark/>
          </w:tcPr>
          <w:p w14:paraId="5000D86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Chuang &amp; Yan (2022)</w:t>
            </w:r>
          </w:p>
        </w:tc>
        <w:tc>
          <w:tcPr>
            <w:tcW w:w="1980" w:type="dxa"/>
            <w:tcBorders>
              <w:top w:val="nil"/>
              <w:left w:val="nil"/>
              <w:bottom w:val="single" w:sz="4" w:space="0" w:color="auto"/>
              <w:right w:val="single" w:sz="4" w:space="0" w:color="auto"/>
            </w:tcBorders>
            <w:shd w:val="clear" w:color="auto" w:fill="auto"/>
            <w:hideMark/>
          </w:tcPr>
          <w:p w14:paraId="4B7ACCD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p>
        </w:tc>
        <w:tc>
          <w:tcPr>
            <w:tcW w:w="2160" w:type="dxa"/>
            <w:tcBorders>
              <w:top w:val="nil"/>
              <w:left w:val="nil"/>
              <w:bottom w:val="single" w:sz="4" w:space="0" w:color="auto"/>
              <w:right w:val="single" w:sz="4" w:space="0" w:color="auto"/>
            </w:tcBorders>
            <w:shd w:val="clear" w:color="auto" w:fill="auto"/>
            <w:hideMark/>
          </w:tcPr>
          <w:p w14:paraId="41126C3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writer’s argument structure and quality together correlated with the differences in writing scores, but argument structure alone did not predict writing scores.</w:t>
            </w:r>
          </w:p>
        </w:tc>
        <w:tc>
          <w:tcPr>
            <w:tcW w:w="1530" w:type="dxa"/>
            <w:tcBorders>
              <w:top w:val="nil"/>
              <w:left w:val="nil"/>
              <w:bottom w:val="single" w:sz="4" w:space="0" w:color="auto"/>
              <w:right w:val="single" w:sz="4" w:space="0" w:color="auto"/>
            </w:tcBorders>
            <w:shd w:val="clear" w:color="auto" w:fill="auto"/>
            <w:hideMark/>
          </w:tcPr>
          <w:p w14:paraId="7ACF493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150 under-grads </w:t>
            </w:r>
          </w:p>
        </w:tc>
        <w:tc>
          <w:tcPr>
            <w:tcW w:w="1530" w:type="dxa"/>
            <w:tcBorders>
              <w:top w:val="nil"/>
              <w:left w:val="nil"/>
              <w:bottom w:val="single" w:sz="4" w:space="0" w:color="auto"/>
              <w:right w:val="single" w:sz="4" w:space="0" w:color="auto"/>
            </w:tcBorders>
            <w:shd w:val="clear" w:color="auto" w:fill="auto"/>
            <w:hideMark/>
          </w:tcPr>
          <w:p w14:paraId="7D38696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Indonesian L1</w:t>
            </w:r>
            <w:r w:rsidRPr="00611F84">
              <w:rPr>
                <w:rFonts w:ascii="Garamond" w:eastAsia="Times New Roman" w:hAnsi="Garamond" w:cs="Times New Roman"/>
                <w:szCs w:val="20"/>
              </w:rPr>
              <w:br/>
              <w:t>other L1s</w:t>
            </w:r>
          </w:p>
        </w:tc>
        <w:tc>
          <w:tcPr>
            <w:tcW w:w="1080" w:type="dxa"/>
            <w:tcBorders>
              <w:top w:val="nil"/>
              <w:left w:val="nil"/>
              <w:bottom w:val="single" w:sz="4" w:space="0" w:color="auto"/>
              <w:right w:val="single" w:sz="4" w:space="0" w:color="auto"/>
            </w:tcBorders>
            <w:shd w:val="clear" w:color="auto" w:fill="auto"/>
            <w:hideMark/>
          </w:tcPr>
          <w:p w14:paraId="78310EC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0D0FD6B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Toulmin’s argument structure</w:t>
            </w:r>
          </w:p>
        </w:tc>
        <w:tc>
          <w:tcPr>
            <w:tcW w:w="990" w:type="dxa"/>
            <w:tcBorders>
              <w:top w:val="nil"/>
              <w:left w:val="nil"/>
              <w:bottom w:val="single" w:sz="4" w:space="0" w:color="auto"/>
              <w:right w:val="single" w:sz="4" w:space="0" w:color="auto"/>
            </w:tcBorders>
            <w:shd w:val="clear" w:color="auto" w:fill="auto"/>
            <w:hideMark/>
          </w:tcPr>
          <w:p w14:paraId="33ACBA7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04794EF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integrated writing task</w:t>
            </w:r>
          </w:p>
        </w:tc>
        <w:tc>
          <w:tcPr>
            <w:tcW w:w="1440" w:type="dxa"/>
            <w:tcBorders>
              <w:top w:val="nil"/>
              <w:left w:val="nil"/>
              <w:bottom w:val="single" w:sz="4" w:space="0" w:color="auto"/>
              <w:right w:val="single" w:sz="4" w:space="0" w:color="auto"/>
            </w:tcBorders>
            <w:shd w:val="clear" w:color="auto" w:fill="auto"/>
            <w:hideMark/>
          </w:tcPr>
          <w:p w14:paraId="3CD7A31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100 min</w:t>
            </w:r>
          </w:p>
        </w:tc>
      </w:tr>
      <w:tr w:rsidR="00611F84" w:rsidRPr="00611F84" w14:paraId="6DF944AD"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491451D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Davis (2013)</w:t>
            </w:r>
          </w:p>
        </w:tc>
        <w:tc>
          <w:tcPr>
            <w:tcW w:w="1980" w:type="dxa"/>
            <w:tcBorders>
              <w:top w:val="nil"/>
              <w:left w:val="nil"/>
              <w:bottom w:val="single" w:sz="4" w:space="0" w:color="auto"/>
              <w:right w:val="single" w:sz="4" w:space="0" w:color="auto"/>
            </w:tcBorders>
            <w:shd w:val="clear" w:color="auto" w:fill="auto"/>
            <w:hideMark/>
          </w:tcPr>
          <w:p w14:paraId="2B937B2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p>
        </w:tc>
        <w:tc>
          <w:tcPr>
            <w:tcW w:w="2160" w:type="dxa"/>
            <w:tcBorders>
              <w:top w:val="nil"/>
              <w:left w:val="nil"/>
              <w:bottom w:val="single" w:sz="4" w:space="0" w:color="auto"/>
              <w:right w:val="single" w:sz="4" w:space="0" w:color="auto"/>
            </w:tcBorders>
            <w:shd w:val="clear" w:color="auto" w:fill="auto"/>
            <w:hideMark/>
          </w:tcPr>
          <w:p w14:paraId="53E8FBF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developed their own unique source-use strategies, but not all of them reached a proficient level.</w:t>
            </w:r>
          </w:p>
        </w:tc>
        <w:tc>
          <w:tcPr>
            <w:tcW w:w="1530" w:type="dxa"/>
            <w:tcBorders>
              <w:top w:val="nil"/>
              <w:left w:val="nil"/>
              <w:bottom w:val="single" w:sz="4" w:space="0" w:color="auto"/>
              <w:right w:val="single" w:sz="4" w:space="0" w:color="auto"/>
            </w:tcBorders>
            <w:shd w:val="clear" w:color="auto" w:fill="auto"/>
            <w:hideMark/>
          </w:tcPr>
          <w:p w14:paraId="2C16CFF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 grad students</w:t>
            </w:r>
          </w:p>
        </w:tc>
        <w:tc>
          <w:tcPr>
            <w:tcW w:w="1530" w:type="dxa"/>
            <w:tcBorders>
              <w:top w:val="nil"/>
              <w:left w:val="nil"/>
              <w:bottom w:val="single" w:sz="4" w:space="0" w:color="auto"/>
              <w:right w:val="single" w:sz="4" w:space="0" w:color="auto"/>
            </w:tcBorders>
            <w:shd w:val="clear" w:color="auto" w:fill="auto"/>
            <w:hideMark/>
          </w:tcPr>
          <w:p w14:paraId="0234975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Japanese L1</w:t>
            </w:r>
            <w:r w:rsidRPr="00611F84">
              <w:rPr>
                <w:rFonts w:ascii="Garamond" w:eastAsia="Times New Roman" w:hAnsi="Garamond" w:cs="Times New Roman"/>
                <w:szCs w:val="20"/>
              </w:rPr>
              <w:br/>
              <w:t>Sinhala L1</w:t>
            </w:r>
            <w:r w:rsidRPr="00611F84">
              <w:rPr>
                <w:rFonts w:ascii="Garamond" w:eastAsia="Times New Roman" w:hAnsi="Garamond" w:cs="Times New Roman"/>
                <w:szCs w:val="20"/>
              </w:rPr>
              <w:br/>
              <w:t>Arabic L1</w:t>
            </w:r>
          </w:p>
        </w:tc>
        <w:tc>
          <w:tcPr>
            <w:tcW w:w="1080" w:type="dxa"/>
            <w:tcBorders>
              <w:top w:val="nil"/>
              <w:left w:val="nil"/>
              <w:bottom w:val="single" w:sz="4" w:space="0" w:color="auto"/>
              <w:right w:val="single" w:sz="4" w:space="0" w:color="auto"/>
            </w:tcBorders>
            <w:shd w:val="clear" w:color="auto" w:fill="auto"/>
            <w:hideMark/>
          </w:tcPr>
          <w:p w14:paraId="369E93F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(UK)</w:t>
            </w:r>
          </w:p>
        </w:tc>
        <w:tc>
          <w:tcPr>
            <w:tcW w:w="1440" w:type="dxa"/>
            <w:tcBorders>
              <w:top w:val="nil"/>
              <w:left w:val="nil"/>
              <w:bottom w:val="single" w:sz="4" w:space="0" w:color="auto"/>
              <w:right w:val="single" w:sz="4" w:space="0" w:color="auto"/>
            </w:tcBorders>
            <w:shd w:val="clear" w:color="auto" w:fill="auto"/>
            <w:hideMark/>
          </w:tcPr>
          <w:p w14:paraId="7C9F166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7E2BCD6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7172D93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A master’s thesis, a case study paper, a grad report, and 4 </w:t>
            </w:r>
            <w:proofErr w:type="spellStart"/>
            <w:r w:rsidRPr="00611F84">
              <w:rPr>
                <w:rFonts w:ascii="Garamond" w:eastAsia="Times New Roman" w:hAnsi="Garamond" w:cs="Times New Roman"/>
                <w:szCs w:val="20"/>
              </w:rPr>
              <w:t>semistruc-tured</w:t>
            </w:r>
            <w:proofErr w:type="spellEnd"/>
            <w:r w:rsidRPr="00611F84">
              <w:rPr>
                <w:rFonts w:ascii="Garamond" w:eastAsia="Times New Roman" w:hAnsi="Garamond" w:cs="Times New Roman"/>
                <w:szCs w:val="20"/>
              </w:rPr>
              <w:t xml:space="preserve"> interviews</w:t>
            </w:r>
          </w:p>
        </w:tc>
        <w:tc>
          <w:tcPr>
            <w:tcW w:w="1440" w:type="dxa"/>
            <w:tcBorders>
              <w:top w:val="nil"/>
              <w:left w:val="nil"/>
              <w:bottom w:val="single" w:sz="4" w:space="0" w:color="auto"/>
              <w:right w:val="single" w:sz="4" w:space="0" w:color="auto"/>
            </w:tcBorders>
            <w:shd w:val="clear" w:color="auto" w:fill="auto"/>
            <w:hideMark/>
          </w:tcPr>
          <w:p w14:paraId="5E0481E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years</w:t>
            </w:r>
          </w:p>
        </w:tc>
      </w:tr>
      <w:tr w:rsidR="00611F84" w:rsidRPr="00611F84" w14:paraId="1A35CAA8"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0ECC8A0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Doolan (2021)</w:t>
            </w:r>
          </w:p>
        </w:tc>
        <w:tc>
          <w:tcPr>
            <w:tcW w:w="1980" w:type="dxa"/>
            <w:tcBorders>
              <w:top w:val="nil"/>
              <w:left w:val="nil"/>
              <w:bottom w:val="single" w:sz="4" w:space="0" w:color="auto"/>
              <w:right w:val="single" w:sz="4" w:space="0" w:color="auto"/>
            </w:tcBorders>
            <w:shd w:val="clear" w:color="auto" w:fill="auto"/>
            <w:hideMark/>
          </w:tcPr>
          <w:p w14:paraId="57D8C91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p>
        </w:tc>
        <w:tc>
          <w:tcPr>
            <w:tcW w:w="2160" w:type="dxa"/>
            <w:tcBorders>
              <w:top w:val="nil"/>
              <w:left w:val="nil"/>
              <w:bottom w:val="single" w:sz="4" w:space="0" w:color="auto"/>
              <w:right w:val="single" w:sz="4" w:space="0" w:color="auto"/>
            </w:tcBorders>
            <w:shd w:val="clear" w:color="auto" w:fill="auto"/>
            <w:hideMark/>
          </w:tcPr>
          <w:p w14:paraId="32A79CA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showed very low instances of synthesis in their writing, demonstrating their struggles and signaling the need for more structured instruction.</w:t>
            </w:r>
          </w:p>
        </w:tc>
        <w:tc>
          <w:tcPr>
            <w:tcW w:w="1530" w:type="dxa"/>
            <w:tcBorders>
              <w:top w:val="nil"/>
              <w:left w:val="nil"/>
              <w:bottom w:val="single" w:sz="4" w:space="0" w:color="auto"/>
              <w:right w:val="single" w:sz="4" w:space="0" w:color="auto"/>
            </w:tcBorders>
            <w:shd w:val="clear" w:color="auto" w:fill="auto"/>
            <w:hideMark/>
          </w:tcPr>
          <w:p w14:paraId="63315A9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149 under-grads</w:t>
            </w:r>
          </w:p>
        </w:tc>
        <w:tc>
          <w:tcPr>
            <w:tcW w:w="1530" w:type="dxa"/>
            <w:tcBorders>
              <w:top w:val="nil"/>
              <w:left w:val="nil"/>
              <w:bottom w:val="single" w:sz="4" w:space="0" w:color="auto"/>
              <w:right w:val="single" w:sz="4" w:space="0" w:color="auto"/>
            </w:tcBorders>
            <w:shd w:val="clear" w:color="auto" w:fill="auto"/>
            <w:hideMark/>
          </w:tcPr>
          <w:p w14:paraId="776DBF0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L1,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other L1s</w:t>
            </w:r>
          </w:p>
        </w:tc>
        <w:tc>
          <w:tcPr>
            <w:tcW w:w="1080" w:type="dxa"/>
            <w:tcBorders>
              <w:top w:val="nil"/>
              <w:left w:val="nil"/>
              <w:bottom w:val="single" w:sz="4" w:space="0" w:color="auto"/>
              <w:right w:val="single" w:sz="4" w:space="0" w:color="auto"/>
            </w:tcBorders>
            <w:shd w:val="clear" w:color="auto" w:fill="auto"/>
            <w:hideMark/>
          </w:tcPr>
          <w:p w14:paraId="48465DC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4E87E32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Spivey’s discourse synthesis</w:t>
            </w:r>
          </w:p>
        </w:tc>
        <w:tc>
          <w:tcPr>
            <w:tcW w:w="990" w:type="dxa"/>
            <w:tcBorders>
              <w:top w:val="nil"/>
              <w:left w:val="nil"/>
              <w:bottom w:val="single" w:sz="4" w:space="0" w:color="auto"/>
              <w:right w:val="single" w:sz="4" w:space="0" w:color="auto"/>
            </w:tcBorders>
            <w:shd w:val="clear" w:color="auto" w:fill="auto"/>
            <w:hideMark/>
          </w:tcPr>
          <w:p w14:paraId="4E22E6F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2C02DB8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problem-solve essay and a demographic survey</w:t>
            </w:r>
          </w:p>
        </w:tc>
        <w:tc>
          <w:tcPr>
            <w:tcW w:w="1440" w:type="dxa"/>
            <w:tcBorders>
              <w:top w:val="nil"/>
              <w:left w:val="nil"/>
              <w:bottom w:val="single" w:sz="4" w:space="0" w:color="auto"/>
              <w:right w:val="single" w:sz="4" w:space="0" w:color="auto"/>
            </w:tcBorders>
            <w:shd w:val="clear" w:color="auto" w:fill="auto"/>
            <w:hideMark/>
          </w:tcPr>
          <w:p w14:paraId="04ADCA4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40 min for the writing task</w:t>
            </w:r>
          </w:p>
        </w:tc>
      </w:tr>
      <w:tr w:rsidR="00611F84" w:rsidRPr="00611F84" w14:paraId="4785F567"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1CAC3FB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Du (2019)</w:t>
            </w:r>
          </w:p>
        </w:tc>
        <w:tc>
          <w:tcPr>
            <w:tcW w:w="1980" w:type="dxa"/>
            <w:tcBorders>
              <w:top w:val="nil"/>
              <w:left w:val="nil"/>
              <w:bottom w:val="single" w:sz="4" w:space="0" w:color="auto"/>
              <w:right w:val="single" w:sz="4" w:space="0" w:color="auto"/>
            </w:tcBorders>
            <w:shd w:val="clear" w:color="auto" w:fill="auto"/>
            <w:hideMark/>
          </w:tcPr>
          <w:p w14:paraId="1715EBB0" w14:textId="77777777" w:rsidR="00616096" w:rsidRPr="00611F84" w:rsidRDefault="00616096" w:rsidP="00924822">
            <w:pPr>
              <w:spacing w:after="240"/>
              <w:rPr>
                <w:rFonts w:ascii="Garamond" w:eastAsia="Times New Roman" w:hAnsi="Garamond" w:cs="Times New Roman"/>
                <w:szCs w:val="20"/>
              </w:rPr>
            </w:pPr>
            <w:r w:rsidRPr="00611F84">
              <w:rPr>
                <w:rFonts w:ascii="Garamond" w:eastAsia="Times New Roman" w:hAnsi="Garamond" w:cs="Times New Roman"/>
                <w:szCs w:val="20"/>
              </w:rPr>
              <w:t xml:space="preserve">Instruction and intervention, </w:t>
            </w:r>
            <w:r w:rsidRPr="00611F84">
              <w:rPr>
                <w:rFonts w:ascii="Garamond" w:eastAsia="Times New Roman" w:hAnsi="Garamond" w:cs="Times New Roman"/>
                <w:szCs w:val="20"/>
              </w:rPr>
              <w:br/>
              <w:t>constructs of source-use skills</w:t>
            </w:r>
          </w:p>
        </w:tc>
        <w:tc>
          <w:tcPr>
            <w:tcW w:w="2160" w:type="dxa"/>
            <w:tcBorders>
              <w:top w:val="nil"/>
              <w:left w:val="nil"/>
              <w:bottom w:val="single" w:sz="4" w:space="0" w:color="auto"/>
              <w:right w:val="single" w:sz="4" w:space="0" w:color="auto"/>
            </w:tcBorders>
            <w:shd w:val="clear" w:color="auto" w:fill="auto"/>
            <w:hideMark/>
          </w:tcPr>
          <w:p w14:paraId="3EFF70F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Structured instruction significantly improved L2 students’ source use skills.</w:t>
            </w:r>
          </w:p>
        </w:tc>
        <w:tc>
          <w:tcPr>
            <w:tcW w:w="1530" w:type="dxa"/>
            <w:tcBorders>
              <w:top w:val="nil"/>
              <w:left w:val="nil"/>
              <w:bottom w:val="single" w:sz="4" w:space="0" w:color="auto"/>
              <w:right w:val="single" w:sz="4" w:space="0" w:color="auto"/>
            </w:tcBorders>
            <w:shd w:val="clear" w:color="auto" w:fill="auto"/>
            <w:hideMark/>
          </w:tcPr>
          <w:p w14:paraId="689E80A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35 under</w:t>
            </w:r>
          </w:p>
          <w:p w14:paraId="23B9C82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grads </w:t>
            </w:r>
          </w:p>
        </w:tc>
        <w:tc>
          <w:tcPr>
            <w:tcW w:w="1530" w:type="dxa"/>
            <w:tcBorders>
              <w:top w:val="nil"/>
              <w:left w:val="nil"/>
              <w:bottom w:val="single" w:sz="4" w:space="0" w:color="auto"/>
              <w:right w:val="single" w:sz="4" w:space="0" w:color="auto"/>
            </w:tcBorders>
            <w:shd w:val="clear" w:color="auto" w:fill="auto"/>
            <w:hideMark/>
          </w:tcPr>
          <w:p w14:paraId="294153D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4A39613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(China)</w:t>
            </w:r>
          </w:p>
        </w:tc>
        <w:tc>
          <w:tcPr>
            <w:tcW w:w="1440" w:type="dxa"/>
            <w:tcBorders>
              <w:top w:val="nil"/>
              <w:left w:val="nil"/>
              <w:bottom w:val="single" w:sz="4" w:space="0" w:color="auto"/>
              <w:right w:val="single" w:sz="4" w:space="0" w:color="auto"/>
            </w:tcBorders>
            <w:shd w:val="clear" w:color="auto" w:fill="auto"/>
            <w:hideMark/>
          </w:tcPr>
          <w:p w14:paraId="1653C1EB" w14:textId="77777777" w:rsidR="00616096" w:rsidRPr="00611F84" w:rsidRDefault="00616096" w:rsidP="00924822">
            <w:pPr>
              <w:rPr>
                <w:rFonts w:ascii="Garamond" w:eastAsia="Times New Roman" w:hAnsi="Garamond" w:cs="Times New Roman"/>
                <w:szCs w:val="20"/>
              </w:rPr>
            </w:pPr>
            <w:proofErr w:type="gramStart"/>
            <w:r w:rsidRPr="00611F84">
              <w:rPr>
                <w:rFonts w:ascii="Garamond" w:eastAsia="Times New Roman" w:hAnsi="Garamond" w:cs="Times New Roman"/>
                <w:szCs w:val="20"/>
              </w:rPr>
              <w:t>Coffin’s  source</w:t>
            </w:r>
            <w:proofErr w:type="gramEnd"/>
            <w:r w:rsidRPr="00611F84">
              <w:rPr>
                <w:rFonts w:ascii="Garamond" w:eastAsia="Times New Roman" w:hAnsi="Garamond" w:cs="Times New Roman"/>
                <w:szCs w:val="20"/>
              </w:rPr>
              <w:t>-use framework</w:t>
            </w:r>
          </w:p>
        </w:tc>
        <w:tc>
          <w:tcPr>
            <w:tcW w:w="990" w:type="dxa"/>
            <w:tcBorders>
              <w:top w:val="nil"/>
              <w:left w:val="nil"/>
              <w:bottom w:val="single" w:sz="4" w:space="0" w:color="auto"/>
              <w:right w:val="single" w:sz="4" w:space="0" w:color="auto"/>
            </w:tcBorders>
            <w:shd w:val="clear" w:color="auto" w:fill="auto"/>
            <w:hideMark/>
          </w:tcPr>
          <w:p w14:paraId="264311A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7609708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argumentative essays (pre- and posttests)</w:t>
            </w:r>
          </w:p>
        </w:tc>
        <w:tc>
          <w:tcPr>
            <w:tcW w:w="1440" w:type="dxa"/>
            <w:tcBorders>
              <w:top w:val="nil"/>
              <w:left w:val="nil"/>
              <w:bottom w:val="single" w:sz="4" w:space="0" w:color="auto"/>
              <w:right w:val="single" w:sz="4" w:space="0" w:color="auto"/>
            </w:tcBorders>
            <w:shd w:val="clear" w:color="auto" w:fill="auto"/>
            <w:hideMark/>
          </w:tcPr>
          <w:p w14:paraId="63301AE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12 </w:t>
            </w:r>
            <w:proofErr w:type="spellStart"/>
            <w:r w:rsidRPr="00611F84">
              <w:rPr>
                <w:rFonts w:ascii="Garamond" w:eastAsia="Times New Roman" w:hAnsi="Garamond" w:cs="Times New Roman"/>
                <w:szCs w:val="20"/>
              </w:rPr>
              <w:t>hr</w:t>
            </w:r>
            <w:proofErr w:type="spellEnd"/>
            <w:r w:rsidRPr="00611F84">
              <w:rPr>
                <w:rFonts w:ascii="Garamond" w:eastAsia="Times New Roman" w:hAnsi="Garamond" w:cs="Times New Roman"/>
                <w:szCs w:val="20"/>
              </w:rPr>
              <w:t xml:space="preserve"> (over 6 weeks) for instruction</w:t>
            </w:r>
          </w:p>
        </w:tc>
      </w:tr>
      <w:tr w:rsidR="00611F84" w:rsidRPr="00611F84" w14:paraId="6A3B3DF6"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79243B3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Ene et al. (2019)</w:t>
            </w:r>
          </w:p>
        </w:tc>
        <w:tc>
          <w:tcPr>
            <w:tcW w:w="1980" w:type="dxa"/>
            <w:tcBorders>
              <w:top w:val="nil"/>
              <w:left w:val="nil"/>
              <w:bottom w:val="single" w:sz="4" w:space="0" w:color="auto"/>
              <w:right w:val="single" w:sz="4" w:space="0" w:color="auto"/>
            </w:tcBorders>
            <w:shd w:val="clear" w:color="auto" w:fill="auto"/>
            <w:hideMark/>
          </w:tcPr>
          <w:p w14:paraId="7DFFD1A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Translingual composing,</w:t>
            </w:r>
            <w:r w:rsidRPr="00611F84">
              <w:rPr>
                <w:rFonts w:ascii="Garamond" w:eastAsia="Times New Roman" w:hAnsi="Garamond" w:cs="Times New Roman"/>
                <w:szCs w:val="20"/>
              </w:rPr>
              <w:br/>
              <w:t>composing processes</w:t>
            </w:r>
          </w:p>
        </w:tc>
        <w:tc>
          <w:tcPr>
            <w:tcW w:w="2160" w:type="dxa"/>
            <w:tcBorders>
              <w:top w:val="nil"/>
              <w:left w:val="nil"/>
              <w:bottom w:val="single" w:sz="4" w:space="0" w:color="auto"/>
              <w:right w:val="single" w:sz="4" w:space="0" w:color="auto"/>
            </w:tcBorders>
            <w:shd w:val="clear" w:color="auto" w:fill="auto"/>
            <w:hideMark/>
          </w:tcPr>
          <w:p w14:paraId="5A1A70B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Students’ translingual practices differed </w:t>
            </w:r>
            <w:proofErr w:type="spellStart"/>
            <w:r w:rsidRPr="00611F84">
              <w:rPr>
                <w:rFonts w:ascii="Garamond" w:eastAsia="Times New Roman" w:hAnsi="Garamond" w:cs="Times New Roman"/>
                <w:szCs w:val="20"/>
              </w:rPr>
              <w:t>depen</w:t>
            </w:r>
            <w:proofErr w:type="spellEnd"/>
            <w:r w:rsidRPr="00611F84">
              <w:rPr>
                <w:rFonts w:ascii="Garamond" w:eastAsia="Times New Roman" w:hAnsi="Garamond" w:cs="Times New Roman"/>
                <w:szCs w:val="20"/>
              </w:rPr>
              <w:t>-ding on their English pro-</w:t>
            </w:r>
            <w:proofErr w:type="spellStart"/>
            <w:r w:rsidRPr="00611F84">
              <w:rPr>
                <w:rFonts w:ascii="Garamond" w:eastAsia="Times New Roman" w:hAnsi="Garamond" w:cs="Times New Roman"/>
                <w:szCs w:val="20"/>
              </w:rPr>
              <w:t>ficiency</w:t>
            </w:r>
            <w:proofErr w:type="spellEnd"/>
            <w:r w:rsidRPr="00611F84">
              <w:rPr>
                <w:rFonts w:ascii="Garamond" w:eastAsia="Times New Roman" w:hAnsi="Garamond" w:cs="Times New Roman"/>
                <w:szCs w:val="20"/>
              </w:rPr>
              <w:t xml:space="preserve"> levels and norms in their L1 culture.</w:t>
            </w:r>
          </w:p>
        </w:tc>
        <w:tc>
          <w:tcPr>
            <w:tcW w:w="1530" w:type="dxa"/>
            <w:tcBorders>
              <w:top w:val="nil"/>
              <w:left w:val="nil"/>
              <w:bottom w:val="single" w:sz="4" w:space="0" w:color="auto"/>
              <w:right w:val="single" w:sz="4" w:space="0" w:color="auto"/>
            </w:tcBorders>
            <w:shd w:val="clear" w:color="auto" w:fill="auto"/>
            <w:hideMark/>
          </w:tcPr>
          <w:p w14:paraId="4364261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 grad students and 1 visiting scholar</w:t>
            </w:r>
          </w:p>
        </w:tc>
        <w:tc>
          <w:tcPr>
            <w:tcW w:w="1530" w:type="dxa"/>
            <w:tcBorders>
              <w:top w:val="nil"/>
              <w:left w:val="nil"/>
              <w:bottom w:val="single" w:sz="4" w:space="0" w:color="auto"/>
              <w:right w:val="single" w:sz="4" w:space="0" w:color="auto"/>
            </w:tcBorders>
            <w:shd w:val="clear" w:color="auto" w:fill="auto"/>
            <w:hideMark/>
          </w:tcPr>
          <w:p w14:paraId="7415AD2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Serbian L1</w:t>
            </w:r>
          </w:p>
        </w:tc>
        <w:tc>
          <w:tcPr>
            <w:tcW w:w="1080" w:type="dxa"/>
            <w:tcBorders>
              <w:top w:val="nil"/>
              <w:left w:val="nil"/>
              <w:bottom w:val="single" w:sz="4" w:space="0" w:color="auto"/>
              <w:right w:val="single" w:sz="4" w:space="0" w:color="auto"/>
            </w:tcBorders>
            <w:shd w:val="clear" w:color="auto" w:fill="auto"/>
            <w:hideMark/>
          </w:tcPr>
          <w:p w14:paraId="7EA15E0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0FA0314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Intercultural rhetoric, </w:t>
            </w:r>
            <w:proofErr w:type="spellStart"/>
            <w:r w:rsidRPr="00611F84">
              <w:rPr>
                <w:rFonts w:ascii="Garamond" w:eastAsia="Times New Roman" w:hAnsi="Garamond" w:cs="Times New Roman"/>
                <w:szCs w:val="20"/>
              </w:rPr>
              <w:t>translingualism</w:t>
            </w:r>
            <w:proofErr w:type="spellEnd"/>
          </w:p>
        </w:tc>
        <w:tc>
          <w:tcPr>
            <w:tcW w:w="990" w:type="dxa"/>
            <w:tcBorders>
              <w:top w:val="nil"/>
              <w:left w:val="nil"/>
              <w:bottom w:val="single" w:sz="4" w:space="0" w:color="auto"/>
              <w:right w:val="single" w:sz="4" w:space="0" w:color="auto"/>
            </w:tcBorders>
            <w:shd w:val="clear" w:color="auto" w:fill="auto"/>
            <w:hideMark/>
          </w:tcPr>
          <w:p w14:paraId="0F8FD78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1C4B076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research paper, a stimulate recall, and a survey</w:t>
            </w:r>
          </w:p>
        </w:tc>
        <w:tc>
          <w:tcPr>
            <w:tcW w:w="1440" w:type="dxa"/>
            <w:tcBorders>
              <w:top w:val="nil"/>
              <w:left w:val="nil"/>
              <w:bottom w:val="single" w:sz="4" w:space="0" w:color="auto"/>
              <w:right w:val="single" w:sz="4" w:space="0" w:color="auto"/>
            </w:tcBorders>
            <w:shd w:val="clear" w:color="auto" w:fill="auto"/>
            <w:hideMark/>
          </w:tcPr>
          <w:p w14:paraId="0567628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semester</w:t>
            </w:r>
          </w:p>
        </w:tc>
      </w:tr>
      <w:tr w:rsidR="00611F84" w:rsidRPr="00611F84" w14:paraId="09499F19"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7DC508A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Fogal (2024)</w:t>
            </w:r>
          </w:p>
        </w:tc>
        <w:tc>
          <w:tcPr>
            <w:tcW w:w="1980" w:type="dxa"/>
            <w:tcBorders>
              <w:top w:val="nil"/>
              <w:left w:val="nil"/>
              <w:bottom w:val="single" w:sz="4" w:space="0" w:color="auto"/>
              <w:right w:val="single" w:sz="4" w:space="0" w:color="auto"/>
            </w:tcBorders>
            <w:shd w:val="clear" w:color="auto" w:fill="auto"/>
            <w:hideMark/>
          </w:tcPr>
          <w:p w14:paraId="0AEA5D1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Collaborative writing</w:t>
            </w:r>
          </w:p>
        </w:tc>
        <w:tc>
          <w:tcPr>
            <w:tcW w:w="2160" w:type="dxa"/>
            <w:tcBorders>
              <w:top w:val="nil"/>
              <w:left w:val="nil"/>
              <w:bottom w:val="single" w:sz="4" w:space="0" w:color="auto"/>
              <w:right w:val="single" w:sz="4" w:space="0" w:color="auto"/>
            </w:tcBorders>
            <w:shd w:val="clear" w:color="auto" w:fill="auto"/>
            <w:hideMark/>
          </w:tcPr>
          <w:p w14:paraId="5C02147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collaborative writing group was able to develop a more complex and holistic perception of a “writing space” compared to that of the independent writing group.</w:t>
            </w:r>
          </w:p>
        </w:tc>
        <w:tc>
          <w:tcPr>
            <w:tcW w:w="1530" w:type="dxa"/>
            <w:tcBorders>
              <w:top w:val="nil"/>
              <w:left w:val="nil"/>
              <w:bottom w:val="single" w:sz="4" w:space="0" w:color="auto"/>
              <w:right w:val="single" w:sz="4" w:space="0" w:color="auto"/>
            </w:tcBorders>
            <w:shd w:val="clear" w:color="auto" w:fill="auto"/>
            <w:hideMark/>
          </w:tcPr>
          <w:p w14:paraId="56D7322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33 under-grads</w:t>
            </w:r>
          </w:p>
        </w:tc>
        <w:tc>
          <w:tcPr>
            <w:tcW w:w="1530" w:type="dxa"/>
            <w:tcBorders>
              <w:top w:val="nil"/>
              <w:left w:val="nil"/>
              <w:bottom w:val="single" w:sz="4" w:space="0" w:color="auto"/>
              <w:right w:val="single" w:sz="4" w:space="0" w:color="auto"/>
            </w:tcBorders>
            <w:shd w:val="clear" w:color="auto" w:fill="auto"/>
            <w:hideMark/>
          </w:tcPr>
          <w:p w14:paraId="18AAF83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Japanese L1</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Korean L1</w:t>
            </w:r>
          </w:p>
        </w:tc>
        <w:tc>
          <w:tcPr>
            <w:tcW w:w="1080" w:type="dxa"/>
            <w:tcBorders>
              <w:top w:val="nil"/>
              <w:left w:val="nil"/>
              <w:bottom w:val="single" w:sz="4" w:space="0" w:color="auto"/>
              <w:right w:val="single" w:sz="4" w:space="0" w:color="auto"/>
            </w:tcBorders>
            <w:shd w:val="clear" w:color="auto" w:fill="auto"/>
            <w:hideMark/>
          </w:tcPr>
          <w:p w14:paraId="7201938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(Japan)</w:t>
            </w:r>
          </w:p>
        </w:tc>
        <w:tc>
          <w:tcPr>
            <w:tcW w:w="1440" w:type="dxa"/>
            <w:tcBorders>
              <w:top w:val="nil"/>
              <w:left w:val="nil"/>
              <w:bottom w:val="single" w:sz="4" w:space="0" w:color="auto"/>
              <w:right w:val="single" w:sz="4" w:space="0" w:color="auto"/>
            </w:tcBorders>
            <w:shd w:val="clear" w:color="auto" w:fill="auto"/>
            <w:hideMark/>
          </w:tcPr>
          <w:p w14:paraId="418650D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Simple systems approach</w:t>
            </w:r>
          </w:p>
        </w:tc>
        <w:tc>
          <w:tcPr>
            <w:tcW w:w="990" w:type="dxa"/>
            <w:tcBorders>
              <w:top w:val="nil"/>
              <w:left w:val="nil"/>
              <w:bottom w:val="single" w:sz="4" w:space="0" w:color="auto"/>
              <w:right w:val="single" w:sz="4" w:space="0" w:color="auto"/>
            </w:tcBorders>
            <w:shd w:val="clear" w:color="auto" w:fill="auto"/>
            <w:hideMark/>
          </w:tcPr>
          <w:p w14:paraId="58D7AF4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656D187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final paper, a mid-term paper, 22 response papers, 5 mapping activities, and an interview</w:t>
            </w:r>
          </w:p>
        </w:tc>
        <w:tc>
          <w:tcPr>
            <w:tcW w:w="1440" w:type="dxa"/>
            <w:tcBorders>
              <w:top w:val="nil"/>
              <w:left w:val="nil"/>
              <w:bottom w:val="single" w:sz="4" w:space="0" w:color="auto"/>
              <w:right w:val="single" w:sz="4" w:space="0" w:color="auto"/>
            </w:tcBorders>
            <w:shd w:val="clear" w:color="auto" w:fill="auto"/>
            <w:hideMark/>
          </w:tcPr>
          <w:p w14:paraId="2550012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semester</w:t>
            </w:r>
          </w:p>
        </w:tc>
      </w:tr>
      <w:tr w:rsidR="00611F84" w:rsidRPr="00611F84" w14:paraId="4A5BDCA7"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686938B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Fujioka (2014)</w:t>
            </w:r>
          </w:p>
        </w:tc>
        <w:tc>
          <w:tcPr>
            <w:tcW w:w="1980" w:type="dxa"/>
            <w:tcBorders>
              <w:top w:val="nil"/>
              <w:left w:val="nil"/>
              <w:bottom w:val="single" w:sz="4" w:space="0" w:color="auto"/>
              <w:right w:val="single" w:sz="4" w:space="0" w:color="auto"/>
            </w:tcBorders>
            <w:shd w:val="clear" w:color="auto" w:fill="auto"/>
            <w:hideMark/>
          </w:tcPr>
          <w:p w14:paraId="27B13B3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teacher negotiations and interactions</w:t>
            </w:r>
          </w:p>
        </w:tc>
        <w:tc>
          <w:tcPr>
            <w:tcW w:w="2160" w:type="dxa"/>
            <w:tcBorders>
              <w:top w:val="nil"/>
              <w:left w:val="nil"/>
              <w:bottom w:val="single" w:sz="4" w:space="0" w:color="auto"/>
              <w:right w:val="single" w:sz="4" w:space="0" w:color="auto"/>
            </w:tcBorders>
            <w:shd w:val="clear" w:color="auto" w:fill="auto"/>
            <w:hideMark/>
          </w:tcPr>
          <w:p w14:paraId="55388C8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student’s enactment of agency while negotiating with the professor mutually informed writing expectations, leading to changes in the professor’s teaching approaches.</w:t>
            </w:r>
          </w:p>
        </w:tc>
        <w:tc>
          <w:tcPr>
            <w:tcW w:w="1530" w:type="dxa"/>
            <w:tcBorders>
              <w:top w:val="nil"/>
              <w:left w:val="nil"/>
              <w:bottom w:val="single" w:sz="4" w:space="0" w:color="auto"/>
              <w:right w:val="single" w:sz="4" w:space="0" w:color="auto"/>
            </w:tcBorders>
            <w:shd w:val="clear" w:color="auto" w:fill="auto"/>
            <w:hideMark/>
          </w:tcPr>
          <w:p w14:paraId="757527E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grad student and 1 professor</w:t>
            </w:r>
          </w:p>
        </w:tc>
        <w:tc>
          <w:tcPr>
            <w:tcW w:w="1530" w:type="dxa"/>
            <w:tcBorders>
              <w:top w:val="nil"/>
              <w:left w:val="nil"/>
              <w:bottom w:val="single" w:sz="4" w:space="0" w:color="auto"/>
              <w:right w:val="single" w:sz="4" w:space="0" w:color="auto"/>
            </w:tcBorders>
            <w:shd w:val="clear" w:color="auto" w:fill="auto"/>
            <w:hideMark/>
          </w:tcPr>
          <w:p w14:paraId="2A88E6F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Japanese L1 (for the student)</w:t>
            </w:r>
          </w:p>
        </w:tc>
        <w:tc>
          <w:tcPr>
            <w:tcW w:w="1080" w:type="dxa"/>
            <w:tcBorders>
              <w:top w:val="nil"/>
              <w:left w:val="nil"/>
              <w:bottom w:val="single" w:sz="4" w:space="0" w:color="auto"/>
              <w:right w:val="single" w:sz="4" w:space="0" w:color="auto"/>
            </w:tcBorders>
            <w:shd w:val="clear" w:color="auto" w:fill="auto"/>
            <w:hideMark/>
          </w:tcPr>
          <w:p w14:paraId="6110888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5252D99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Activity theory</w:t>
            </w:r>
          </w:p>
        </w:tc>
        <w:tc>
          <w:tcPr>
            <w:tcW w:w="990" w:type="dxa"/>
            <w:tcBorders>
              <w:top w:val="nil"/>
              <w:left w:val="nil"/>
              <w:bottom w:val="single" w:sz="4" w:space="0" w:color="auto"/>
              <w:right w:val="single" w:sz="4" w:space="0" w:color="auto"/>
            </w:tcBorders>
            <w:shd w:val="clear" w:color="auto" w:fill="auto"/>
            <w:hideMark/>
          </w:tcPr>
          <w:p w14:paraId="4F717BC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4FA71F1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A final paper, a mid-term exam, reaction papers, notebook entries, interviews, and class </w:t>
            </w:r>
            <w:proofErr w:type="spellStart"/>
            <w:r w:rsidRPr="00611F84">
              <w:rPr>
                <w:rFonts w:ascii="Garamond" w:eastAsia="Times New Roman" w:hAnsi="Garamond" w:cs="Times New Roman"/>
                <w:szCs w:val="20"/>
              </w:rPr>
              <w:t>observa-tions</w:t>
            </w:r>
            <w:proofErr w:type="spellEnd"/>
          </w:p>
        </w:tc>
        <w:tc>
          <w:tcPr>
            <w:tcW w:w="1440" w:type="dxa"/>
            <w:tcBorders>
              <w:top w:val="nil"/>
              <w:left w:val="nil"/>
              <w:bottom w:val="single" w:sz="4" w:space="0" w:color="auto"/>
              <w:right w:val="single" w:sz="4" w:space="0" w:color="auto"/>
            </w:tcBorders>
            <w:shd w:val="clear" w:color="auto" w:fill="auto"/>
            <w:hideMark/>
          </w:tcPr>
          <w:p w14:paraId="595FC6D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semester</w:t>
            </w:r>
          </w:p>
        </w:tc>
      </w:tr>
      <w:tr w:rsidR="00611F84" w:rsidRPr="00611F84" w14:paraId="1CA78948"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tcPr>
          <w:p w14:paraId="412CD58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Gebril (2009)</w:t>
            </w:r>
          </w:p>
        </w:tc>
        <w:tc>
          <w:tcPr>
            <w:tcW w:w="1980" w:type="dxa"/>
            <w:tcBorders>
              <w:top w:val="nil"/>
              <w:left w:val="nil"/>
              <w:bottom w:val="single" w:sz="4" w:space="0" w:color="auto"/>
              <w:right w:val="single" w:sz="4" w:space="0" w:color="auto"/>
            </w:tcBorders>
            <w:shd w:val="clear" w:color="auto" w:fill="auto"/>
          </w:tcPr>
          <w:p w14:paraId="7007596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Comparability between integrated and independent writing tasks</w:t>
            </w:r>
          </w:p>
        </w:tc>
        <w:tc>
          <w:tcPr>
            <w:tcW w:w="2160" w:type="dxa"/>
            <w:tcBorders>
              <w:top w:val="nil"/>
              <w:left w:val="nil"/>
              <w:bottom w:val="single" w:sz="4" w:space="0" w:color="auto"/>
              <w:right w:val="single" w:sz="4" w:space="0" w:color="auto"/>
            </w:tcBorders>
            <w:shd w:val="clear" w:color="auto" w:fill="auto"/>
          </w:tcPr>
          <w:p w14:paraId="64FCBBD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scores on integrated and independent writing tasks were comparable despite the higher mean score for the integrated task.</w:t>
            </w:r>
          </w:p>
        </w:tc>
        <w:tc>
          <w:tcPr>
            <w:tcW w:w="1530" w:type="dxa"/>
            <w:tcBorders>
              <w:top w:val="nil"/>
              <w:left w:val="nil"/>
              <w:bottom w:val="single" w:sz="4" w:space="0" w:color="auto"/>
              <w:right w:val="single" w:sz="4" w:space="0" w:color="auto"/>
            </w:tcBorders>
            <w:shd w:val="clear" w:color="auto" w:fill="auto"/>
          </w:tcPr>
          <w:p w14:paraId="4EBE628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115 under-grads and 3 raters</w:t>
            </w:r>
          </w:p>
        </w:tc>
        <w:tc>
          <w:tcPr>
            <w:tcW w:w="1530" w:type="dxa"/>
            <w:tcBorders>
              <w:top w:val="nil"/>
              <w:left w:val="nil"/>
              <w:bottom w:val="single" w:sz="4" w:space="0" w:color="auto"/>
              <w:right w:val="single" w:sz="4" w:space="0" w:color="auto"/>
            </w:tcBorders>
            <w:shd w:val="clear" w:color="auto" w:fill="auto"/>
          </w:tcPr>
          <w:p w14:paraId="78D766F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L1s not reported</w:t>
            </w:r>
          </w:p>
        </w:tc>
        <w:tc>
          <w:tcPr>
            <w:tcW w:w="1080" w:type="dxa"/>
            <w:tcBorders>
              <w:top w:val="nil"/>
              <w:left w:val="nil"/>
              <w:bottom w:val="single" w:sz="4" w:space="0" w:color="auto"/>
              <w:right w:val="single" w:sz="4" w:space="0" w:color="auto"/>
            </w:tcBorders>
            <w:shd w:val="clear" w:color="auto" w:fill="auto"/>
          </w:tcPr>
          <w:p w14:paraId="7A96880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(Egypt)</w:t>
            </w:r>
          </w:p>
        </w:tc>
        <w:tc>
          <w:tcPr>
            <w:tcW w:w="1440" w:type="dxa"/>
            <w:tcBorders>
              <w:top w:val="nil"/>
              <w:left w:val="nil"/>
              <w:bottom w:val="single" w:sz="4" w:space="0" w:color="auto"/>
              <w:right w:val="single" w:sz="4" w:space="0" w:color="auto"/>
            </w:tcBorders>
            <w:shd w:val="clear" w:color="auto" w:fill="auto"/>
          </w:tcPr>
          <w:p w14:paraId="7BED03C0" w14:textId="77777777" w:rsidR="00616096" w:rsidRPr="00611F84" w:rsidRDefault="00616096" w:rsidP="00924822">
            <w:pPr>
              <w:rPr>
                <w:rFonts w:ascii="Garamond" w:eastAsia="Times New Roman" w:hAnsi="Garamond" w:cs="Times New Roman"/>
                <w:szCs w:val="20"/>
              </w:rPr>
            </w:pPr>
            <w:proofErr w:type="gramStart"/>
            <w:r w:rsidRPr="00611F84">
              <w:rPr>
                <w:rFonts w:ascii="Garamond" w:eastAsia="Times New Roman" w:hAnsi="Garamond" w:cs="Times New Roman"/>
                <w:szCs w:val="20"/>
              </w:rPr>
              <w:t>Generalizability  Theory</w:t>
            </w:r>
            <w:proofErr w:type="gramEnd"/>
          </w:p>
        </w:tc>
        <w:tc>
          <w:tcPr>
            <w:tcW w:w="990" w:type="dxa"/>
            <w:tcBorders>
              <w:top w:val="nil"/>
              <w:left w:val="nil"/>
              <w:bottom w:val="single" w:sz="4" w:space="0" w:color="auto"/>
              <w:right w:val="single" w:sz="4" w:space="0" w:color="auto"/>
            </w:tcBorders>
            <w:shd w:val="clear" w:color="auto" w:fill="auto"/>
          </w:tcPr>
          <w:p w14:paraId="4EB5D82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tcPr>
          <w:p w14:paraId="313256A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integrated writing task and an independent writing task</w:t>
            </w:r>
          </w:p>
        </w:tc>
        <w:tc>
          <w:tcPr>
            <w:tcW w:w="1440" w:type="dxa"/>
            <w:tcBorders>
              <w:top w:val="nil"/>
              <w:left w:val="nil"/>
              <w:bottom w:val="single" w:sz="4" w:space="0" w:color="auto"/>
              <w:right w:val="single" w:sz="4" w:space="0" w:color="auto"/>
            </w:tcBorders>
            <w:shd w:val="clear" w:color="auto" w:fill="auto"/>
          </w:tcPr>
          <w:p w14:paraId="7333935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55 min for the </w:t>
            </w:r>
            <w:proofErr w:type="spellStart"/>
            <w:r w:rsidRPr="00611F84">
              <w:rPr>
                <w:rFonts w:ascii="Garamond" w:eastAsia="Times New Roman" w:hAnsi="Garamond" w:cs="Times New Roman"/>
                <w:szCs w:val="20"/>
              </w:rPr>
              <w:t>inte</w:t>
            </w:r>
            <w:proofErr w:type="spellEnd"/>
            <w:r w:rsidRPr="00611F84">
              <w:rPr>
                <w:rFonts w:ascii="Garamond" w:eastAsia="Times New Roman" w:hAnsi="Garamond" w:cs="Times New Roman"/>
                <w:szCs w:val="20"/>
              </w:rPr>
              <w:t xml:space="preserve">-grated task and 45 min for the </w:t>
            </w:r>
            <w:proofErr w:type="spellStart"/>
            <w:r w:rsidRPr="00611F84">
              <w:rPr>
                <w:rFonts w:ascii="Garamond" w:eastAsia="Times New Roman" w:hAnsi="Garamond" w:cs="Times New Roman"/>
                <w:szCs w:val="20"/>
              </w:rPr>
              <w:t>inde</w:t>
            </w:r>
            <w:proofErr w:type="spellEnd"/>
            <w:r w:rsidRPr="00611F84">
              <w:rPr>
                <w:rFonts w:ascii="Garamond" w:eastAsia="Times New Roman" w:hAnsi="Garamond" w:cs="Times New Roman"/>
                <w:szCs w:val="20"/>
              </w:rPr>
              <w:t>-pendent task</w:t>
            </w:r>
          </w:p>
        </w:tc>
      </w:tr>
      <w:tr w:rsidR="00611F84" w:rsidRPr="00611F84" w14:paraId="43E2E0EA"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hideMark/>
          </w:tcPr>
          <w:p w14:paraId="624A569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Gebril &amp; </w:t>
            </w:r>
            <w:proofErr w:type="spellStart"/>
            <w:r w:rsidRPr="00611F84">
              <w:rPr>
                <w:rFonts w:ascii="Garamond" w:eastAsia="Times New Roman" w:hAnsi="Garamond" w:cs="Times New Roman"/>
                <w:szCs w:val="20"/>
              </w:rPr>
              <w:t>Plakans</w:t>
            </w:r>
            <w:proofErr w:type="spellEnd"/>
            <w:r w:rsidRPr="00611F84">
              <w:rPr>
                <w:rFonts w:ascii="Garamond" w:eastAsia="Times New Roman" w:hAnsi="Garamond" w:cs="Times New Roman"/>
                <w:szCs w:val="20"/>
              </w:rPr>
              <w:t xml:space="preserve"> (2014)</w:t>
            </w:r>
          </w:p>
        </w:tc>
        <w:tc>
          <w:tcPr>
            <w:tcW w:w="1980" w:type="dxa"/>
            <w:tcBorders>
              <w:top w:val="nil"/>
              <w:left w:val="nil"/>
              <w:bottom w:val="single" w:sz="4" w:space="0" w:color="auto"/>
              <w:right w:val="single" w:sz="4" w:space="0" w:color="auto"/>
            </w:tcBorders>
            <w:shd w:val="clear" w:color="auto" w:fill="auto"/>
            <w:hideMark/>
          </w:tcPr>
          <w:p w14:paraId="58E7B01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Rater evaluations</w:t>
            </w:r>
          </w:p>
        </w:tc>
        <w:tc>
          <w:tcPr>
            <w:tcW w:w="2160" w:type="dxa"/>
            <w:tcBorders>
              <w:top w:val="nil"/>
              <w:left w:val="nil"/>
              <w:bottom w:val="single" w:sz="4" w:space="0" w:color="auto"/>
              <w:right w:val="single" w:sz="4" w:space="0" w:color="auto"/>
            </w:tcBorders>
            <w:shd w:val="clear" w:color="auto" w:fill="auto"/>
            <w:hideMark/>
          </w:tcPr>
          <w:p w14:paraId="4B5C7EF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Raters engaged in more judgment strategies (assessing text quality) than interpretation processes (making sense of the text).</w:t>
            </w:r>
          </w:p>
        </w:tc>
        <w:tc>
          <w:tcPr>
            <w:tcW w:w="1530" w:type="dxa"/>
            <w:tcBorders>
              <w:top w:val="nil"/>
              <w:left w:val="nil"/>
              <w:bottom w:val="single" w:sz="4" w:space="0" w:color="auto"/>
              <w:right w:val="single" w:sz="4" w:space="0" w:color="auto"/>
            </w:tcBorders>
            <w:shd w:val="clear" w:color="auto" w:fill="auto"/>
            <w:hideMark/>
          </w:tcPr>
          <w:p w14:paraId="36806EB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145 under-grads and 2 raters</w:t>
            </w:r>
          </w:p>
        </w:tc>
        <w:tc>
          <w:tcPr>
            <w:tcW w:w="1530" w:type="dxa"/>
            <w:tcBorders>
              <w:top w:val="nil"/>
              <w:left w:val="nil"/>
              <w:bottom w:val="single" w:sz="4" w:space="0" w:color="auto"/>
              <w:right w:val="single" w:sz="4" w:space="0" w:color="auto"/>
            </w:tcBorders>
            <w:shd w:val="clear" w:color="auto" w:fill="auto"/>
            <w:hideMark/>
          </w:tcPr>
          <w:p w14:paraId="7823AB1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w:t>
            </w:r>
            <w:r w:rsidRPr="00611F84">
              <w:rPr>
                <w:rFonts w:ascii="Garamond" w:eastAsia="Times New Roman" w:hAnsi="Garamond" w:cs="Times New Roman"/>
                <w:szCs w:val="20"/>
              </w:rPr>
              <w:br/>
              <w:t>English L2</w:t>
            </w:r>
            <w:r w:rsidRPr="00611F84">
              <w:rPr>
                <w:rFonts w:ascii="Garamond" w:eastAsia="Times New Roman" w:hAnsi="Garamond" w:cs="Times New Roman"/>
                <w:szCs w:val="20"/>
              </w:rPr>
              <w:br/>
              <w:t xml:space="preserve">Arabic L1 </w:t>
            </w:r>
            <w:r w:rsidRPr="00611F84">
              <w:rPr>
                <w:rFonts w:ascii="Garamond" w:eastAsia="Times New Roman" w:hAnsi="Garamond" w:cs="Times New Roman"/>
                <w:szCs w:val="20"/>
              </w:rPr>
              <w:br/>
            </w:r>
            <w:r w:rsidRPr="00611F84">
              <w:rPr>
                <w:rFonts w:ascii="Garamond" w:eastAsia="Times New Roman" w:hAnsi="Garamond" w:cs="Times New Roman"/>
                <w:szCs w:val="20"/>
              </w:rPr>
              <w:br/>
              <w:t>Raters:</w:t>
            </w:r>
            <w:r w:rsidRPr="00611F84">
              <w:rPr>
                <w:rFonts w:ascii="Garamond" w:eastAsia="Times New Roman" w:hAnsi="Garamond" w:cs="Times New Roman"/>
                <w:szCs w:val="20"/>
              </w:rPr>
              <w:br/>
              <w:t>English L1,</w:t>
            </w:r>
            <w:r w:rsidRPr="00611F84">
              <w:rPr>
                <w:rFonts w:ascii="Garamond" w:hAnsi="Garamond" w:cs="Times New Roman"/>
                <w:szCs w:val="20"/>
              </w:rPr>
              <w:t xml:space="preserve"> </w:t>
            </w:r>
            <w:r w:rsidRPr="00611F84">
              <w:rPr>
                <w:rFonts w:ascii="Garamond" w:eastAsia="Times New Roman" w:hAnsi="Garamond" w:cs="Times New Roman"/>
                <w:szCs w:val="20"/>
              </w:rPr>
              <w:t>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0B68221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(Middle East)</w:t>
            </w:r>
          </w:p>
        </w:tc>
        <w:tc>
          <w:tcPr>
            <w:tcW w:w="1440" w:type="dxa"/>
            <w:tcBorders>
              <w:top w:val="nil"/>
              <w:left w:val="nil"/>
              <w:bottom w:val="single" w:sz="4" w:space="0" w:color="auto"/>
              <w:right w:val="single" w:sz="4" w:space="0" w:color="auto"/>
            </w:tcBorders>
            <w:shd w:val="clear" w:color="auto" w:fill="auto"/>
            <w:hideMark/>
          </w:tcPr>
          <w:p w14:paraId="34F0D32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15E1503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QL+qt</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7FD0228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argumentative essay, think</w:t>
            </w:r>
            <w:r w:rsidRPr="00611F84">
              <w:rPr>
                <w:rFonts w:ascii="Garamond" w:hAnsi="Garamond" w:cs="Times New Roman"/>
                <w:szCs w:val="20"/>
              </w:rPr>
              <w:t xml:space="preserve"> </w:t>
            </w:r>
            <w:proofErr w:type="spellStart"/>
            <w:r w:rsidRPr="00611F84">
              <w:rPr>
                <w:rFonts w:ascii="Garamond" w:eastAsia="Times New Roman" w:hAnsi="Garamond" w:cs="Times New Roman"/>
                <w:szCs w:val="20"/>
              </w:rPr>
              <w:t>alouds</w:t>
            </w:r>
            <w:proofErr w:type="spellEnd"/>
            <w:r w:rsidRPr="00611F84">
              <w:rPr>
                <w:rFonts w:ascii="Garamond" w:eastAsia="Times New Roman" w:hAnsi="Garamond" w:cs="Times New Roman"/>
                <w:szCs w:val="20"/>
              </w:rPr>
              <w:t>, and an interview</w:t>
            </w:r>
          </w:p>
        </w:tc>
        <w:tc>
          <w:tcPr>
            <w:tcW w:w="1440" w:type="dxa"/>
            <w:tcBorders>
              <w:top w:val="nil"/>
              <w:left w:val="nil"/>
              <w:bottom w:val="single" w:sz="4" w:space="0" w:color="auto"/>
              <w:right w:val="single" w:sz="4" w:space="0" w:color="auto"/>
            </w:tcBorders>
            <w:shd w:val="clear" w:color="auto" w:fill="auto"/>
            <w:hideMark/>
          </w:tcPr>
          <w:p w14:paraId="6EC9843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60 min for the writing task</w:t>
            </w:r>
          </w:p>
        </w:tc>
      </w:tr>
      <w:tr w:rsidR="00611F84" w:rsidRPr="00611F84" w14:paraId="2DFBBA05"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71DB593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Gebril &amp; </w:t>
            </w:r>
            <w:proofErr w:type="spellStart"/>
            <w:r w:rsidRPr="00611F84">
              <w:rPr>
                <w:rFonts w:ascii="Garamond" w:eastAsia="Times New Roman" w:hAnsi="Garamond" w:cs="Times New Roman"/>
                <w:szCs w:val="20"/>
              </w:rPr>
              <w:t>Plakans</w:t>
            </w:r>
            <w:proofErr w:type="spellEnd"/>
            <w:r w:rsidRPr="00611F84">
              <w:rPr>
                <w:rFonts w:ascii="Garamond" w:eastAsia="Times New Roman" w:hAnsi="Garamond" w:cs="Times New Roman"/>
                <w:szCs w:val="20"/>
              </w:rPr>
              <w:t xml:space="preserve"> (2016)</w:t>
            </w:r>
          </w:p>
        </w:tc>
        <w:tc>
          <w:tcPr>
            <w:tcW w:w="1980" w:type="dxa"/>
            <w:tcBorders>
              <w:top w:val="nil"/>
              <w:left w:val="nil"/>
              <w:bottom w:val="single" w:sz="4" w:space="0" w:color="auto"/>
              <w:right w:val="single" w:sz="4" w:space="0" w:color="auto"/>
            </w:tcBorders>
            <w:shd w:val="clear" w:color="auto" w:fill="auto"/>
            <w:hideMark/>
          </w:tcPr>
          <w:p w14:paraId="06FB1FA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Relationships between lexical diversity, textual borrowing, and writing scores</w:t>
            </w:r>
          </w:p>
        </w:tc>
        <w:tc>
          <w:tcPr>
            <w:tcW w:w="2160" w:type="dxa"/>
            <w:tcBorders>
              <w:top w:val="nil"/>
              <w:left w:val="nil"/>
              <w:bottom w:val="single" w:sz="4" w:space="0" w:color="auto"/>
              <w:right w:val="single" w:sz="4" w:space="0" w:color="auto"/>
            </w:tcBorders>
            <w:shd w:val="clear" w:color="auto" w:fill="auto"/>
            <w:hideMark/>
          </w:tcPr>
          <w:p w14:paraId="6AFAF14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act of text borrowing influenced the lexical diversity scores in their integrated writing task.</w:t>
            </w:r>
          </w:p>
        </w:tc>
        <w:tc>
          <w:tcPr>
            <w:tcW w:w="1530" w:type="dxa"/>
            <w:tcBorders>
              <w:top w:val="nil"/>
              <w:left w:val="nil"/>
              <w:bottom w:val="single" w:sz="4" w:space="0" w:color="auto"/>
              <w:right w:val="single" w:sz="4" w:space="0" w:color="auto"/>
            </w:tcBorders>
            <w:shd w:val="clear" w:color="auto" w:fill="auto"/>
            <w:hideMark/>
          </w:tcPr>
          <w:p w14:paraId="380660C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120 under-grads</w:t>
            </w:r>
          </w:p>
        </w:tc>
        <w:tc>
          <w:tcPr>
            <w:tcW w:w="1530" w:type="dxa"/>
            <w:tcBorders>
              <w:top w:val="nil"/>
              <w:left w:val="nil"/>
              <w:bottom w:val="single" w:sz="4" w:space="0" w:color="auto"/>
              <w:right w:val="single" w:sz="4" w:space="0" w:color="auto"/>
            </w:tcBorders>
            <w:shd w:val="clear" w:color="auto" w:fill="auto"/>
            <w:hideMark/>
          </w:tcPr>
          <w:p w14:paraId="67BB3FB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Arabic L1</w:t>
            </w:r>
          </w:p>
        </w:tc>
        <w:tc>
          <w:tcPr>
            <w:tcW w:w="1080" w:type="dxa"/>
            <w:tcBorders>
              <w:top w:val="nil"/>
              <w:left w:val="nil"/>
              <w:bottom w:val="single" w:sz="4" w:space="0" w:color="auto"/>
              <w:right w:val="single" w:sz="4" w:space="0" w:color="auto"/>
            </w:tcBorders>
            <w:shd w:val="clear" w:color="auto" w:fill="auto"/>
            <w:hideMark/>
          </w:tcPr>
          <w:p w14:paraId="1587C9F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(Middle East)</w:t>
            </w:r>
          </w:p>
        </w:tc>
        <w:tc>
          <w:tcPr>
            <w:tcW w:w="1440" w:type="dxa"/>
            <w:tcBorders>
              <w:top w:val="nil"/>
              <w:left w:val="nil"/>
              <w:bottom w:val="single" w:sz="4" w:space="0" w:color="auto"/>
              <w:right w:val="single" w:sz="4" w:space="0" w:color="auto"/>
            </w:tcBorders>
            <w:shd w:val="clear" w:color="auto" w:fill="auto"/>
            <w:hideMark/>
          </w:tcPr>
          <w:p w14:paraId="155AC51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5647F97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2239481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integrated writing task</w:t>
            </w:r>
          </w:p>
        </w:tc>
        <w:tc>
          <w:tcPr>
            <w:tcW w:w="1440" w:type="dxa"/>
            <w:tcBorders>
              <w:top w:val="nil"/>
              <w:left w:val="nil"/>
              <w:bottom w:val="single" w:sz="4" w:space="0" w:color="auto"/>
              <w:right w:val="single" w:sz="4" w:space="0" w:color="auto"/>
            </w:tcBorders>
            <w:shd w:val="clear" w:color="auto" w:fill="auto"/>
            <w:hideMark/>
          </w:tcPr>
          <w:p w14:paraId="0A8F13E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60 min for the writing task</w:t>
            </w:r>
          </w:p>
        </w:tc>
      </w:tr>
      <w:tr w:rsidR="00611F84" w:rsidRPr="00611F84" w14:paraId="611B2C82" w14:textId="77777777" w:rsidTr="00611F84">
        <w:trPr>
          <w:trHeight w:val="2575"/>
        </w:trPr>
        <w:tc>
          <w:tcPr>
            <w:tcW w:w="1620" w:type="dxa"/>
            <w:tcBorders>
              <w:top w:val="nil"/>
              <w:left w:val="single" w:sz="4" w:space="0" w:color="auto"/>
              <w:bottom w:val="single" w:sz="4" w:space="0" w:color="auto"/>
              <w:right w:val="single" w:sz="4" w:space="0" w:color="auto"/>
            </w:tcBorders>
            <w:shd w:val="clear" w:color="auto" w:fill="auto"/>
            <w:hideMark/>
          </w:tcPr>
          <w:p w14:paraId="2D1C2CA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Guo et al. (2013)</w:t>
            </w:r>
          </w:p>
        </w:tc>
        <w:tc>
          <w:tcPr>
            <w:tcW w:w="1980" w:type="dxa"/>
            <w:tcBorders>
              <w:top w:val="nil"/>
              <w:left w:val="nil"/>
              <w:bottom w:val="single" w:sz="4" w:space="0" w:color="auto"/>
              <w:right w:val="single" w:sz="4" w:space="0" w:color="auto"/>
            </w:tcBorders>
            <w:shd w:val="clear" w:color="auto" w:fill="auto"/>
            <w:hideMark/>
          </w:tcPr>
          <w:p w14:paraId="2CE8FC0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p>
        </w:tc>
        <w:tc>
          <w:tcPr>
            <w:tcW w:w="2160" w:type="dxa"/>
            <w:tcBorders>
              <w:top w:val="nil"/>
              <w:left w:val="nil"/>
              <w:bottom w:val="single" w:sz="4" w:space="0" w:color="auto"/>
              <w:right w:val="single" w:sz="4" w:space="0" w:color="auto"/>
            </w:tcBorders>
            <w:shd w:val="clear" w:color="auto" w:fill="auto"/>
            <w:hideMark/>
          </w:tcPr>
          <w:p w14:paraId="01193C5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Lexical sophistication was a powerful predictor of both integrated and independent writing, whereas syntactic complexity and cohesion were good predictors only for integrated writing.</w:t>
            </w:r>
          </w:p>
        </w:tc>
        <w:tc>
          <w:tcPr>
            <w:tcW w:w="1530" w:type="dxa"/>
            <w:tcBorders>
              <w:top w:val="nil"/>
              <w:left w:val="nil"/>
              <w:bottom w:val="single" w:sz="4" w:space="0" w:color="auto"/>
              <w:right w:val="single" w:sz="4" w:space="0" w:color="auto"/>
            </w:tcBorders>
            <w:shd w:val="clear" w:color="auto" w:fill="auto"/>
            <w:hideMark/>
          </w:tcPr>
          <w:p w14:paraId="402D688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240 TOEFL test-takers</w:t>
            </w:r>
          </w:p>
        </w:tc>
        <w:tc>
          <w:tcPr>
            <w:tcW w:w="1530" w:type="dxa"/>
            <w:tcBorders>
              <w:top w:val="nil"/>
              <w:left w:val="nil"/>
              <w:bottom w:val="single" w:sz="4" w:space="0" w:color="auto"/>
              <w:right w:val="single" w:sz="4" w:space="0" w:color="auto"/>
            </w:tcBorders>
            <w:shd w:val="clear" w:color="auto" w:fill="auto"/>
            <w:hideMark/>
          </w:tcPr>
          <w:p w14:paraId="290F7AA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Japanese L1</w:t>
            </w:r>
            <w:r w:rsidRPr="00611F84">
              <w:rPr>
                <w:rFonts w:ascii="Garamond" w:eastAsia="Times New Roman" w:hAnsi="Garamond" w:cs="Times New Roman"/>
                <w:szCs w:val="20"/>
              </w:rPr>
              <w:br/>
              <w:t>other L1s</w:t>
            </w:r>
          </w:p>
        </w:tc>
        <w:tc>
          <w:tcPr>
            <w:tcW w:w="1080" w:type="dxa"/>
            <w:tcBorders>
              <w:top w:val="nil"/>
              <w:left w:val="nil"/>
              <w:bottom w:val="single" w:sz="4" w:space="0" w:color="auto"/>
              <w:right w:val="single" w:sz="4" w:space="0" w:color="auto"/>
            </w:tcBorders>
            <w:shd w:val="clear" w:color="auto" w:fill="auto"/>
            <w:hideMark/>
          </w:tcPr>
          <w:p w14:paraId="51E130C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 (TOEFL)</w:t>
            </w:r>
          </w:p>
        </w:tc>
        <w:tc>
          <w:tcPr>
            <w:tcW w:w="1440" w:type="dxa"/>
            <w:tcBorders>
              <w:top w:val="nil"/>
              <w:left w:val="nil"/>
              <w:bottom w:val="single" w:sz="4" w:space="0" w:color="auto"/>
              <w:right w:val="single" w:sz="4" w:space="0" w:color="auto"/>
            </w:tcBorders>
            <w:shd w:val="clear" w:color="auto" w:fill="auto"/>
            <w:hideMark/>
          </w:tcPr>
          <w:p w14:paraId="471959D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3299AB7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4C53937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integrated writing task and an independent TOEFL writing task</w:t>
            </w:r>
          </w:p>
        </w:tc>
        <w:tc>
          <w:tcPr>
            <w:tcW w:w="1440" w:type="dxa"/>
            <w:tcBorders>
              <w:top w:val="nil"/>
              <w:left w:val="nil"/>
              <w:bottom w:val="single" w:sz="4" w:space="0" w:color="auto"/>
              <w:right w:val="single" w:sz="4" w:space="0" w:color="auto"/>
            </w:tcBorders>
            <w:shd w:val="clear" w:color="auto" w:fill="auto"/>
            <w:hideMark/>
          </w:tcPr>
          <w:p w14:paraId="3D4D7F5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20 min for integrated writing, 30 min for </w:t>
            </w:r>
            <w:proofErr w:type="spellStart"/>
            <w:r w:rsidRPr="00611F84">
              <w:rPr>
                <w:rFonts w:ascii="Garamond" w:eastAsia="Times New Roman" w:hAnsi="Garamond" w:cs="Times New Roman"/>
                <w:szCs w:val="20"/>
              </w:rPr>
              <w:t>indepen</w:t>
            </w:r>
            <w:proofErr w:type="spellEnd"/>
            <w:r w:rsidRPr="00611F84">
              <w:rPr>
                <w:rFonts w:ascii="Garamond" w:eastAsia="Times New Roman" w:hAnsi="Garamond" w:cs="Times New Roman"/>
                <w:szCs w:val="20"/>
              </w:rPr>
              <w:t xml:space="preserve">-dent writing </w:t>
            </w:r>
          </w:p>
        </w:tc>
      </w:tr>
      <w:tr w:rsidR="00611F84" w:rsidRPr="00611F84" w14:paraId="08667501"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6A87536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Hirvela &amp; Du (2013)</w:t>
            </w:r>
          </w:p>
        </w:tc>
        <w:tc>
          <w:tcPr>
            <w:tcW w:w="1980" w:type="dxa"/>
            <w:tcBorders>
              <w:top w:val="nil"/>
              <w:left w:val="nil"/>
              <w:bottom w:val="single" w:sz="4" w:space="0" w:color="auto"/>
              <w:right w:val="single" w:sz="4" w:space="0" w:color="auto"/>
            </w:tcBorders>
            <w:shd w:val="clear" w:color="auto" w:fill="auto"/>
            <w:hideMark/>
          </w:tcPr>
          <w:p w14:paraId="6496E6D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Paraphrasing practices</w:t>
            </w:r>
          </w:p>
        </w:tc>
        <w:tc>
          <w:tcPr>
            <w:tcW w:w="2160" w:type="dxa"/>
            <w:tcBorders>
              <w:top w:val="nil"/>
              <w:left w:val="nil"/>
              <w:bottom w:val="single" w:sz="4" w:space="0" w:color="auto"/>
              <w:right w:val="single" w:sz="4" w:space="0" w:color="auto"/>
            </w:tcBorders>
            <w:shd w:val="clear" w:color="auto" w:fill="auto"/>
            <w:hideMark/>
          </w:tcPr>
          <w:p w14:paraId="0C2292D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L2 writers struggled to paraphrase for knowledge-transforming purposes and switched to direct quoting when they lost confidence in paraphrasing.</w:t>
            </w:r>
          </w:p>
        </w:tc>
        <w:tc>
          <w:tcPr>
            <w:tcW w:w="1530" w:type="dxa"/>
            <w:tcBorders>
              <w:top w:val="nil"/>
              <w:left w:val="nil"/>
              <w:bottom w:val="single" w:sz="4" w:space="0" w:color="auto"/>
              <w:right w:val="single" w:sz="4" w:space="0" w:color="auto"/>
            </w:tcBorders>
            <w:shd w:val="clear" w:color="auto" w:fill="auto"/>
            <w:hideMark/>
          </w:tcPr>
          <w:p w14:paraId="2567CF3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under-grads</w:t>
            </w:r>
          </w:p>
        </w:tc>
        <w:tc>
          <w:tcPr>
            <w:tcW w:w="1530" w:type="dxa"/>
            <w:tcBorders>
              <w:top w:val="nil"/>
              <w:left w:val="nil"/>
              <w:bottom w:val="single" w:sz="4" w:space="0" w:color="auto"/>
              <w:right w:val="single" w:sz="4" w:space="0" w:color="auto"/>
            </w:tcBorders>
            <w:shd w:val="clear" w:color="auto" w:fill="auto"/>
            <w:hideMark/>
          </w:tcPr>
          <w:p w14:paraId="1A85690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0B1A97D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164007B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Bereiter &amp; </w:t>
            </w:r>
            <w:proofErr w:type="spellStart"/>
            <w:r w:rsidRPr="00611F84">
              <w:rPr>
                <w:rFonts w:ascii="Garamond" w:eastAsia="Times New Roman" w:hAnsi="Garamond" w:cs="Times New Roman"/>
                <w:szCs w:val="20"/>
              </w:rPr>
              <w:t>Scardamalia’s</w:t>
            </w:r>
            <w:proofErr w:type="spellEnd"/>
            <w:r w:rsidRPr="00611F84">
              <w:rPr>
                <w:rFonts w:ascii="Garamond" w:eastAsia="Times New Roman" w:hAnsi="Garamond" w:cs="Times New Roman"/>
                <w:szCs w:val="20"/>
              </w:rPr>
              <w:t xml:space="preserve"> knowledge telling and knowledge transforming </w:t>
            </w:r>
          </w:p>
        </w:tc>
        <w:tc>
          <w:tcPr>
            <w:tcW w:w="990" w:type="dxa"/>
            <w:tcBorders>
              <w:top w:val="nil"/>
              <w:left w:val="nil"/>
              <w:bottom w:val="single" w:sz="4" w:space="0" w:color="auto"/>
              <w:right w:val="single" w:sz="4" w:space="0" w:color="auto"/>
            </w:tcBorders>
            <w:shd w:val="clear" w:color="auto" w:fill="auto"/>
            <w:hideMark/>
          </w:tcPr>
          <w:p w14:paraId="3174036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4AB3EBD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short research paper, a long research paper, think</w:t>
            </w:r>
            <w:r w:rsidRPr="00611F84">
              <w:rPr>
                <w:rFonts w:ascii="Garamond" w:hAnsi="Garamond" w:cs="Times New Roman"/>
                <w:szCs w:val="20"/>
              </w:rPr>
              <w:t xml:space="preserve"> </w:t>
            </w:r>
            <w:proofErr w:type="spellStart"/>
            <w:r w:rsidRPr="00611F84">
              <w:rPr>
                <w:rFonts w:ascii="Garamond" w:eastAsia="Times New Roman" w:hAnsi="Garamond" w:cs="Times New Roman"/>
                <w:szCs w:val="20"/>
              </w:rPr>
              <w:t>alouds</w:t>
            </w:r>
            <w:proofErr w:type="spellEnd"/>
            <w:r w:rsidRPr="00611F84">
              <w:rPr>
                <w:rFonts w:ascii="Garamond" w:eastAsia="Times New Roman" w:hAnsi="Garamond" w:cs="Times New Roman"/>
                <w:szCs w:val="20"/>
              </w:rPr>
              <w:t>, and text-based interviews</w:t>
            </w:r>
          </w:p>
        </w:tc>
        <w:tc>
          <w:tcPr>
            <w:tcW w:w="1440" w:type="dxa"/>
            <w:tcBorders>
              <w:top w:val="nil"/>
              <w:left w:val="nil"/>
              <w:bottom w:val="single" w:sz="4" w:space="0" w:color="auto"/>
              <w:right w:val="single" w:sz="4" w:space="0" w:color="auto"/>
            </w:tcBorders>
            <w:shd w:val="clear" w:color="auto" w:fill="auto"/>
            <w:hideMark/>
          </w:tcPr>
          <w:p w14:paraId="736BC4B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semester</w:t>
            </w:r>
          </w:p>
        </w:tc>
      </w:tr>
      <w:tr w:rsidR="00611F84" w:rsidRPr="00611F84" w14:paraId="1FBB2630"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5DA356A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James (2010)</w:t>
            </w:r>
          </w:p>
        </w:tc>
        <w:tc>
          <w:tcPr>
            <w:tcW w:w="1980" w:type="dxa"/>
            <w:tcBorders>
              <w:top w:val="nil"/>
              <w:left w:val="nil"/>
              <w:bottom w:val="single" w:sz="4" w:space="0" w:color="auto"/>
              <w:right w:val="single" w:sz="4" w:space="0" w:color="auto"/>
            </w:tcBorders>
            <w:shd w:val="clear" w:color="auto" w:fill="auto"/>
            <w:hideMark/>
          </w:tcPr>
          <w:p w14:paraId="5E3FC30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Transfer effects</w:t>
            </w:r>
            <w:r w:rsidRPr="00611F84">
              <w:rPr>
                <w:rFonts w:ascii="Garamond" w:eastAsia="Times New Roman" w:hAnsi="Garamond" w:cs="Times New Roman"/>
                <w:szCs w:val="20"/>
              </w:rPr>
              <w:br/>
              <w:t>• Learner transfer</w:t>
            </w:r>
          </w:p>
        </w:tc>
        <w:tc>
          <w:tcPr>
            <w:tcW w:w="2160" w:type="dxa"/>
            <w:tcBorders>
              <w:top w:val="nil"/>
              <w:left w:val="nil"/>
              <w:bottom w:val="single" w:sz="4" w:space="0" w:color="auto"/>
              <w:right w:val="single" w:sz="4" w:space="0" w:color="auto"/>
            </w:tcBorders>
            <w:shd w:val="clear" w:color="auto" w:fill="auto"/>
            <w:hideMark/>
          </w:tcPr>
          <w:p w14:paraId="4F2970C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Skills learned from EAP courses (e.g., synthesizing multiple source texts) can be transferred to future disciplinary courses.</w:t>
            </w:r>
          </w:p>
        </w:tc>
        <w:tc>
          <w:tcPr>
            <w:tcW w:w="1530" w:type="dxa"/>
            <w:tcBorders>
              <w:top w:val="nil"/>
              <w:left w:val="nil"/>
              <w:bottom w:val="single" w:sz="4" w:space="0" w:color="auto"/>
              <w:right w:val="single" w:sz="4" w:space="0" w:color="auto"/>
            </w:tcBorders>
            <w:shd w:val="clear" w:color="auto" w:fill="auto"/>
            <w:hideMark/>
          </w:tcPr>
          <w:p w14:paraId="03D96E7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11 under-grads</w:t>
            </w:r>
          </w:p>
        </w:tc>
        <w:tc>
          <w:tcPr>
            <w:tcW w:w="1530" w:type="dxa"/>
            <w:tcBorders>
              <w:top w:val="nil"/>
              <w:left w:val="nil"/>
              <w:bottom w:val="single" w:sz="4" w:space="0" w:color="auto"/>
              <w:right w:val="single" w:sz="4" w:space="0" w:color="auto"/>
            </w:tcBorders>
            <w:shd w:val="clear" w:color="auto" w:fill="auto"/>
            <w:hideMark/>
          </w:tcPr>
          <w:p w14:paraId="476EDC9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Korean L1 Japanese L1 Chinese L1 Serbian L1</w:t>
            </w:r>
          </w:p>
        </w:tc>
        <w:tc>
          <w:tcPr>
            <w:tcW w:w="1080" w:type="dxa"/>
            <w:tcBorders>
              <w:top w:val="nil"/>
              <w:left w:val="nil"/>
              <w:bottom w:val="single" w:sz="4" w:space="0" w:color="auto"/>
              <w:right w:val="single" w:sz="4" w:space="0" w:color="auto"/>
            </w:tcBorders>
            <w:shd w:val="clear" w:color="auto" w:fill="auto"/>
            <w:hideMark/>
          </w:tcPr>
          <w:p w14:paraId="03104F4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23BE8E9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Learning Transfer</w:t>
            </w:r>
          </w:p>
        </w:tc>
        <w:tc>
          <w:tcPr>
            <w:tcW w:w="990" w:type="dxa"/>
            <w:tcBorders>
              <w:top w:val="nil"/>
              <w:left w:val="nil"/>
              <w:bottom w:val="single" w:sz="4" w:space="0" w:color="auto"/>
              <w:right w:val="single" w:sz="4" w:space="0" w:color="auto"/>
            </w:tcBorders>
            <w:shd w:val="clear" w:color="auto" w:fill="auto"/>
            <w:hideMark/>
          </w:tcPr>
          <w:p w14:paraId="6071265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QL+qt</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6FD91FF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Interviews, writing samples (e.g., lab reports, essays, worksheets), and question-</w:t>
            </w:r>
            <w:proofErr w:type="spellStart"/>
            <w:r w:rsidRPr="00611F84">
              <w:rPr>
                <w:rFonts w:ascii="Garamond" w:eastAsia="Times New Roman" w:hAnsi="Garamond" w:cs="Times New Roman"/>
                <w:szCs w:val="20"/>
              </w:rPr>
              <w:t>naire</w:t>
            </w:r>
            <w:proofErr w:type="spellEnd"/>
          </w:p>
        </w:tc>
        <w:tc>
          <w:tcPr>
            <w:tcW w:w="1440" w:type="dxa"/>
            <w:tcBorders>
              <w:top w:val="nil"/>
              <w:left w:val="nil"/>
              <w:bottom w:val="single" w:sz="4" w:space="0" w:color="auto"/>
              <w:right w:val="single" w:sz="4" w:space="0" w:color="auto"/>
            </w:tcBorders>
            <w:shd w:val="clear" w:color="auto" w:fill="auto"/>
            <w:hideMark/>
          </w:tcPr>
          <w:p w14:paraId="77AC155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year</w:t>
            </w:r>
          </w:p>
        </w:tc>
      </w:tr>
      <w:tr w:rsidR="00611F84" w:rsidRPr="00611F84" w14:paraId="19CD8DB6" w14:textId="77777777" w:rsidTr="00611F84">
        <w:trPr>
          <w:trHeight w:val="2575"/>
        </w:trPr>
        <w:tc>
          <w:tcPr>
            <w:tcW w:w="1620" w:type="dxa"/>
            <w:tcBorders>
              <w:top w:val="nil"/>
              <w:left w:val="single" w:sz="4" w:space="0" w:color="auto"/>
              <w:bottom w:val="single" w:sz="4" w:space="0" w:color="auto"/>
              <w:right w:val="single" w:sz="4" w:space="0" w:color="auto"/>
            </w:tcBorders>
            <w:shd w:val="clear" w:color="auto" w:fill="auto"/>
            <w:hideMark/>
          </w:tcPr>
          <w:p w14:paraId="69B4BDD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Jeon (2021)</w:t>
            </w:r>
          </w:p>
        </w:tc>
        <w:tc>
          <w:tcPr>
            <w:tcW w:w="1980" w:type="dxa"/>
            <w:tcBorders>
              <w:top w:val="nil"/>
              <w:left w:val="nil"/>
              <w:bottom w:val="single" w:sz="4" w:space="0" w:color="auto"/>
              <w:right w:val="single" w:sz="4" w:space="0" w:color="auto"/>
            </w:tcBorders>
            <w:shd w:val="clear" w:color="auto" w:fill="auto"/>
            <w:hideMark/>
          </w:tcPr>
          <w:p w14:paraId="55E439C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Transfer effects</w:t>
            </w:r>
            <w:r w:rsidRPr="00611F84">
              <w:rPr>
                <w:rFonts w:ascii="Garamond" w:eastAsia="Times New Roman" w:hAnsi="Garamond" w:cs="Times New Roman"/>
                <w:szCs w:val="20"/>
              </w:rPr>
              <w:br/>
              <w:t>• Teaching for transfer</w:t>
            </w:r>
          </w:p>
        </w:tc>
        <w:tc>
          <w:tcPr>
            <w:tcW w:w="2160" w:type="dxa"/>
            <w:tcBorders>
              <w:top w:val="nil"/>
              <w:left w:val="nil"/>
              <w:bottom w:val="single" w:sz="4" w:space="0" w:color="auto"/>
              <w:right w:val="single" w:sz="4" w:space="0" w:color="auto"/>
            </w:tcBorders>
            <w:shd w:val="clear" w:color="auto" w:fill="auto"/>
            <w:hideMark/>
          </w:tcPr>
          <w:p w14:paraId="2F8A2CA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EAP teacher recognized the value of teaching for transfer; however, more active approaches, such as asking students to bring their syllabi from disciplinary courses to examine together, might have made the transfer stronger.</w:t>
            </w:r>
          </w:p>
        </w:tc>
        <w:tc>
          <w:tcPr>
            <w:tcW w:w="1530" w:type="dxa"/>
            <w:tcBorders>
              <w:top w:val="nil"/>
              <w:left w:val="nil"/>
              <w:bottom w:val="single" w:sz="4" w:space="0" w:color="auto"/>
              <w:right w:val="single" w:sz="4" w:space="0" w:color="auto"/>
            </w:tcBorders>
            <w:shd w:val="clear" w:color="auto" w:fill="auto"/>
            <w:hideMark/>
          </w:tcPr>
          <w:p w14:paraId="62DF47C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teacher (grad student)</w:t>
            </w:r>
          </w:p>
        </w:tc>
        <w:tc>
          <w:tcPr>
            <w:tcW w:w="1530" w:type="dxa"/>
            <w:tcBorders>
              <w:top w:val="nil"/>
              <w:left w:val="nil"/>
              <w:bottom w:val="single" w:sz="4" w:space="0" w:color="auto"/>
              <w:right w:val="single" w:sz="4" w:space="0" w:color="auto"/>
            </w:tcBorders>
            <w:shd w:val="clear" w:color="auto" w:fill="auto"/>
            <w:hideMark/>
          </w:tcPr>
          <w:p w14:paraId="2AD1599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Korean L1</w:t>
            </w:r>
          </w:p>
        </w:tc>
        <w:tc>
          <w:tcPr>
            <w:tcW w:w="1080" w:type="dxa"/>
            <w:tcBorders>
              <w:top w:val="nil"/>
              <w:left w:val="nil"/>
              <w:bottom w:val="single" w:sz="4" w:space="0" w:color="auto"/>
              <w:right w:val="single" w:sz="4" w:space="0" w:color="auto"/>
            </w:tcBorders>
            <w:shd w:val="clear" w:color="auto" w:fill="auto"/>
            <w:hideMark/>
          </w:tcPr>
          <w:p w14:paraId="3C6797F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6D3E37A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Learning Transfer</w:t>
            </w:r>
          </w:p>
        </w:tc>
        <w:tc>
          <w:tcPr>
            <w:tcW w:w="990" w:type="dxa"/>
            <w:tcBorders>
              <w:top w:val="nil"/>
              <w:left w:val="nil"/>
              <w:bottom w:val="single" w:sz="4" w:space="0" w:color="auto"/>
              <w:right w:val="single" w:sz="4" w:space="0" w:color="auto"/>
            </w:tcBorders>
            <w:shd w:val="clear" w:color="auto" w:fill="auto"/>
            <w:hideMark/>
          </w:tcPr>
          <w:p w14:paraId="06E9AF6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4DF9C81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Interviews, observations, field notes, stimulated recalls, and instructional materials</w:t>
            </w:r>
          </w:p>
        </w:tc>
        <w:tc>
          <w:tcPr>
            <w:tcW w:w="1440" w:type="dxa"/>
            <w:tcBorders>
              <w:top w:val="nil"/>
              <w:left w:val="nil"/>
              <w:bottom w:val="single" w:sz="4" w:space="0" w:color="auto"/>
              <w:right w:val="single" w:sz="4" w:space="0" w:color="auto"/>
            </w:tcBorders>
            <w:shd w:val="clear" w:color="auto" w:fill="auto"/>
            <w:hideMark/>
          </w:tcPr>
          <w:p w14:paraId="027D3E5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semester</w:t>
            </w:r>
          </w:p>
        </w:tc>
      </w:tr>
      <w:tr w:rsidR="00611F84" w:rsidRPr="00611F84" w14:paraId="73285A55"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hideMark/>
          </w:tcPr>
          <w:p w14:paraId="7DC24D7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Jia &amp; Zhang (2023)</w:t>
            </w:r>
          </w:p>
        </w:tc>
        <w:tc>
          <w:tcPr>
            <w:tcW w:w="1980" w:type="dxa"/>
            <w:tcBorders>
              <w:top w:val="nil"/>
              <w:left w:val="nil"/>
              <w:bottom w:val="single" w:sz="4" w:space="0" w:color="auto"/>
              <w:right w:val="single" w:sz="4" w:space="0" w:color="auto"/>
            </w:tcBorders>
            <w:shd w:val="clear" w:color="auto" w:fill="auto"/>
            <w:hideMark/>
          </w:tcPr>
          <w:p w14:paraId="2223CB7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Rater processes</w:t>
            </w:r>
          </w:p>
        </w:tc>
        <w:tc>
          <w:tcPr>
            <w:tcW w:w="2160" w:type="dxa"/>
            <w:tcBorders>
              <w:top w:val="nil"/>
              <w:left w:val="nil"/>
              <w:bottom w:val="single" w:sz="4" w:space="0" w:color="auto"/>
              <w:right w:val="single" w:sz="4" w:space="0" w:color="auto"/>
            </w:tcBorders>
            <w:shd w:val="clear" w:color="auto" w:fill="auto"/>
            <w:hideMark/>
          </w:tcPr>
          <w:p w14:paraId="5241754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To evaluate integrated writing, </w:t>
            </w:r>
            <w:proofErr w:type="gramStart"/>
            <w:r w:rsidRPr="00611F84">
              <w:rPr>
                <w:rFonts w:ascii="Garamond" w:eastAsia="Times New Roman" w:hAnsi="Garamond" w:cs="Times New Roman"/>
                <w:szCs w:val="20"/>
              </w:rPr>
              <w:t>raters built</w:t>
            </w:r>
            <w:proofErr w:type="gramEnd"/>
            <w:r w:rsidRPr="00611F84">
              <w:rPr>
                <w:rFonts w:ascii="Garamond" w:eastAsia="Times New Roman" w:hAnsi="Garamond" w:cs="Times New Roman"/>
                <w:szCs w:val="20"/>
              </w:rPr>
              <w:t xml:space="preserve"> text images by creating isolated nodes individually and synthesizing them holistically to make distinctions between scores.</w:t>
            </w:r>
          </w:p>
        </w:tc>
        <w:tc>
          <w:tcPr>
            <w:tcW w:w="1530" w:type="dxa"/>
            <w:tcBorders>
              <w:top w:val="nil"/>
              <w:left w:val="nil"/>
              <w:bottom w:val="single" w:sz="4" w:space="0" w:color="auto"/>
              <w:right w:val="single" w:sz="4" w:space="0" w:color="auto"/>
            </w:tcBorders>
            <w:shd w:val="clear" w:color="auto" w:fill="auto"/>
            <w:hideMark/>
          </w:tcPr>
          <w:p w14:paraId="343C6DC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6 raters</w:t>
            </w:r>
          </w:p>
        </w:tc>
        <w:tc>
          <w:tcPr>
            <w:tcW w:w="1530" w:type="dxa"/>
            <w:tcBorders>
              <w:top w:val="nil"/>
              <w:left w:val="nil"/>
              <w:bottom w:val="single" w:sz="4" w:space="0" w:color="auto"/>
              <w:right w:val="single" w:sz="4" w:space="0" w:color="auto"/>
            </w:tcBorders>
            <w:shd w:val="clear" w:color="auto" w:fill="auto"/>
            <w:hideMark/>
          </w:tcPr>
          <w:p w14:paraId="0D4CF88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5CE6856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(China)</w:t>
            </w:r>
          </w:p>
        </w:tc>
        <w:tc>
          <w:tcPr>
            <w:tcW w:w="1440" w:type="dxa"/>
            <w:tcBorders>
              <w:top w:val="nil"/>
              <w:left w:val="nil"/>
              <w:bottom w:val="single" w:sz="4" w:space="0" w:color="auto"/>
              <w:right w:val="single" w:sz="4" w:space="0" w:color="auto"/>
            </w:tcBorders>
            <w:shd w:val="clear" w:color="auto" w:fill="auto"/>
            <w:hideMark/>
          </w:tcPr>
          <w:p w14:paraId="12992CD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Problem-solving theory</w:t>
            </w:r>
          </w:p>
        </w:tc>
        <w:tc>
          <w:tcPr>
            <w:tcW w:w="990" w:type="dxa"/>
            <w:tcBorders>
              <w:top w:val="nil"/>
              <w:left w:val="nil"/>
              <w:bottom w:val="single" w:sz="4" w:space="0" w:color="auto"/>
              <w:right w:val="single" w:sz="4" w:space="0" w:color="auto"/>
            </w:tcBorders>
            <w:shd w:val="clear" w:color="auto" w:fill="auto"/>
            <w:hideMark/>
          </w:tcPr>
          <w:p w14:paraId="19592AB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QL+qt</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0CC776D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integrated writing test, think</w:t>
            </w:r>
            <w:r w:rsidRPr="00611F84">
              <w:rPr>
                <w:rFonts w:ascii="Garamond" w:hAnsi="Garamond" w:cs="Times New Roman"/>
                <w:szCs w:val="20"/>
              </w:rPr>
              <w:t xml:space="preserve"> </w:t>
            </w:r>
            <w:proofErr w:type="spellStart"/>
            <w:r w:rsidRPr="00611F84">
              <w:rPr>
                <w:rFonts w:ascii="Garamond" w:eastAsia="Times New Roman" w:hAnsi="Garamond" w:cs="Times New Roman"/>
                <w:szCs w:val="20"/>
              </w:rPr>
              <w:t>alouds</w:t>
            </w:r>
            <w:proofErr w:type="spellEnd"/>
            <w:r w:rsidRPr="00611F84">
              <w:rPr>
                <w:rFonts w:ascii="Garamond" w:eastAsia="Times New Roman" w:hAnsi="Garamond" w:cs="Times New Roman"/>
                <w:szCs w:val="20"/>
              </w:rPr>
              <w:t>, interviews, and a confidence-level question-</w:t>
            </w:r>
            <w:proofErr w:type="spellStart"/>
            <w:r w:rsidRPr="00611F84">
              <w:rPr>
                <w:rFonts w:ascii="Garamond" w:eastAsia="Times New Roman" w:hAnsi="Garamond" w:cs="Times New Roman"/>
                <w:szCs w:val="20"/>
              </w:rPr>
              <w:t>naire</w:t>
            </w:r>
            <w:proofErr w:type="spellEnd"/>
          </w:p>
        </w:tc>
        <w:tc>
          <w:tcPr>
            <w:tcW w:w="1440" w:type="dxa"/>
            <w:tcBorders>
              <w:top w:val="nil"/>
              <w:left w:val="nil"/>
              <w:bottom w:val="single" w:sz="4" w:space="0" w:color="auto"/>
              <w:right w:val="single" w:sz="4" w:space="0" w:color="auto"/>
            </w:tcBorders>
            <w:shd w:val="clear" w:color="auto" w:fill="auto"/>
            <w:hideMark/>
          </w:tcPr>
          <w:p w14:paraId="5B269B8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Average of 96 min for think</w:t>
            </w:r>
            <w:r w:rsidRPr="00611F84">
              <w:rPr>
                <w:rFonts w:ascii="Garamond" w:hAnsi="Garamond" w:cs="Times New Roman"/>
                <w:szCs w:val="20"/>
              </w:rPr>
              <w:t xml:space="preserve"> </w:t>
            </w:r>
            <w:proofErr w:type="spellStart"/>
            <w:r w:rsidRPr="00611F84">
              <w:rPr>
                <w:rFonts w:ascii="Garamond" w:eastAsia="Times New Roman" w:hAnsi="Garamond" w:cs="Times New Roman"/>
                <w:szCs w:val="20"/>
              </w:rPr>
              <w:t>alouds</w:t>
            </w:r>
            <w:proofErr w:type="spellEnd"/>
            <w:r w:rsidRPr="00611F84">
              <w:rPr>
                <w:rFonts w:ascii="Garamond" w:eastAsia="Times New Roman" w:hAnsi="Garamond" w:cs="Times New Roman"/>
                <w:szCs w:val="20"/>
              </w:rPr>
              <w:t xml:space="preserve"> and 17 min for interviews per rater</w:t>
            </w:r>
          </w:p>
        </w:tc>
      </w:tr>
      <w:tr w:rsidR="00611F84" w:rsidRPr="00611F84" w14:paraId="1CCF126A"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6E1E711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Kessler (2020)</w:t>
            </w:r>
          </w:p>
        </w:tc>
        <w:tc>
          <w:tcPr>
            <w:tcW w:w="1980" w:type="dxa"/>
            <w:tcBorders>
              <w:top w:val="nil"/>
              <w:left w:val="nil"/>
              <w:bottom w:val="single" w:sz="4" w:space="0" w:color="auto"/>
              <w:right w:val="single" w:sz="4" w:space="0" w:color="auto"/>
            </w:tcBorders>
            <w:shd w:val="clear" w:color="auto" w:fill="auto"/>
            <w:hideMark/>
          </w:tcPr>
          <w:p w14:paraId="20E5E6D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Multimodal composing</w:t>
            </w:r>
            <w:r w:rsidRPr="00611F84">
              <w:rPr>
                <w:rFonts w:ascii="Garamond" w:eastAsia="Times New Roman" w:hAnsi="Garamond" w:cs="Times New Roman"/>
                <w:szCs w:val="20"/>
              </w:rPr>
              <w:br/>
              <w:t>• Technology-mediated strategies</w:t>
            </w:r>
          </w:p>
        </w:tc>
        <w:tc>
          <w:tcPr>
            <w:tcW w:w="2160" w:type="dxa"/>
            <w:tcBorders>
              <w:top w:val="nil"/>
              <w:left w:val="nil"/>
              <w:bottom w:val="single" w:sz="4" w:space="0" w:color="auto"/>
              <w:right w:val="single" w:sz="4" w:space="0" w:color="auto"/>
            </w:tcBorders>
            <w:shd w:val="clear" w:color="auto" w:fill="auto"/>
            <w:hideMark/>
          </w:tcPr>
          <w:p w14:paraId="2ED4707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L2 students’ composing processes were largely shaped by sociocultural factors, such as communities and artifacts (e.g., use of technology and multimodal strategies).</w:t>
            </w:r>
          </w:p>
        </w:tc>
        <w:tc>
          <w:tcPr>
            <w:tcW w:w="1530" w:type="dxa"/>
            <w:tcBorders>
              <w:top w:val="nil"/>
              <w:left w:val="nil"/>
              <w:bottom w:val="single" w:sz="4" w:space="0" w:color="auto"/>
              <w:right w:val="single" w:sz="4" w:space="0" w:color="auto"/>
            </w:tcBorders>
            <w:shd w:val="clear" w:color="auto" w:fill="auto"/>
            <w:hideMark/>
          </w:tcPr>
          <w:p w14:paraId="26EC245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grad students</w:t>
            </w:r>
          </w:p>
        </w:tc>
        <w:tc>
          <w:tcPr>
            <w:tcW w:w="1530" w:type="dxa"/>
            <w:tcBorders>
              <w:top w:val="nil"/>
              <w:left w:val="nil"/>
              <w:bottom w:val="single" w:sz="4" w:space="0" w:color="auto"/>
              <w:right w:val="single" w:sz="4" w:space="0" w:color="auto"/>
            </w:tcBorders>
            <w:shd w:val="clear" w:color="auto" w:fill="auto"/>
            <w:hideMark/>
          </w:tcPr>
          <w:p w14:paraId="4C3B92B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2477962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1AC70CD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Activity theory</w:t>
            </w:r>
          </w:p>
        </w:tc>
        <w:tc>
          <w:tcPr>
            <w:tcW w:w="990" w:type="dxa"/>
            <w:tcBorders>
              <w:top w:val="nil"/>
              <w:left w:val="nil"/>
              <w:bottom w:val="single" w:sz="4" w:space="0" w:color="auto"/>
              <w:right w:val="single" w:sz="4" w:space="0" w:color="auto"/>
            </w:tcBorders>
            <w:shd w:val="clear" w:color="auto" w:fill="auto"/>
            <w:hideMark/>
          </w:tcPr>
          <w:p w14:paraId="614444F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1316555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research proposal, a short analysis paper, process logs, screen recordings, interviews, and stimulated recalls</w:t>
            </w:r>
          </w:p>
        </w:tc>
        <w:tc>
          <w:tcPr>
            <w:tcW w:w="1440" w:type="dxa"/>
            <w:tcBorders>
              <w:top w:val="nil"/>
              <w:left w:val="nil"/>
              <w:bottom w:val="single" w:sz="4" w:space="0" w:color="auto"/>
              <w:right w:val="single" w:sz="4" w:space="0" w:color="auto"/>
            </w:tcBorders>
            <w:shd w:val="clear" w:color="auto" w:fill="auto"/>
            <w:hideMark/>
          </w:tcPr>
          <w:p w14:paraId="5AD447B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42 days for the data analyzed for the article</w:t>
            </w:r>
          </w:p>
        </w:tc>
      </w:tr>
      <w:tr w:rsidR="00611F84" w:rsidRPr="00611F84" w14:paraId="385828DB"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4F02406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Kim &amp; Kim (2017)</w:t>
            </w:r>
          </w:p>
        </w:tc>
        <w:tc>
          <w:tcPr>
            <w:tcW w:w="1980" w:type="dxa"/>
            <w:tcBorders>
              <w:top w:val="nil"/>
              <w:left w:val="nil"/>
              <w:bottom w:val="single" w:sz="4" w:space="0" w:color="auto"/>
              <w:right w:val="single" w:sz="4" w:space="0" w:color="auto"/>
            </w:tcBorders>
            <w:shd w:val="clear" w:color="auto" w:fill="auto"/>
            <w:hideMark/>
          </w:tcPr>
          <w:p w14:paraId="246E803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Feedback</w:t>
            </w:r>
            <w:r w:rsidRPr="00611F84">
              <w:rPr>
                <w:rFonts w:ascii="Garamond" w:eastAsia="Times New Roman" w:hAnsi="Garamond" w:cs="Times New Roman"/>
                <w:szCs w:val="20"/>
              </w:rPr>
              <w:br/>
              <w:t>• Instructor feedback</w:t>
            </w:r>
          </w:p>
        </w:tc>
        <w:tc>
          <w:tcPr>
            <w:tcW w:w="2160" w:type="dxa"/>
            <w:tcBorders>
              <w:top w:val="nil"/>
              <w:left w:val="nil"/>
              <w:bottom w:val="single" w:sz="4" w:space="0" w:color="auto"/>
              <w:right w:val="single" w:sz="4" w:space="0" w:color="auto"/>
            </w:tcBorders>
            <w:shd w:val="clear" w:color="auto" w:fill="auto"/>
            <w:hideMark/>
          </w:tcPr>
          <w:p w14:paraId="3E39D06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Overall, instructor feedback grounded in LOLA was beneficial to enhance students’ reading-to-write skills and performance, including concreteness of content.</w:t>
            </w:r>
          </w:p>
        </w:tc>
        <w:tc>
          <w:tcPr>
            <w:tcW w:w="1530" w:type="dxa"/>
            <w:tcBorders>
              <w:top w:val="nil"/>
              <w:left w:val="nil"/>
              <w:bottom w:val="single" w:sz="4" w:space="0" w:color="auto"/>
              <w:right w:val="single" w:sz="4" w:space="0" w:color="auto"/>
            </w:tcBorders>
            <w:shd w:val="clear" w:color="auto" w:fill="auto"/>
            <w:hideMark/>
          </w:tcPr>
          <w:p w14:paraId="4AFC635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10 grad students</w:t>
            </w:r>
            <w:r w:rsidRPr="00611F84">
              <w:rPr>
                <w:rFonts w:ascii="Garamond" w:eastAsia="Times New Roman" w:hAnsi="Garamond" w:cs="Times New Roman"/>
                <w:szCs w:val="20"/>
              </w:rPr>
              <w:br/>
              <w:t>1 instructor</w:t>
            </w:r>
          </w:p>
        </w:tc>
        <w:tc>
          <w:tcPr>
            <w:tcW w:w="1530" w:type="dxa"/>
            <w:tcBorders>
              <w:top w:val="nil"/>
              <w:left w:val="nil"/>
              <w:bottom w:val="single" w:sz="4" w:space="0" w:color="auto"/>
              <w:right w:val="single" w:sz="4" w:space="0" w:color="auto"/>
            </w:tcBorders>
            <w:shd w:val="clear" w:color="auto" w:fill="auto"/>
            <w:hideMark/>
          </w:tcPr>
          <w:p w14:paraId="4F7B163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Korean L1</w:t>
            </w:r>
          </w:p>
        </w:tc>
        <w:tc>
          <w:tcPr>
            <w:tcW w:w="1080" w:type="dxa"/>
            <w:tcBorders>
              <w:top w:val="nil"/>
              <w:left w:val="nil"/>
              <w:bottom w:val="single" w:sz="4" w:space="0" w:color="auto"/>
              <w:right w:val="single" w:sz="4" w:space="0" w:color="auto"/>
            </w:tcBorders>
            <w:shd w:val="clear" w:color="auto" w:fill="auto"/>
            <w:hideMark/>
          </w:tcPr>
          <w:p w14:paraId="400FCBC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(Korea)</w:t>
            </w:r>
          </w:p>
        </w:tc>
        <w:tc>
          <w:tcPr>
            <w:tcW w:w="1440" w:type="dxa"/>
            <w:tcBorders>
              <w:top w:val="nil"/>
              <w:left w:val="nil"/>
              <w:bottom w:val="single" w:sz="4" w:space="0" w:color="auto"/>
              <w:right w:val="single" w:sz="4" w:space="0" w:color="auto"/>
            </w:tcBorders>
            <w:shd w:val="clear" w:color="auto" w:fill="auto"/>
            <w:hideMark/>
          </w:tcPr>
          <w:p w14:paraId="3909EAB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Learning-orient-ed language assessment (LOLA)</w:t>
            </w:r>
          </w:p>
        </w:tc>
        <w:tc>
          <w:tcPr>
            <w:tcW w:w="990" w:type="dxa"/>
            <w:tcBorders>
              <w:top w:val="nil"/>
              <w:left w:val="nil"/>
              <w:bottom w:val="single" w:sz="4" w:space="0" w:color="auto"/>
              <w:right w:val="single" w:sz="4" w:space="0" w:color="auto"/>
            </w:tcBorders>
            <w:shd w:val="clear" w:color="auto" w:fill="auto"/>
            <w:hideMark/>
          </w:tcPr>
          <w:p w14:paraId="4C7F0CC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411A305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12 reading-to-write drafts, a literature review,</w:t>
            </w:r>
            <w:r w:rsidRPr="00611F84">
              <w:rPr>
                <w:rFonts w:ascii="Garamond" w:eastAsia="Times New Roman" w:hAnsi="Garamond" w:cs="Times New Roman"/>
                <w:szCs w:val="20"/>
              </w:rPr>
              <w:br/>
              <w:t>instructor feedback, and interviews</w:t>
            </w:r>
          </w:p>
        </w:tc>
        <w:tc>
          <w:tcPr>
            <w:tcW w:w="1440" w:type="dxa"/>
            <w:tcBorders>
              <w:top w:val="nil"/>
              <w:left w:val="nil"/>
              <w:bottom w:val="single" w:sz="4" w:space="0" w:color="auto"/>
              <w:right w:val="single" w:sz="4" w:space="0" w:color="auto"/>
            </w:tcBorders>
            <w:shd w:val="clear" w:color="auto" w:fill="auto"/>
            <w:hideMark/>
          </w:tcPr>
          <w:p w14:paraId="24BE6C9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7 weeks</w:t>
            </w:r>
          </w:p>
        </w:tc>
      </w:tr>
      <w:tr w:rsidR="00611F84" w:rsidRPr="00611F84" w14:paraId="3AE1707D"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2924312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Kocatepe (2021)</w:t>
            </w:r>
          </w:p>
        </w:tc>
        <w:tc>
          <w:tcPr>
            <w:tcW w:w="1980" w:type="dxa"/>
            <w:tcBorders>
              <w:top w:val="nil"/>
              <w:left w:val="nil"/>
              <w:bottom w:val="single" w:sz="4" w:space="0" w:color="auto"/>
              <w:right w:val="single" w:sz="4" w:space="0" w:color="auto"/>
            </w:tcBorders>
            <w:shd w:val="clear" w:color="auto" w:fill="auto"/>
            <w:hideMark/>
          </w:tcPr>
          <w:p w14:paraId="6C7E659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Composing process</w:t>
            </w:r>
            <w:r w:rsidRPr="00611F84">
              <w:rPr>
                <w:rFonts w:ascii="Garamond" w:eastAsia="Times New Roman" w:hAnsi="Garamond" w:cs="Times New Roman"/>
                <w:szCs w:val="20"/>
              </w:rPr>
              <w:br/>
              <w:t>• Constructing info during writing</w:t>
            </w:r>
          </w:p>
        </w:tc>
        <w:tc>
          <w:tcPr>
            <w:tcW w:w="2160" w:type="dxa"/>
            <w:tcBorders>
              <w:top w:val="nil"/>
              <w:left w:val="nil"/>
              <w:bottom w:val="single" w:sz="4" w:space="0" w:color="auto"/>
              <w:right w:val="single" w:sz="4" w:space="0" w:color="auto"/>
            </w:tcBorders>
            <w:shd w:val="clear" w:color="auto" w:fill="auto"/>
            <w:hideMark/>
          </w:tcPr>
          <w:p w14:paraId="480CCD3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did not merely “find” information but actively “constructed knowledge” by triangulating their own interpretations and viewpoints.</w:t>
            </w:r>
          </w:p>
        </w:tc>
        <w:tc>
          <w:tcPr>
            <w:tcW w:w="1530" w:type="dxa"/>
            <w:tcBorders>
              <w:top w:val="nil"/>
              <w:left w:val="nil"/>
              <w:bottom w:val="single" w:sz="4" w:space="0" w:color="auto"/>
              <w:right w:val="single" w:sz="4" w:space="0" w:color="auto"/>
            </w:tcBorders>
            <w:shd w:val="clear" w:color="auto" w:fill="auto"/>
            <w:hideMark/>
          </w:tcPr>
          <w:p w14:paraId="2E2A869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22 under-grads </w:t>
            </w:r>
          </w:p>
        </w:tc>
        <w:tc>
          <w:tcPr>
            <w:tcW w:w="1530" w:type="dxa"/>
            <w:tcBorders>
              <w:top w:val="nil"/>
              <w:left w:val="nil"/>
              <w:bottom w:val="single" w:sz="4" w:space="0" w:color="auto"/>
              <w:right w:val="single" w:sz="4" w:space="0" w:color="auto"/>
            </w:tcBorders>
            <w:shd w:val="clear" w:color="auto" w:fill="auto"/>
            <w:hideMark/>
          </w:tcPr>
          <w:p w14:paraId="3079F1C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Arabic L1</w:t>
            </w:r>
          </w:p>
        </w:tc>
        <w:tc>
          <w:tcPr>
            <w:tcW w:w="1080" w:type="dxa"/>
            <w:tcBorders>
              <w:top w:val="nil"/>
              <w:left w:val="nil"/>
              <w:bottom w:val="single" w:sz="4" w:space="0" w:color="auto"/>
              <w:right w:val="single" w:sz="4" w:space="0" w:color="auto"/>
            </w:tcBorders>
            <w:shd w:val="clear" w:color="auto" w:fill="auto"/>
            <w:hideMark/>
          </w:tcPr>
          <w:p w14:paraId="513D052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(UAE)</w:t>
            </w:r>
          </w:p>
        </w:tc>
        <w:tc>
          <w:tcPr>
            <w:tcW w:w="1440" w:type="dxa"/>
            <w:tcBorders>
              <w:top w:val="nil"/>
              <w:left w:val="nil"/>
              <w:bottom w:val="single" w:sz="4" w:space="0" w:color="auto"/>
              <w:right w:val="single" w:sz="4" w:space="0" w:color="auto"/>
            </w:tcBorders>
            <w:shd w:val="clear" w:color="auto" w:fill="auto"/>
            <w:hideMark/>
          </w:tcPr>
          <w:p w14:paraId="2CFAB8C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Activity theory</w:t>
            </w:r>
          </w:p>
        </w:tc>
        <w:tc>
          <w:tcPr>
            <w:tcW w:w="990" w:type="dxa"/>
            <w:tcBorders>
              <w:top w:val="nil"/>
              <w:left w:val="nil"/>
              <w:bottom w:val="single" w:sz="4" w:space="0" w:color="auto"/>
              <w:right w:val="single" w:sz="4" w:space="0" w:color="auto"/>
            </w:tcBorders>
            <w:shd w:val="clear" w:color="auto" w:fill="auto"/>
            <w:hideMark/>
          </w:tcPr>
          <w:p w14:paraId="298F727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7F267C8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argumenta-</w:t>
            </w:r>
            <w:proofErr w:type="spellStart"/>
            <w:r w:rsidRPr="00611F84">
              <w:rPr>
                <w:rFonts w:ascii="Garamond" w:eastAsia="Times New Roman" w:hAnsi="Garamond" w:cs="Times New Roman"/>
                <w:szCs w:val="20"/>
              </w:rPr>
              <w:t>tive</w:t>
            </w:r>
            <w:proofErr w:type="spellEnd"/>
            <w:r w:rsidRPr="00611F84">
              <w:rPr>
                <w:rFonts w:ascii="Garamond" w:eastAsia="Times New Roman" w:hAnsi="Garamond" w:cs="Times New Roman"/>
                <w:szCs w:val="20"/>
              </w:rPr>
              <w:t xml:space="preserve"> essay, screen record-</w:t>
            </w:r>
            <w:proofErr w:type="spellStart"/>
            <w:r w:rsidRPr="00611F84">
              <w:rPr>
                <w:rFonts w:ascii="Garamond" w:eastAsia="Times New Roman" w:hAnsi="Garamond" w:cs="Times New Roman"/>
                <w:szCs w:val="20"/>
              </w:rPr>
              <w:t>ings</w:t>
            </w:r>
            <w:proofErr w:type="spellEnd"/>
            <w:r w:rsidRPr="00611F84">
              <w:rPr>
                <w:rFonts w:ascii="Garamond" w:eastAsia="Times New Roman" w:hAnsi="Garamond" w:cs="Times New Roman"/>
                <w:szCs w:val="20"/>
              </w:rPr>
              <w:t>, inter-views, and reflection notes</w:t>
            </w:r>
          </w:p>
        </w:tc>
        <w:tc>
          <w:tcPr>
            <w:tcW w:w="1440" w:type="dxa"/>
            <w:tcBorders>
              <w:top w:val="nil"/>
              <w:left w:val="nil"/>
              <w:bottom w:val="single" w:sz="4" w:space="0" w:color="auto"/>
              <w:right w:val="single" w:sz="4" w:space="0" w:color="auto"/>
            </w:tcBorders>
            <w:shd w:val="clear" w:color="auto" w:fill="auto"/>
            <w:hideMark/>
          </w:tcPr>
          <w:p w14:paraId="0284C76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 weeks</w:t>
            </w:r>
          </w:p>
        </w:tc>
      </w:tr>
      <w:tr w:rsidR="00611F84" w:rsidRPr="00611F84" w14:paraId="7A30D365"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tcPr>
          <w:p w14:paraId="75A5313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Kyle (2020)</w:t>
            </w:r>
          </w:p>
        </w:tc>
        <w:tc>
          <w:tcPr>
            <w:tcW w:w="1980" w:type="dxa"/>
            <w:tcBorders>
              <w:top w:val="nil"/>
              <w:left w:val="nil"/>
              <w:bottom w:val="single" w:sz="4" w:space="0" w:color="auto"/>
              <w:right w:val="single" w:sz="4" w:space="0" w:color="auto"/>
            </w:tcBorders>
            <w:shd w:val="clear" w:color="auto" w:fill="auto"/>
          </w:tcPr>
          <w:p w14:paraId="5D5F137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Source use features</w:t>
            </w:r>
          </w:p>
        </w:tc>
        <w:tc>
          <w:tcPr>
            <w:tcW w:w="2160" w:type="dxa"/>
            <w:tcBorders>
              <w:top w:val="nil"/>
              <w:left w:val="nil"/>
              <w:bottom w:val="single" w:sz="4" w:space="0" w:color="auto"/>
              <w:right w:val="single" w:sz="4" w:space="0" w:color="auto"/>
            </w:tcBorders>
            <w:shd w:val="clear" w:color="auto" w:fill="auto"/>
          </w:tcPr>
          <w:p w14:paraId="237A339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Word overlaps between the listening source and the writing response led to higher writing scores; however, overlaps between the source text and the writing response resulted in lower scores.</w:t>
            </w:r>
          </w:p>
        </w:tc>
        <w:tc>
          <w:tcPr>
            <w:tcW w:w="1530" w:type="dxa"/>
            <w:tcBorders>
              <w:top w:val="nil"/>
              <w:left w:val="nil"/>
              <w:bottom w:val="single" w:sz="4" w:space="0" w:color="auto"/>
              <w:right w:val="single" w:sz="4" w:space="0" w:color="auto"/>
            </w:tcBorders>
            <w:shd w:val="clear" w:color="auto" w:fill="auto"/>
          </w:tcPr>
          <w:p w14:paraId="221AEC2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480 TOEFL test takers</w:t>
            </w:r>
          </w:p>
        </w:tc>
        <w:tc>
          <w:tcPr>
            <w:tcW w:w="1530" w:type="dxa"/>
            <w:tcBorders>
              <w:top w:val="nil"/>
              <w:left w:val="nil"/>
              <w:bottom w:val="single" w:sz="4" w:space="0" w:color="auto"/>
              <w:right w:val="single" w:sz="4" w:space="0" w:color="auto"/>
            </w:tcBorders>
            <w:shd w:val="clear" w:color="auto" w:fill="auto"/>
          </w:tcPr>
          <w:p w14:paraId="7DE226A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L1s not reported</w:t>
            </w:r>
          </w:p>
        </w:tc>
        <w:tc>
          <w:tcPr>
            <w:tcW w:w="1080" w:type="dxa"/>
            <w:tcBorders>
              <w:top w:val="nil"/>
              <w:left w:val="nil"/>
              <w:bottom w:val="single" w:sz="4" w:space="0" w:color="auto"/>
              <w:right w:val="single" w:sz="4" w:space="0" w:color="auto"/>
            </w:tcBorders>
            <w:shd w:val="clear" w:color="auto" w:fill="auto"/>
          </w:tcPr>
          <w:p w14:paraId="67F28F8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w:t>
            </w:r>
          </w:p>
        </w:tc>
        <w:tc>
          <w:tcPr>
            <w:tcW w:w="1440" w:type="dxa"/>
            <w:tcBorders>
              <w:top w:val="nil"/>
              <w:left w:val="nil"/>
              <w:bottom w:val="single" w:sz="4" w:space="0" w:color="auto"/>
              <w:right w:val="single" w:sz="4" w:space="0" w:color="auto"/>
            </w:tcBorders>
            <w:shd w:val="clear" w:color="auto" w:fill="auto"/>
          </w:tcPr>
          <w:p w14:paraId="5F789E8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tcPr>
          <w:p w14:paraId="3166B09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tcPr>
          <w:p w14:paraId="4B92050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480 TOEFL integrated writing responses</w:t>
            </w:r>
          </w:p>
        </w:tc>
        <w:tc>
          <w:tcPr>
            <w:tcW w:w="1440" w:type="dxa"/>
            <w:tcBorders>
              <w:top w:val="nil"/>
              <w:left w:val="nil"/>
              <w:bottom w:val="single" w:sz="4" w:space="0" w:color="auto"/>
              <w:right w:val="single" w:sz="4" w:space="0" w:color="auto"/>
            </w:tcBorders>
            <w:shd w:val="clear" w:color="auto" w:fill="auto"/>
          </w:tcPr>
          <w:p w14:paraId="3BD875E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20 min </w:t>
            </w:r>
          </w:p>
        </w:tc>
      </w:tr>
      <w:tr w:rsidR="00611F84" w:rsidRPr="00611F84" w14:paraId="7BD61133"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tcPr>
          <w:p w14:paraId="3E2AC2C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Kyle &amp; Crossley (2016)</w:t>
            </w:r>
          </w:p>
        </w:tc>
        <w:tc>
          <w:tcPr>
            <w:tcW w:w="1980" w:type="dxa"/>
            <w:tcBorders>
              <w:top w:val="nil"/>
              <w:left w:val="nil"/>
              <w:bottom w:val="single" w:sz="4" w:space="0" w:color="auto"/>
              <w:right w:val="single" w:sz="4" w:space="0" w:color="auto"/>
            </w:tcBorders>
            <w:shd w:val="clear" w:color="auto" w:fill="auto"/>
          </w:tcPr>
          <w:p w14:paraId="097F142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Lexical sophistication</w:t>
            </w:r>
          </w:p>
        </w:tc>
        <w:tc>
          <w:tcPr>
            <w:tcW w:w="2160" w:type="dxa"/>
            <w:tcBorders>
              <w:top w:val="nil"/>
              <w:left w:val="nil"/>
              <w:bottom w:val="single" w:sz="4" w:space="0" w:color="auto"/>
              <w:right w:val="single" w:sz="4" w:space="0" w:color="auto"/>
            </w:tcBorders>
            <w:shd w:val="clear" w:color="auto" w:fill="auto"/>
          </w:tcPr>
          <w:p w14:paraId="6B34D70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Lexical sophistication was not a powerful predictor of success in integrated writing tasks.</w:t>
            </w:r>
          </w:p>
        </w:tc>
        <w:tc>
          <w:tcPr>
            <w:tcW w:w="1530" w:type="dxa"/>
            <w:tcBorders>
              <w:top w:val="nil"/>
              <w:left w:val="nil"/>
              <w:bottom w:val="single" w:sz="4" w:space="0" w:color="auto"/>
              <w:right w:val="single" w:sz="4" w:space="0" w:color="auto"/>
            </w:tcBorders>
            <w:shd w:val="clear" w:color="auto" w:fill="auto"/>
          </w:tcPr>
          <w:p w14:paraId="652B51C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480 TOEFL test takers</w:t>
            </w:r>
          </w:p>
        </w:tc>
        <w:tc>
          <w:tcPr>
            <w:tcW w:w="1530" w:type="dxa"/>
            <w:tcBorders>
              <w:top w:val="nil"/>
              <w:left w:val="nil"/>
              <w:bottom w:val="single" w:sz="4" w:space="0" w:color="auto"/>
              <w:right w:val="single" w:sz="4" w:space="0" w:color="auto"/>
            </w:tcBorders>
            <w:shd w:val="clear" w:color="auto" w:fill="auto"/>
          </w:tcPr>
          <w:p w14:paraId="49EE59A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L1s not reported</w:t>
            </w:r>
          </w:p>
        </w:tc>
        <w:tc>
          <w:tcPr>
            <w:tcW w:w="1080" w:type="dxa"/>
            <w:tcBorders>
              <w:top w:val="nil"/>
              <w:left w:val="nil"/>
              <w:bottom w:val="single" w:sz="4" w:space="0" w:color="auto"/>
              <w:right w:val="single" w:sz="4" w:space="0" w:color="auto"/>
            </w:tcBorders>
            <w:shd w:val="clear" w:color="auto" w:fill="auto"/>
          </w:tcPr>
          <w:p w14:paraId="57F315C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w:t>
            </w:r>
          </w:p>
        </w:tc>
        <w:tc>
          <w:tcPr>
            <w:tcW w:w="1440" w:type="dxa"/>
            <w:tcBorders>
              <w:top w:val="nil"/>
              <w:left w:val="nil"/>
              <w:bottom w:val="single" w:sz="4" w:space="0" w:color="auto"/>
              <w:right w:val="single" w:sz="4" w:space="0" w:color="auto"/>
            </w:tcBorders>
            <w:shd w:val="clear" w:color="auto" w:fill="auto"/>
          </w:tcPr>
          <w:p w14:paraId="2396EAD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tcPr>
          <w:p w14:paraId="6FBB8CB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tcPr>
          <w:p w14:paraId="0911860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480 TOEFL integrated and independent writing responses</w:t>
            </w:r>
          </w:p>
        </w:tc>
        <w:tc>
          <w:tcPr>
            <w:tcW w:w="1440" w:type="dxa"/>
            <w:tcBorders>
              <w:top w:val="nil"/>
              <w:left w:val="nil"/>
              <w:bottom w:val="single" w:sz="4" w:space="0" w:color="auto"/>
              <w:right w:val="single" w:sz="4" w:space="0" w:color="auto"/>
            </w:tcBorders>
            <w:shd w:val="clear" w:color="auto" w:fill="auto"/>
          </w:tcPr>
          <w:p w14:paraId="004F435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20</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30 min</w:t>
            </w:r>
          </w:p>
        </w:tc>
      </w:tr>
      <w:tr w:rsidR="00611F84" w:rsidRPr="00611F84" w14:paraId="2E185108" w14:textId="77777777" w:rsidTr="00611F84">
        <w:trPr>
          <w:trHeight w:val="2861"/>
        </w:trPr>
        <w:tc>
          <w:tcPr>
            <w:tcW w:w="1620" w:type="dxa"/>
            <w:tcBorders>
              <w:top w:val="nil"/>
              <w:left w:val="single" w:sz="4" w:space="0" w:color="auto"/>
              <w:bottom w:val="single" w:sz="4" w:space="0" w:color="auto"/>
              <w:right w:val="single" w:sz="4" w:space="0" w:color="auto"/>
            </w:tcBorders>
            <w:shd w:val="clear" w:color="auto" w:fill="auto"/>
            <w:hideMark/>
          </w:tcPr>
          <w:p w14:paraId="5E5EDA1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J. J. Lee et al. (2018)</w:t>
            </w:r>
          </w:p>
        </w:tc>
        <w:tc>
          <w:tcPr>
            <w:tcW w:w="1980" w:type="dxa"/>
            <w:tcBorders>
              <w:top w:val="nil"/>
              <w:left w:val="nil"/>
              <w:bottom w:val="single" w:sz="4" w:space="0" w:color="auto"/>
              <w:right w:val="single" w:sz="4" w:space="0" w:color="auto"/>
            </w:tcBorders>
            <w:shd w:val="clear" w:color="auto" w:fill="auto"/>
            <w:hideMark/>
          </w:tcPr>
          <w:p w14:paraId="77E2C46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Form, function, and stance</w:t>
            </w:r>
          </w:p>
        </w:tc>
        <w:tc>
          <w:tcPr>
            <w:tcW w:w="2160" w:type="dxa"/>
            <w:tcBorders>
              <w:top w:val="nil"/>
              <w:left w:val="nil"/>
              <w:bottom w:val="single" w:sz="4" w:space="0" w:color="auto"/>
              <w:right w:val="single" w:sz="4" w:space="0" w:color="auto"/>
            </w:tcBorders>
            <w:shd w:val="clear" w:color="auto" w:fill="auto"/>
            <w:hideMark/>
          </w:tcPr>
          <w:p w14:paraId="5196A2C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L2 student writers mostly used paraphrased summary as a main reporting structure and cited sources to demonstrate their knowledge. </w:t>
            </w:r>
            <w:proofErr w:type="gramStart"/>
            <w:r w:rsidRPr="00611F84">
              <w:rPr>
                <w:rFonts w:ascii="Garamond" w:eastAsia="Times New Roman" w:hAnsi="Garamond" w:cs="Times New Roman"/>
                <w:szCs w:val="20"/>
              </w:rPr>
              <w:t>A majority of</w:t>
            </w:r>
            <w:proofErr w:type="gramEnd"/>
            <w:r w:rsidRPr="00611F84">
              <w:rPr>
                <w:rFonts w:ascii="Garamond" w:eastAsia="Times New Roman" w:hAnsi="Garamond" w:cs="Times New Roman"/>
                <w:szCs w:val="20"/>
              </w:rPr>
              <w:t xml:space="preserve"> them took a noncommittal stance, distancing themselves from the sources.</w:t>
            </w:r>
          </w:p>
        </w:tc>
        <w:tc>
          <w:tcPr>
            <w:tcW w:w="1530" w:type="dxa"/>
            <w:tcBorders>
              <w:top w:val="nil"/>
              <w:left w:val="nil"/>
              <w:bottom w:val="single" w:sz="4" w:space="0" w:color="auto"/>
              <w:right w:val="single" w:sz="4" w:space="0" w:color="auto"/>
            </w:tcBorders>
            <w:shd w:val="clear" w:color="auto" w:fill="auto"/>
            <w:hideMark/>
          </w:tcPr>
          <w:p w14:paraId="1AEE841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100 undergrad students</w:t>
            </w:r>
          </w:p>
        </w:tc>
        <w:tc>
          <w:tcPr>
            <w:tcW w:w="1530" w:type="dxa"/>
            <w:tcBorders>
              <w:top w:val="nil"/>
              <w:left w:val="nil"/>
              <w:bottom w:val="single" w:sz="4" w:space="0" w:color="auto"/>
              <w:right w:val="single" w:sz="4" w:space="0" w:color="auto"/>
            </w:tcBorders>
            <w:shd w:val="clear" w:color="auto" w:fill="auto"/>
            <w:hideMark/>
          </w:tcPr>
          <w:p w14:paraId="4B4DD56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hideMark/>
          </w:tcPr>
          <w:p w14:paraId="0401682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45046FF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56471BA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00FC00B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100 high-rated research papers</w:t>
            </w:r>
          </w:p>
        </w:tc>
        <w:tc>
          <w:tcPr>
            <w:tcW w:w="1440" w:type="dxa"/>
            <w:tcBorders>
              <w:top w:val="nil"/>
              <w:left w:val="nil"/>
              <w:bottom w:val="single" w:sz="4" w:space="0" w:color="auto"/>
              <w:right w:val="single" w:sz="4" w:space="0" w:color="auto"/>
            </w:tcBorders>
            <w:shd w:val="clear" w:color="auto" w:fill="auto"/>
            <w:hideMark/>
          </w:tcPr>
          <w:p w14:paraId="5EB3AD9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 (corpus)</w:t>
            </w:r>
          </w:p>
        </w:tc>
      </w:tr>
      <w:tr w:rsidR="00611F84" w:rsidRPr="00611F84" w14:paraId="0CE64F81"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75E95B8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Li (2012)</w:t>
            </w:r>
          </w:p>
        </w:tc>
        <w:tc>
          <w:tcPr>
            <w:tcW w:w="1980" w:type="dxa"/>
            <w:tcBorders>
              <w:top w:val="nil"/>
              <w:left w:val="nil"/>
              <w:bottom w:val="single" w:sz="4" w:space="0" w:color="auto"/>
              <w:right w:val="single" w:sz="4" w:space="0" w:color="auto"/>
            </w:tcBorders>
            <w:shd w:val="clear" w:color="auto" w:fill="auto"/>
            <w:hideMark/>
          </w:tcPr>
          <w:p w14:paraId="1469FA2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Searching and reading strategies</w:t>
            </w:r>
          </w:p>
        </w:tc>
        <w:tc>
          <w:tcPr>
            <w:tcW w:w="2160" w:type="dxa"/>
            <w:tcBorders>
              <w:top w:val="nil"/>
              <w:left w:val="nil"/>
              <w:bottom w:val="single" w:sz="4" w:space="0" w:color="auto"/>
              <w:right w:val="single" w:sz="4" w:space="0" w:color="auto"/>
            </w:tcBorders>
            <w:shd w:val="clear" w:color="auto" w:fill="auto"/>
            <w:hideMark/>
          </w:tcPr>
          <w:p w14:paraId="40AF74F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L2 students often combined their research process with writing and took referential notes to document which part of the target source needs to be cited later.</w:t>
            </w:r>
          </w:p>
        </w:tc>
        <w:tc>
          <w:tcPr>
            <w:tcW w:w="1530" w:type="dxa"/>
            <w:tcBorders>
              <w:top w:val="nil"/>
              <w:left w:val="nil"/>
              <w:bottom w:val="single" w:sz="4" w:space="0" w:color="auto"/>
              <w:right w:val="single" w:sz="4" w:space="0" w:color="auto"/>
            </w:tcBorders>
            <w:shd w:val="clear" w:color="auto" w:fill="auto"/>
            <w:hideMark/>
          </w:tcPr>
          <w:p w14:paraId="2627727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11 undergrad students</w:t>
            </w:r>
          </w:p>
        </w:tc>
        <w:tc>
          <w:tcPr>
            <w:tcW w:w="1530" w:type="dxa"/>
            <w:tcBorders>
              <w:top w:val="nil"/>
              <w:left w:val="nil"/>
              <w:bottom w:val="single" w:sz="4" w:space="0" w:color="auto"/>
              <w:right w:val="single" w:sz="4" w:space="0" w:color="auto"/>
            </w:tcBorders>
            <w:shd w:val="clear" w:color="auto" w:fill="auto"/>
            <w:hideMark/>
          </w:tcPr>
          <w:p w14:paraId="525FECD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450CEBB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(HK)</w:t>
            </w:r>
          </w:p>
        </w:tc>
        <w:tc>
          <w:tcPr>
            <w:tcW w:w="1440" w:type="dxa"/>
            <w:tcBorders>
              <w:top w:val="nil"/>
              <w:left w:val="nil"/>
              <w:bottom w:val="single" w:sz="4" w:space="0" w:color="auto"/>
              <w:right w:val="single" w:sz="4" w:space="0" w:color="auto"/>
            </w:tcBorders>
            <w:shd w:val="clear" w:color="auto" w:fill="auto"/>
            <w:hideMark/>
          </w:tcPr>
          <w:p w14:paraId="1BBC750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27E225F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29D77D2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Source-based essay drafts, source texts, process logs, reading notes, and an interview</w:t>
            </w:r>
          </w:p>
        </w:tc>
        <w:tc>
          <w:tcPr>
            <w:tcW w:w="1440" w:type="dxa"/>
            <w:tcBorders>
              <w:top w:val="nil"/>
              <w:left w:val="nil"/>
              <w:bottom w:val="single" w:sz="4" w:space="0" w:color="auto"/>
              <w:right w:val="single" w:sz="4" w:space="0" w:color="auto"/>
            </w:tcBorders>
            <w:shd w:val="clear" w:color="auto" w:fill="auto"/>
            <w:hideMark/>
          </w:tcPr>
          <w:p w14:paraId="4AE9F84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 semesters</w:t>
            </w:r>
          </w:p>
        </w:tc>
      </w:tr>
      <w:tr w:rsidR="00611F84" w:rsidRPr="00611F84" w14:paraId="3577CE8C"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7A84B29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Li (2013)</w:t>
            </w:r>
          </w:p>
        </w:tc>
        <w:tc>
          <w:tcPr>
            <w:tcW w:w="1980" w:type="dxa"/>
            <w:tcBorders>
              <w:top w:val="nil"/>
              <w:left w:val="nil"/>
              <w:bottom w:val="single" w:sz="4" w:space="0" w:color="auto"/>
              <w:right w:val="single" w:sz="4" w:space="0" w:color="auto"/>
            </w:tcBorders>
            <w:shd w:val="clear" w:color="auto" w:fill="auto"/>
            <w:hideMark/>
          </w:tcPr>
          <w:p w14:paraId="4FC3796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p>
        </w:tc>
        <w:tc>
          <w:tcPr>
            <w:tcW w:w="2160" w:type="dxa"/>
            <w:tcBorders>
              <w:top w:val="nil"/>
              <w:left w:val="nil"/>
              <w:bottom w:val="single" w:sz="4" w:space="0" w:color="auto"/>
              <w:right w:val="single" w:sz="4" w:space="0" w:color="auto"/>
            </w:tcBorders>
            <w:shd w:val="clear" w:color="auto" w:fill="auto"/>
            <w:hideMark/>
          </w:tcPr>
          <w:p w14:paraId="19157A0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adopted various strategies (e.g., consulting Chinese webpages, and using information booklets) to overcome source-related challenges.</w:t>
            </w:r>
          </w:p>
        </w:tc>
        <w:tc>
          <w:tcPr>
            <w:tcW w:w="1530" w:type="dxa"/>
            <w:tcBorders>
              <w:top w:val="nil"/>
              <w:left w:val="nil"/>
              <w:bottom w:val="single" w:sz="4" w:space="0" w:color="auto"/>
              <w:right w:val="single" w:sz="4" w:space="0" w:color="auto"/>
            </w:tcBorders>
            <w:shd w:val="clear" w:color="auto" w:fill="auto"/>
            <w:hideMark/>
          </w:tcPr>
          <w:p w14:paraId="67F8147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3 under-grads </w:t>
            </w:r>
          </w:p>
        </w:tc>
        <w:tc>
          <w:tcPr>
            <w:tcW w:w="1530" w:type="dxa"/>
            <w:tcBorders>
              <w:top w:val="nil"/>
              <w:left w:val="nil"/>
              <w:bottom w:val="single" w:sz="4" w:space="0" w:color="auto"/>
              <w:right w:val="single" w:sz="4" w:space="0" w:color="auto"/>
            </w:tcBorders>
            <w:shd w:val="clear" w:color="auto" w:fill="auto"/>
            <w:hideMark/>
          </w:tcPr>
          <w:p w14:paraId="33353D7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1C8304B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(HK)</w:t>
            </w:r>
          </w:p>
        </w:tc>
        <w:tc>
          <w:tcPr>
            <w:tcW w:w="1440" w:type="dxa"/>
            <w:tcBorders>
              <w:top w:val="nil"/>
              <w:left w:val="nil"/>
              <w:bottom w:val="single" w:sz="4" w:space="0" w:color="auto"/>
              <w:right w:val="single" w:sz="4" w:space="0" w:color="auto"/>
            </w:tcBorders>
            <w:shd w:val="clear" w:color="auto" w:fill="auto"/>
            <w:hideMark/>
          </w:tcPr>
          <w:p w14:paraId="6958090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Activity Theory</w:t>
            </w:r>
          </w:p>
        </w:tc>
        <w:tc>
          <w:tcPr>
            <w:tcW w:w="990" w:type="dxa"/>
            <w:tcBorders>
              <w:top w:val="nil"/>
              <w:left w:val="nil"/>
              <w:bottom w:val="single" w:sz="4" w:space="0" w:color="auto"/>
              <w:right w:val="single" w:sz="4" w:space="0" w:color="auto"/>
            </w:tcBorders>
            <w:shd w:val="clear" w:color="auto" w:fill="auto"/>
            <w:hideMark/>
          </w:tcPr>
          <w:p w14:paraId="715F9F7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7C74B7F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policy paper, interviews, and process logs</w:t>
            </w:r>
          </w:p>
        </w:tc>
        <w:tc>
          <w:tcPr>
            <w:tcW w:w="1440" w:type="dxa"/>
            <w:tcBorders>
              <w:top w:val="nil"/>
              <w:left w:val="nil"/>
              <w:bottom w:val="single" w:sz="4" w:space="0" w:color="auto"/>
              <w:right w:val="single" w:sz="4" w:space="0" w:color="auto"/>
            </w:tcBorders>
            <w:shd w:val="clear" w:color="auto" w:fill="auto"/>
            <w:hideMark/>
          </w:tcPr>
          <w:p w14:paraId="24C1AF8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semester</w:t>
            </w:r>
          </w:p>
        </w:tc>
      </w:tr>
      <w:tr w:rsidR="00611F84" w:rsidRPr="00611F84" w14:paraId="491B70B8" w14:textId="77777777" w:rsidTr="00611F84">
        <w:trPr>
          <w:trHeight w:val="3147"/>
        </w:trPr>
        <w:tc>
          <w:tcPr>
            <w:tcW w:w="1620" w:type="dxa"/>
            <w:tcBorders>
              <w:top w:val="nil"/>
              <w:left w:val="single" w:sz="4" w:space="0" w:color="auto"/>
              <w:bottom w:val="single" w:sz="4" w:space="0" w:color="auto"/>
              <w:right w:val="single" w:sz="4" w:space="0" w:color="auto"/>
            </w:tcBorders>
            <w:shd w:val="clear" w:color="auto" w:fill="auto"/>
          </w:tcPr>
          <w:p w14:paraId="503B980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Li &amp; Casanave (2012)</w:t>
            </w:r>
          </w:p>
        </w:tc>
        <w:tc>
          <w:tcPr>
            <w:tcW w:w="1980" w:type="dxa"/>
            <w:tcBorders>
              <w:top w:val="nil"/>
              <w:left w:val="nil"/>
              <w:bottom w:val="single" w:sz="4" w:space="0" w:color="auto"/>
              <w:right w:val="single" w:sz="4" w:space="0" w:color="auto"/>
            </w:tcBorders>
            <w:shd w:val="clear" w:color="auto" w:fill="auto"/>
          </w:tcPr>
          <w:p w14:paraId="1944A6E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Plagiarism</w:t>
            </w:r>
          </w:p>
        </w:tc>
        <w:tc>
          <w:tcPr>
            <w:tcW w:w="2160" w:type="dxa"/>
            <w:tcBorders>
              <w:top w:val="nil"/>
              <w:left w:val="nil"/>
              <w:bottom w:val="single" w:sz="4" w:space="0" w:color="auto"/>
              <w:right w:val="single" w:sz="4" w:space="0" w:color="auto"/>
            </w:tcBorders>
            <w:shd w:val="clear" w:color="auto" w:fill="auto"/>
          </w:tcPr>
          <w:p w14:paraId="79C3BBA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understanding of source use was not reflected properly in writing practices because they engaged in patchwriting and inadequate citation practices.</w:t>
            </w:r>
          </w:p>
        </w:tc>
        <w:tc>
          <w:tcPr>
            <w:tcW w:w="1530" w:type="dxa"/>
            <w:tcBorders>
              <w:top w:val="nil"/>
              <w:left w:val="nil"/>
              <w:bottom w:val="single" w:sz="4" w:space="0" w:color="auto"/>
              <w:right w:val="single" w:sz="4" w:space="0" w:color="auto"/>
            </w:tcBorders>
            <w:shd w:val="clear" w:color="auto" w:fill="auto"/>
          </w:tcPr>
          <w:p w14:paraId="6502669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under-grads</w:t>
            </w:r>
          </w:p>
        </w:tc>
        <w:tc>
          <w:tcPr>
            <w:tcW w:w="1530" w:type="dxa"/>
            <w:tcBorders>
              <w:top w:val="nil"/>
              <w:left w:val="nil"/>
              <w:bottom w:val="single" w:sz="4" w:space="0" w:color="auto"/>
              <w:right w:val="single" w:sz="4" w:space="0" w:color="auto"/>
            </w:tcBorders>
            <w:shd w:val="clear" w:color="auto" w:fill="auto"/>
          </w:tcPr>
          <w:p w14:paraId="2827350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tcPr>
          <w:p w14:paraId="032A3CE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(HK)</w:t>
            </w:r>
          </w:p>
        </w:tc>
        <w:tc>
          <w:tcPr>
            <w:tcW w:w="1440" w:type="dxa"/>
            <w:tcBorders>
              <w:top w:val="nil"/>
              <w:left w:val="nil"/>
              <w:bottom w:val="single" w:sz="4" w:space="0" w:color="auto"/>
              <w:right w:val="single" w:sz="4" w:space="0" w:color="auto"/>
            </w:tcBorders>
            <w:shd w:val="clear" w:color="auto" w:fill="auto"/>
          </w:tcPr>
          <w:p w14:paraId="066EA72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Textual borrowing</w:t>
            </w:r>
          </w:p>
        </w:tc>
        <w:tc>
          <w:tcPr>
            <w:tcW w:w="990" w:type="dxa"/>
            <w:tcBorders>
              <w:top w:val="nil"/>
              <w:left w:val="nil"/>
              <w:bottom w:val="single" w:sz="4" w:space="0" w:color="auto"/>
              <w:right w:val="single" w:sz="4" w:space="0" w:color="auto"/>
            </w:tcBorders>
            <w:shd w:val="clear" w:color="auto" w:fill="auto"/>
          </w:tcPr>
          <w:p w14:paraId="5E0F897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tcPr>
          <w:p w14:paraId="151891B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source-based essay, 6 interviews, observation notes, research memos, case profiles, and source texts</w:t>
            </w:r>
          </w:p>
        </w:tc>
        <w:tc>
          <w:tcPr>
            <w:tcW w:w="1440" w:type="dxa"/>
            <w:tcBorders>
              <w:top w:val="nil"/>
              <w:left w:val="nil"/>
              <w:bottom w:val="single" w:sz="4" w:space="0" w:color="auto"/>
              <w:right w:val="single" w:sz="4" w:space="0" w:color="auto"/>
            </w:tcBorders>
            <w:shd w:val="clear" w:color="auto" w:fill="auto"/>
          </w:tcPr>
          <w:p w14:paraId="6A9AA0E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month</w:t>
            </w:r>
          </w:p>
        </w:tc>
      </w:tr>
      <w:tr w:rsidR="00611F84" w:rsidRPr="00611F84" w14:paraId="7D9C8CFF" w14:textId="77777777" w:rsidTr="00611F84">
        <w:trPr>
          <w:trHeight w:val="3147"/>
        </w:trPr>
        <w:tc>
          <w:tcPr>
            <w:tcW w:w="1620" w:type="dxa"/>
            <w:tcBorders>
              <w:top w:val="nil"/>
              <w:left w:val="single" w:sz="4" w:space="0" w:color="auto"/>
              <w:bottom w:val="single" w:sz="4" w:space="0" w:color="auto"/>
              <w:right w:val="single" w:sz="4" w:space="0" w:color="auto"/>
            </w:tcBorders>
            <w:shd w:val="clear" w:color="auto" w:fill="auto"/>
            <w:hideMark/>
          </w:tcPr>
          <w:p w14:paraId="3CC02287"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Liardét</w:t>
            </w:r>
            <w:proofErr w:type="spellEnd"/>
            <w:r w:rsidRPr="00611F84">
              <w:rPr>
                <w:rFonts w:ascii="Garamond" w:eastAsia="Times New Roman" w:hAnsi="Garamond" w:cs="Times New Roman"/>
                <w:szCs w:val="20"/>
              </w:rPr>
              <w:t xml:space="preserve"> &amp; Black (2019)</w:t>
            </w:r>
          </w:p>
        </w:tc>
        <w:tc>
          <w:tcPr>
            <w:tcW w:w="1980" w:type="dxa"/>
            <w:tcBorders>
              <w:top w:val="nil"/>
              <w:left w:val="nil"/>
              <w:bottom w:val="single" w:sz="4" w:space="0" w:color="auto"/>
              <w:right w:val="single" w:sz="4" w:space="0" w:color="auto"/>
            </w:tcBorders>
            <w:shd w:val="clear" w:color="auto" w:fill="auto"/>
            <w:hideMark/>
          </w:tcPr>
          <w:p w14:paraId="31F96D2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Reporting verbs</w:t>
            </w:r>
          </w:p>
        </w:tc>
        <w:tc>
          <w:tcPr>
            <w:tcW w:w="2160" w:type="dxa"/>
            <w:tcBorders>
              <w:top w:val="nil"/>
              <w:left w:val="nil"/>
              <w:bottom w:val="single" w:sz="4" w:space="0" w:color="auto"/>
              <w:right w:val="single" w:sz="4" w:space="0" w:color="auto"/>
            </w:tcBorders>
            <w:shd w:val="clear" w:color="auto" w:fill="auto"/>
            <w:hideMark/>
          </w:tcPr>
          <w:p w14:paraId="48DD88B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Expert writers tended to use stronger verbs that represent a proposition (e.g., show or find), whereas both L1 and L2 student writers used verbs that reflect more neutral stances (e.g., suggest or state).</w:t>
            </w:r>
          </w:p>
        </w:tc>
        <w:tc>
          <w:tcPr>
            <w:tcW w:w="1530" w:type="dxa"/>
            <w:tcBorders>
              <w:top w:val="nil"/>
              <w:left w:val="nil"/>
              <w:bottom w:val="single" w:sz="4" w:space="0" w:color="auto"/>
              <w:right w:val="single" w:sz="4" w:space="0" w:color="auto"/>
            </w:tcBorders>
            <w:shd w:val="clear" w:color="auto" w:fill="auto"/>
            <w:hideMark/>
          </w:tcPr>
          <w:p w14:paraId="75D3F2D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65 L2 under-grads </w:t>
            </w:r>
            <w:r w:rsidRPr="00611F84">
              <w:rPr>
                <w:rFonts w:ascii="Garamond" w:eastAsia="Times New Roman" w:hAnsi="Garamond" w:cs="Times New Roman"/>
                <w:szCs w:val="20"/>
              </w:rPr>
              <w:br/>
            </w:r>
            <w:r w:rsidRPr="00611F84">
              <w:rPr>
                <w:rFonts w:ascii="Garamond" w:eastAsia="Times New Roman" w:hAnsi="Garamond" w:cs="Times New Roman"/>
                <w:szCs w:val="20"/>
              </w:rPr>
              <w:br/>
              <w:t xml:space="preserve">125 L1 under-grads </w:t>
            </w:r>
          </w:p>
        </w:tc>
        <w:tc>
          <w:tcPr>
            <w:tcW w:w="1530" w:type="dxa"/>
            <w:tcBorders>
              <w:top w:val="nil"/>
              <w:left w:val="nil"/>
              <w:bottom w:val="single" w:sz="4" w:space="0" w:color="auto"/>
              <w:right w:val="single" w:sz="4" w:space="0" w:color="auto"/>
            </w:tcBorders>
            <w:shd w:val="clear" w:color="auto" w:fill="auto"/>
            <w:hideMark/>
          </w:tcPr>
          <w:p w14:paraId="5F17C15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L1, L2</w:t>
            </w:r>
            <w:r w:rsidRPr="00611F84">
              <w:rPr>
                <w:rFonts w:ascii="Garamond" w:eastAsia="Times New Roman" w:hAnsi="Garamond" w:cs="Times New Roman"/>
                <w:szCs w:val="20"/>
              </w:rPr>
              <w:br/>
              <w:t>Mandarin L1</w:t>
            </w:r>
            <w:r w:rsidRPr="00611F84">
              <w:rPr>
                <w:rFonts w:ascii="Garamond" w:eastAsia="Times New Roman" w:hAnsi="Garamond" w:cs="Times New Roman"/>
                <w:szCs w:val="20"/>
              </w:rPr>
              <w:br/>
              <w:t>Cantonese L1</w:t>
            </w:r>
            <w:r w:rsidRPr="00611F84">
              <w:rPr>
                <w:rFonts w:ascii="Garamond" w:eastAsia="Times New Roman" w:hAnsi="Garamond" w:cs="Times New Roman"/>
                <w:szCs w:val="20"/>
              </w:rPr>
              <w:br/>
              <w:t>Bengali L1</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hideMark/>
          </w:tcPr>
          <w:p w14:paraId="2D6169C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(AUS)</w:t>
            </w:r>
          </w:p>
        </w:tc>
        <w:tc>
          <w:tcPr>
            <w:tcW w:w="1440" w:type="dxa"/>
            <w:tcBorders>
              <w:top w:val="nil"/>
              <w:left w:val="nil"/>
              <w:bottom w:val="single" w:sz="4" w:space="0" w:color="auto"/>
              <w:right w:val="single" w:sz="4" w:space="0" w:color="auto"/>
            </w:tcBorders>
            <w:shd w:val="clear" w:color="auto" w:fill="auto"/>
            <w:hideMark/>
          </w:tcPr>
          <w:p w14:paraId="0D24714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Appraisal theory</w:t>
            </w:r>
          </w:p>
        </w:tc>
        <w:tc>
          <w:tcPr>
            <w:tcW w:w="990" w:type="dxa"/>
            <w:tcBorders>
              <w:top w:val="nil"/>
              <w:left w:val="nil"/>
              <w:bottom w:val="single" w:sz="4" w:space="0" w:color="auto"/>
              <w:right w:val="single" w:sz="4" w:space="0" w:color="auto"/>
            </w:tcBorders>
            <w:shd w:val="clear" w:color="auto" w:fill="auto"/>
            <w:hideMark/>
          </w:tcPr>
          <w:p w14:paraId="4A19A2A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5481CAE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Persuasive essays, integrative summaries, business reports, and research articles</w:t>
            </w:r>
          </w:p>
        </w:tc>
        <w:tc>
          <w:tcPr>
            <w:tcW w:w="1440" w:type="dxa"/>
            <w:tcBorders>
              <w:top w:val="nil"/>
              <w:left w:val="nil"/>
              <w:bottom w:val="single" w:sz="4" w:space="0" w:color="auto"/>
              <w:right w:val="single" w:sz="4" w:space="0" w:color="auto"/>
            </w:tcBorders>
            <w:shd w:val="clear" w:color="auto" w:fill="auto"/>
            <w:hideMark/>
          </w:tcPr>
          <w:p w14:paraId="1252629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semester</w:t>
            </w:r>
          </w:p>
        </w:tc>
      </w:tr>
      <w:tr w:rsidR="00611F84" w:rsidRPr="00611F84" w14:paraId="1A4AE80F"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79DA0C8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Lombardi (2021)</w:t>
            </w:r>
          </w:p>
        </w:tc>
        <w:tc>
          <w:tcPr>
            <w:tcW w:w="1980" w:type="dxa"/>
            <w:tcBorders>
              <w:top w:val="nil"/>
              <w:left w:val="nil"/>
              <w:bottom w:val="single" w:sz="4" w:space="0" w:color="auto"/>
              <w:right w:val="single" w:sz="4" w:space="0" w:color="auto"/>
            </w:tcBorders>
            <w:shd w:val="clear" w:color="auto" w:fill="auto"/>
            <w:hideMark/>
          </w:tcPr>
          <w:p w14:paraId="3D201EB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Form and reporting verbs</w:t>
            </w:r>
          </w:p>
        </w:tc>
        <w:tc>
          <w:tcPr>
            <w:tcW w:w="2160" w:type="dxa"/>
            <w:tcBorders>
              <w:top w:val="nil"/>
              <w:left w:val="nil"/>
              <w:bottom w:val="single" w:sz="4" w:space="0" w:color="auto"/>
              <w:right w:val="single" w:sz="4" w:space="0" w:color="auto"/>
            </w:tcBorders>
            <w:shd w:val="clear" w:color="auto" w:fill="auto"/>
            <w:hideMark/>
          </w:tcPr>
          <w:p w14:paraId="144733D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Overall, integral citations were preferred. Skilled writers cited more often but quoted less, with a greater range of reporting verbs.</w:t>
            </w:r>
          </w:p>
        </w:tc>
        <w:tc>
          <w:tcPr>
            <w:tcW w:w="1530" w:type="dxa"/>
            <w:tcBorders>
              <w:top w:val="nil"/>
              <w:left w:val="nil"/>
              <w:bottom w:val="single" w:sz="4" w:space="0" w:color="auto"/>
              <w:right w:val="single" w:sz="4" w:space="0" w:color="auto"/>
            </w:tcBorders>
            <w:shd w:val="clear" w:color="auto" w:fill="auto"/>
            <w:hideMark/>
          </w:tcPr>
          <w:p w14:paraId="0A9B8A8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99 undergrad students</w:t>
            </w:r>
          </w:p>
        </w:tc>
        <w:tc>
          <w:tcPr>
            <w:tcW w:w="1530" w:type="dxa"/>
            <w:tcBorders>
              <w:top w:val="nil"/>
              <w:left w:val="nil"/>
              <w:bottom w:val="single" w:sz="4" w:space="0" w:color="auto"/>
              <w:right w:val="single" w:sz="4" w:space="0" w:color="auto"/>
            </w:tcBorders>
            <w:shd w:val="clear" w:color="auto" w:fill="auto"/>
            <w:hideMark/>
          </w:tcPr>
          <w:p w14:paraId="0C1E405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English L2 </w:t>
            </w:r>
            <w:r w:rsidRPr="00611F84">
              <w:rPr>
                <w:rFonts w:ascii="Garamond" w:eastAsia="Times New Roman" w:hAnsi="Garamond" w:cs="Times New Roman"/>
                <w:szCs w:val="20"/>
              </w:rPr>
              <w:br/>
              <w:t>L1s not reported</w:t>
            </w:r>
          </w:p>
        </w:tc>
        <w:tc>
          <w:tcPr>
            <w:tcW w:w="1080" w:type="dxa"/>
            <w:tcBorders>
              <w:top w:val="nil"/>
              <w:left w:val="nil"/>
              <w:bottom w:val="single" w:sz="4" w:space="0" w:color="auto"/>
              <w:right w:val="single" w:sz="4" w:space="0" w:color="auto"/>
            </w:tcBorders>
            <w:shd w:val="clear" w:color="auto" w:fill="auto"/>
            <w:hideMark/>
          </w:tcPr>
          <w:p w14:paraId="7F967D7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4B589C8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Intertextuality</w:t>
            </w:r>
          </w:p>
        </w:tc>
        <w:tc>
          <w:tcPr>
            <w:tcW w:w="990" w:type="dxa"/>
            <w:tcBorders>
              <w:top w:val="nil"/>
              <w:left w:val="nil"/>
              <w:bottom w:val="single" w:sz="4" w:space="0" w:color="auto"/>
              <w:right w:val="single" w:sz="4" w:space="0" w:color="auto"/>
            </w:tcBorders>
            <w:shd w:val="clear" w:color="auto" w:fill="auto"/>
            <w:hideMark/>
          </w:tcPr>
          <w:p w14:paraId="217A57A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6D80EB9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argumenta-</w:t>
            </w:r>
            <w:proofErr w:type="spellStart"/>
            <w:r w:rsidRPr="00611F84">
              <w:rPr>
                <w:rFonts w:ascii="Garamond" w:eastAsia="Times New Roman" w:hAnsi="Garamond" w:cs="Times New Roman"/>
                <w:szCs w:val="20"/>
              </w:rPr>
              <w:t>tive</w:t>
            </w:r>
            <w:proofErr w:type="spellEnd"/>
            <w:r w:rsidRPr="00611F84">
              <w:rPr>
                <w:rFonts w:ascii="Garamond" w:eastAsia="Times New Roman" w:hAnsi="Garamond" w:cs="Times New Roman"/>
                <w:szCs w:val="20"/>
              </w:rPr>
              <w:t xml:space="preserve"> essay and comprehension questions</w:t>
            </w:r>
          </w:p>
        </w:tc>
        <w:tc>
          <w:tcPr>
            <w:tcW w:w="1440" w:type="dxa"/>
            <w:tcBorders>
              <w:top w:val="nil"/>
              <w:left w:val="nil"/>
              <w:bottom w:val="single" w:sz="4" w:space="0" w:color="auto"/>
              <w:right w:val="single" w:sz="4" w:space="0" w:color="auto"/>
            </w:tcBorders>
            <w:shd w:val="clear" w:color="auto" w:fill="auto"/>
            <w:hideMark/>
          </w:tcPr>
          <w:p w14:paraId="05DA145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2.5 </w:t>
            </w:r>
            <w:proofErr w:type="spellStart"/>
            <w:r w:rsidRPr="00611F84">
              <w:rPr>
                <w:rFonts w:ascii="Garamond" w:eastAsia="Times New Roman" w:hAnsi="Garamond" w:cs="Times New Roman"/>
                <w:szCs w:val="20"/>
              </w:rPr>
              <w:t>hr</w:t>
            </w:r>
            <w:proofErr w:type="spellEnd"/>
            <w:r w:rsidRPr="00611F84">
              <w:rPr>
                <w:rFonts w:ascii="Garamond" w:eastAsia="Times New Roman" w:hAnsi="Garamond" w:cs="Times New Roman"/>
                <w:szCs w:val="20"/>
              </w:rPr>
              <w:t xml:space="preserve"> for the essay and com-prehension questions</w:t>
            </w:r>
          </w:p>
        </w:tc>
      </w:tr>
      <w:tr w:rsidR="00611F84" w:rsidRPr="00611F84" w14:paraId="22DBA26C" w14:textId="77777777" w:rsidTr="00611F84">
        <w:trPr>
          <w:trHeight w:val="2861"/>
        </w:trPr>
        <w:tc>
          <w:tcPr>
            <w:tcW w:w="1620" w:type="dxa"/>
            <w:tcBorders>
              <w:top w:val="nil"/>
              <w:left w:val="single" w:sz="4" w:space="0" w:color="auto"/>
              <w:bottom w:val="single" w:sz="4" w:space="0" w:color="auto"/>
              <w:right w:val="single" w:sz="4" w:space="0" w:color="auto"/>
            </w:tcBorders>
            <w:shd w:val="clear" w:color="auto" w:fill="auto"/>
            <w:hideMark/>
          </w:tcPr>
          <w:p w14:paraId="46B53F7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Lombardi (2022)</w:t>
            </w:r>
          </w:p>
        </w:tc>
        <w:tc>
          <w:tcPr>
            <w:tcW w:w="1980" w:type="dxa"/>
            <w:tcBorders>
              <w:top w:val="nil"/>
              <w:left w:val="nil"/>
              <w:bottom w:val="single" w:sz="4" w:space="0" w:color="auto"/>
              <w:right w:val="single" w:sz="4" w:space="0" w:color="auto"/>
            </w:tcBorders>
            <w:shd w:val="clear" w:color="auto" w:fill="auto"/>
            <w:hideMark/>
          </w:tcPr>
          <w:p w14:paraId="3251BFE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Stance</w:t>
            </w:r>
          </w:p>
        </w:tc>
        <w:tc>
          <w:tcPr>
            <w:tcW w:w="2160" w:type="dxa"/>
            <w:tcBorders>
              <w:top w:val="nil"/>
              <w:left w:val="nil"/>
              <w:bottom w:val="single" w:sz="4" w:space="0" w:color="auto"/>
              <w:right w:val="single" w:sz="4" w:space="0" w:color="auto"/>
            </w:tcBorders>
            <w:shd w:val="clear" w:color="auto" w:fill="auto"/>
            <w:hideMark/>
          </w:tcPr>
          <w:p w14:paraId="053B054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Two different essay prompts resulted in different linguistic features. For the deontic topic, students predominantly used linguistic markers expressing ethical judgments; whereas for the epistemic topic, they adopted markers reflecting the possibility.</w:t>
            </w:r>
          </w:p>
        </w:tc>
        <w:tc>
          <w:tcPr>
            <w:tcW w:w="1530" w:type="dxa"/>
            <w:tcBorders>
              <w:top w:val="nil"/>
              <w:left w:val="nil"/>
              <w:bottom w:val="single" w:sz="4" w:space="0" w:color="auto"/>
              <w:right w:val="single" w:sz="4" w:space="0" w:color="auto"/>
            </w:tcBorders>
            <w:shd w:val="clear" w:color="auto" w:fill="auto"/>
            <w:hideMark/>
          </w:tcPr>
          <w:p w14:paraId="4446A69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41 under-grads </w:t>
            </w:r>
          </w:p>
        </w:tc>
        <w:tc>
          <w:tcPr>
            <w:tcW w:w="1530" w:type="dxa"/>
            <w:tcBorders>
              <w:top w:val="nil"/>
              <w:left w:val="nil"/>
              <w:bottom w:val="single" w:sz="4" w:space="0" w:color="auto"/>
              <w:right w:val="single" w:sz="4" w:space="0" w:color="auto"/>
            </w:tcBorders>
            <w:shd w:val="clear" w:color="auto" w:fill="auto"/>
            <w:hideMark/>
          </w:tcPr>
          <w:p w14:paraId="657216B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L1s not reported</w:t>
            </w:r>
          </w:p>
        </w:tc>
        <w:tc>
          <w:tcPr>
            <w:tcW w:w="1080" w:type="dxa"/>
            <w:tcBorders>
              <w:top w:val="nil"/>
              <w:left w:val="nil"/>
              <w:bottom w:val="single" w:sz="4" w:space="0" w:color="auto"/>
              <w:right w:val="single" w:sz="4" w:space="0" w:color="auto"/>
            </w:tcBorders>
            <w:shd w:val="clear" w:color="auto" w:fill="auto"/>
            <w:hideMark/>
          </w:tcPr>
          <w:p w14:paraId="64DD7FB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207922D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Hyland’s interaction model</w:t>
            </w:r>
          </w:p>
        </w:tc>
        <w:tc>
          <w:tcPr>
            <w:tcW w:w="990" w:type="dxa"/>
            <w:tcBorders>
              <w:top w:val="nil"/>
              <w:left w:val="nil"/>
              <w:bottom w:val="single" w:sz="4" w:space="0" w:color="auto"/>
              <w:right w:val="single" w:sz="4" w:space="0" w:color="auto"/>
            </w:tcBorders>
            <w:shd w:val="clear" w:color="auto" w:fill="auto"/>
            <w:hideMark/>
          </w:tcPr>
          <w:p w14:paraId="62395A2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4D448D2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argumenta-</w:t>
            </w:r>
            <w:proofErr w:type="spellStart"/>
            <w:r w:rsidRPr="00611F84">
              <w:rPr>
                <w:rFonts w:ascii="Garamond" w:eastAsia="Times New Roman" w:hAnsi="Garamond" w:cs="Times New Roman"/>
                <w:szCs w:val="20"/>
              </w:rPr>
              <w:t>tive</w:t>
            </w:r>
            <w:proofErr w:type="spellEnd"/>
            <w:r w:rsidRPr="00611F84">
              <w:rPr>
                <w:rFonts w:ascii="Garamond" w:eastAsia="Times New Roman" w:hAnsi="Garamond" w:cs="Times New Roman"/>
                <w:szCs w:val="20"/>
              </w:rPr>
              <w:t xml:space="preserve"> essay and comprehension questions</w:t>
            </w:r>
          </w:p>
        </w:tc>
        <w:tc>
          <w:tcPr>
            <w:tcW w:w="1440" w:type="dxa"/>
            <w:tcBorders>
              <w:top w:val="nil"/>
              <w:left w:val="nil"/>
              <w:bottom w:val="single" w:sz="4" w:space="0" w:color="auto"/>
              <w:right w:val="single" w:sz="4" w:space="0" w:color="auto"/>
            </w:tcBorders>
            <w:shd w:val="clear" w:color="auto" w:fill="auto"/>
            <w:hideMark/>
          </w:tcPr>
          <w:p w14:paraId="59E78B6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2.5 </w:t>
            </w:r>
            <w:proofErr w:type="spellStart"/>
            <w:r w:rsidRPr="00611F84">
              <w:rPr>
                <w:rFonts w:ascii="Garamond" w:eastAsia="Times New Roman" w:hAnsi="Garamond" w:cs="Times New Roman"/>
                <w:szCs w:val="20"/>
              </w:rPr>
              <w:t>hr</w:t>
            </w:r>
            <w:proofErr w:type="spellEnd"/>
            <w:r w:rsidRPr="00611F84">
              <w:rPr>
                <w:rFonts w:ascii="Garamond" w:eastAsia="Times New Roman" w:hAnsi="Garamond" w:cs="Times New Roman"/>
                <w:szCs w:val="20"/>
              </w:rPr>
              <w:t xml:space="preserve"> for the essay and com-prehension questions</w:t>
            </w:r>
          </w:p>
        </w:tc>
      </w:tr>
      <w:tr w:rsidR="00611F84" w:rsidRPr="00611F84" w14:paraId="78B431F2"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5EF2BEF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Macbeth (2010)</w:t>
            </w:r>
          </w:p>
        </w:tc>
        <w:tc>
          <w:tcPr>
            <w:tcW w:w="1980" w:type="dxa"/>
            <w:tcBorders>
              <w:top w:val="nil"/>
              <w:left w:val="nil"/>
              <w:bottom w:val="single" w:sz="4" w:space="0" w:color="auto"/>
              <w:right w:val="single" w:sz="4" w:space="0" w:color="auto"/>
            </w:tcBorders>
            <w:shd w:val="clear" w:color="auto" w:fill="auto"/>
            <w:hideMark/>
          </w:tcPr>
          <w:p w14:paraId="21949FE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Writing samples or models</w:t>
            </w:r>
          </w:p>
        </w:tc>
        <w:tc>
          <w:tcPr>
            <w:tcW w:w="2160" w:type="dxa"/>
            <w:tcBorders>
              <w:top w:val="nil"/>
              <w:left w:val="nil"/>
              <w:bottom w:val="single" w:sz="4" w:space="0" w:color="auto"/>
              <w:right w:val="single" w:sz="4" w:space="0" w:color="auto"/>
            </w:tcBorders>
            <w:shd w:val="clear" w:color="auto" w:fill="auto"/>
            <w:hideMark/>
          </w:tcPr>
          <w:p w14:paraId="5DC77E7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perceived samples as ideal products rather than possible cases. Models may give students false expectations or promises.</w:t>
            </w:r>
          </w:p>
        </w:tc>
        <w:tc>
          <w:tcPr>
            <w:tcW w:w="1530" w:type="dxa"/>
            <w:tcBorders>
              <w:top w:val="nil"/>
              <w:left w:val="nil"/>
              <w:bottom w:val="single" w:sz="4" w:space="0" w:color="auto"/>
              <w:right w:val="single" w:sz="4" w:space="0" w:color="auto"/>
            </w:tcBorders>
            <w:shd w:val="clear" w:color="auto" w:fill="auto"/>
            <w:hideMark/>
          </w:tcPr>
          <w:p w14:paraId="494C813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19 under-grads </w:t>
            </w:r>
          </w:p>
        </w:tc>
        <w:tc>
          <w:tcPr>
            <w:tcW w:w="1530" w:type="dxa"/>
            <w:tcBorders>
              <w:top w:val="nil"/>
              <w:left w:val="nil"/>
              <w:bottom w:val="single" w:sz="4" w:space="0" w:color="auto"/>
              <w:right w:val="single" w:sz="4" w:space="0" w:color="auto"/>
            </w:tcBorders>
            <w:shd w:val="clear" w:color="auto" w:fill="auto"/>
            <w:hideMark/>
          </w:tcPr>
          <w:p w14:paraId="1706D65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Indonesian L1</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hideMark/>
          </w:tcPr>
          <w:p w14:paraId="7C5A28B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29D7DAA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Genre theory</w:t>
            </w:r>
          </w:p>
        </w:tc>
        <w:tc>
          <w:tcPr>
            <w:tcW w:w="990" w:type="dxa"/>
            <w:tcBorders>
              <w:top w:val="nil"/>
              <w:left w:val="nil"/>
              <w:bottom w:val="single" w:sz="4" w:space="0" w:color="auto"/>
              <w:right w:val="single" w:sz="4" w:space="0" w:color="auto"/>
            </w:tcBorders>
            <w:shd w:val="clear" w:color="auto" w:fill="auto"/>
            <w:hideMark/>
          </w:tcPr>
          <w:p w14:paraId="58EC161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7418D0B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source-based essay, sample essays, videotaping, fieldnotes, and interviews</w:t>
            </w:r>
          </w:p>
        </w:tc>
        <w:tc>
          <w:tcPr>
            <w:tcW w:w="1440" w:type="dxa"/>
            <w:tcBorders>
              <w:top w:val="nil"/>
              <w:left w:val="nil"/>
              <w:bottom w:val="single" w:sz="4" w:space="0" w:color="auto"/>
              <w:right w:val="single" w:sz="4" w:space="0" w:color="auto"/>
            </w:tcBorders>
            <w:shd w:val="clear" w:color="auto" w:fill="auto"/>
            <w:hideMark/>
          </w:tcPr>
          <w:p w14:paraId="770AE9B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10 weeks</w:t>
            </w:r>
          </w:p>
        </w:tc>
      </w:tr>
      <w:tr w:rsidR="00611F84" w:rsidRPr="00611F84" w14:paraId="313796C3"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33ECFA7D"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lastRenderedPageBreak/>
              <w:t>Machili</w:t>
            </w:r>
            <w:proofErr w:type="spellEnd"/>
            <w:r w:rsidRPr="00611F84">
              <w:rPr>
                <w:rFonts w:ascii="Garamond" w:eastAsia="Times New Roman" w:hAnsi="Garamond" w:cs="Times New Roman"/>
                <w:szCs w:val="20"/>
              </w:rPr>
              <w:t xml:space="preserve"> et al. (2020)</w:t>
            </w:r>
          </w:p>
        </w:tc>
        <w:tc>
          <w:tcPr>
            <w:tcW w:w="1980" w:type="dxa"/>
            <w:tcBorders>
              <w:top w:val="nil"/>
              <w:left w:val="nil"/>
              <w:bottom w:val="single" w:sz="4" w:space="0" w:color="auto"/>
              <w:right w:val="single" w:sz="4" w:space="0" w:color="auto"/>
            </w:tcBorders>
            <w:shd w:val="clear" w:color="auto" w:fill="auto"/>
            <w:hideMark/>
          </w:tcPr>
          <w:p w14:paraId="255264B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Instruction and intervention</w:t>
            </w:r>
          </w:p>
        </w:tc>
        <w:tc>
          <w:tcPr>
            <w:tcW w:w="2160" w:type="dxa"/>
            <w:tcBorders>
              <w:top w:val="nil"/>
              <w:left w:val="nil"/>
              <w:bottom w:val="single" w:sz="4" w:space="0" w:color="auto"/>
              <w:right w:val="single" w:sz="4" w:space="0" w:color="auto"/>
            </w:tcBorders>
            <w:shd w:val="clear" w:color="auto" w:fill="auto"/>
            <w:hideMark/>
          </w:tcPr>
          <w:p w14:paraId="64EE185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intervention on video-mediated integrated writing was effective; the experimental group receiving strategy instruction outperformed the control group.</w:t>
            </w:r>
          </w:p>
        </w:tc>
        <w:tc>
          <w:tcPr>
            <w:tcW w:w="1530" w:type="dxa"/>
            <w:tcBorders>
              <w:top w:val="nil"/>
              <w:left w:val="nil"/>
              <w:bottom w:val="single" w:sz="4" w:space="0" w:color="auto"/>
              <w:right w:val="single" w:sz="4" w:space="0" w:color="auto"/>
            </w:tcBorders>
            <w:shd w:val="clear" w:color="auto" w:fill="auto"/>
            <w:hideMark/>
          </w:tcPr>
          <w:p w14:paraId="1D27CDD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118 under-grads </w:t>
            </w:r>
          </w:p>
        </w:tc>
        <w:tc>
          <w:tcPr>
            <w:tcW w:w="1530" w:type="dxa"/>
            <w:tcBorders>
              <w:top w:val="nil"/>
              <w:left w:val="nil"/>
              <w:bottom w:val="single" w:sz="4" w:space="0" w:color="auto"/>
              <w:right w:val="single" w:sz="4" w:space="0" w:color="auto"/>
            </w:tcBorders>
            <w:shd w:val="clear" w:color="auto" w:fill="auto"/>
            <w:hideMark/>
          </w:tcPr>
          <w:p w14:paraId="1B1098F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Greek L1</w:t>
            </w:r>
          </w:p>
        </w:tc>
        <w:tc>
          <w:tcPr>
            <w:tcW w:w="1080" w:type="dxa"/>
            <w:tcBorders>
              <w:top w:val="nil"/>
              <w:left w:val="nil"/>
              <w:bottom w:val="single" w:sz="4" w:space="0" w:color="auto"/>
              <w:right w:val="single" w:sz="4" w:space="0" w:color="auto"/>
            </w:tcBorders>
            <w:shd w:val="clear" w:color="auto" w:fill="auto"/>
            <w:hideMark/>
          </w:tcPr>
          <w:p w14:paraId="66C8BF6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(Greece)</w:t>
            </w:r>
          </w:p>
        </w:tc>
        <w:tc>
          <w:tcPr>
            <w:tcW w:w="1440" w:type="dxa"/>
            <w:tcBorders>
              <w:top w:val="nil"/>
              <w:left w:val="nil"/>
              <w:bottom w:val="single" w:sz="4" w:space="0" w:color="auto"/>
              <w:right w:val="single" w:sz="4" w:space="0" w:color="auto"/>
            </w:tcBorders>
            <w:shd w:val="clear" w:color="auto" w:fill="auto"/>
            <w:hideMark/>
          </w:tcPr>
          <w:p w14:paraId="3E63A87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Spivey’s discourse synthesis</w:t>
            </w:r>
          </w:p>
        </w:tc>
        <w:tc>
          <w:tcPr>
            <w:tcW w:w="990" w:type="dxa"/>
            <w:tcBorders>
              <w:top w:val="nil"/>
              <w:left w:val="nil"/>
              <w:bottom w:val="single" w:sz="4" w:space="0" w:color="auto"/>
              <w:right w:val="single" w:sz="4" w:space="0" w:color="auto"/>
            </w:tcBorders>
            <w:shd w:val="clear" w:color="auto" w:fill="auto"/>
            <w:hideMark/>
          </w:tcPr>
          <w:p w14:paraId="1041983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3F7A6E4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writing-and-watching-to-write task</w:t>
            </w:r>
          </w:p>
        </w:tc>
        <w:tc>
          <w:tcPr>
            <w:tcW w:w="1440" w:type="dxa"/>
            <w:tcBorders>
              <w:top w:val="nil"/>
              <w:left w:val="nil"/>
              <w:bottom w:val="single" w:sz="4" w:space="0" w:color="auto"/>
              <w:right w:val="single" w:sz="4" w:space="0" w:color="auto"/>
            </w:tcBorders>
            <w:shd w:val="clear" w:color="auto" w:fill="auto"/>
            <w:hideMark/>
          </w:tcPr>
          <w:p w14:paraId="56E52E8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semester</w:t>
            </w:r>
          </w:p>
        </w:tc>
      </w:tr>
      <w:tr w:rsidR="00611F84" w:rsidRPr="00611F84" w14:paraId="6CF33C2C"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3C9F91E1"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Masrul</w:t>
            </w:r>
            <w:proofErr w:type="spellEnd"/>
            <w:r w:rsidRPr="00611F84">
              <w:rPr>
                <w:rFonts w:ascii="Garamond" w:eastAsia="Times New Roman" w:hAnsi="Garamond" w:cs="Times New Roman"/>
                <w:szCs w:val="20"/>
              </w:rPr>
              <w:t xml:space="preserve"> et al. (2023)</w:t>
            </w:r>
          </w:p>
        </w:tc>
        <w:tc>
          <w:tcPr>
            <w:tcW w:w="1980" w:type="dxa"/>
            <w:tcBorders>
              <w:top w:val="nil"/>
              <w:left w:val="nil"/>
              <w:bottom w:val="single" w:sz="4" w:space="0" w:color="auto"/>
              <w:right w:val="single" w:sz="4" w:space="0" w:color="auto"/>
            </w:tcBorders>
            <w:shd w:val="clear" w:color="auto" w:fill="auto"/>
            <w:hideMark/>
          </w:tcPr>
          <w:p w14:paraId="50AC32D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Instruction and intervention</w:t>
            </w:r>
          </w:p>
        </w:tc>
        <w:tc>
          <w:tcPr>
            <w:tcW w:w="2160" w:type="dxa"/>
            <w:tcBorders>
              <w:top w:val="nil"/>
              <w:left w:val="nil"/>
              <w:bottom w:val="single" w:sz="4" w:space="0" w:color="auto"/>
              <w:right w:val="single" w:sz="4" w:space="0" w:color="auto"/>
            </w:tcBorders>
            <w:shd w:val="clear" w:color="auto" w:fill="auto"/>
            <w:hideMark/>
          </w:tcPr>
          <w:p w14:paraId="792639B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strategy instruction significantly enhanced students’ idea development and their synthesis writing skills</w:t>
            </w:r>
          </w:p>
        </w:tc>
        <w:tc>
          <w:tcPr>
            <w:tcW w:w="1530" w:type="dxa"/>
            <w:tcBorders>
              <w:top w:val="nil"/>
              <w:left w:val="nil"/>
              <w:bottom w:val="single" w:sz="4" w:space="0" w:color="auto"/>
              <w:right w:val="single" w:sz="4" w:space="0" w:color="auto"/>
            </w:tcBorders>
            <w:shd w:val="clear" w:color="auto" w:fill="auto"/>
            <w:hideMark/>
          </w:tcPr>
          <w:p w14:paraId="4A82023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100 under-grads </w:t>
            </w:r>
          </w:p>
        </w:tc>
        <w:tc>
          <w:tcPr>
            <w:tcW w:w="1530" w:type="dxa"/>
            <w:tcBorders>
              <w:top w:val="nil"/>
              <w:left w:val="nil"/>
              <w:bottom w:val="single" w:sz="4" w:space="0" w:color="auto"/>
              <w:right w:val="single" w:sz="4" w:space="0" w:color="auto"/>
            </w:tcBorders>
            <w:shd w:val="clear" w:color="auto" w:fill="auto"/>
            <w:hideMark/>
          </w:tcPr>
          <w:p w14:paraId="789CE4A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Indonesian L1</w:t>
            </w:r>
          </w:p>
        </w:tc>
        <w:tc>
          <w:tcPr>
            <w:tcW w:w="1080" w:type="dxa"/>
            <w:tcBorders>
              <w:top w:val="nil"/>
              <w:left w:val="nil"/>
              <w:bottom w:val="single" w:sz="4" w:space="0" w:color="auto"/>
              <w:right w:val="single" w:sz="4" w:space="0" w:color="auto"/>
            </w:tcBorders>
            <w:shd w:val="clear" w:color="auto" w:fill="auto"/>
            <w:hideMark/>
          </w:tcPr>
          <w:p w14:paraId="35FCDC9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w:t>
            </w:r>
            <w:proofErr w:type="spellStart"/>
            <w:r w:rsidRPr="00611F84">
              <w:rPr>
                <w:rFonts w:ascii="Garamond" w:eastAsia="Times New Roman" w:hAnsi="Garamond" w:cs="Times New Roman"/>
                <w:szCs w:val="20"/>
              </w:rPr>
              <w:t>Indone-sia</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40A78BB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76A78C7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14C3EE9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synthesis paper</w:t>
            </w:r>
          </w:p>
        </w:tc>
        <w:tc>
          <w:tcPr>
            <w:tcW w:w="1440" w:type="dxa"/>
            <w:tcBorders>
              <w:top w:val="nil"/>
              <w:left w:val="nil"/>
              <w:bottom w:val="single" w:sz="4" w:space="0" w:color="auto"/>
              <w:right w:val="single" w:sz="4" w:space="0" w:color="auto"/>
            </w:tcBorders>
            <w:shd w:val="clear" w:color="auto" w:fill="auto"/>
            <w:hideMark/>
          </w:tcPr>
          <w:p w14:paraId="3BA6115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14 </w:t>
            </w:r>
            <w:proofErr w:type="spellStart"/>
            <w:r w:rsidRPr="00611F84">
              <w:rPr>
                <w:rFonts w:ascii="Garamond" w:eastAsia="Times New Roman" w:hAnsi="Garamond" w:cs="Times New Roman"/>
                <w:szCs w:val="20"/>
              </w:rPr>
              <w:t>hr</w:t>
            </w:r>
            <w:proofErr w:type="spellEnd"/>
            <w:r w:rsidRPr="00611F84">
              <w:rPr>
                <w:rFonts w:ascii="Garamond" w:eastAsia="Times New Roman" w:hAnsi="Garamond" w:cs="Times New Roman"/>
                <w:szCs w:val="20"/>
              </w:rPr>
              <w:t xml:space="preserve"> for </w:t>
            </w:r>
            <w:proofErr w:type="spellStart"/>
            <w:r w:rsidRPr="00611F84">
              <w:rPr>
                <w:rFonts w:ascii="Garamond" w:eastAsia="Times New Roman" w:hAnsi="Garamond" w:cs="Times New Roman"/>
                <w:szCs w:val="20"/>
              </w:rPr>
              <w:t>interven-tion</w:t>
            </w:r>
            <w:proofErr w:type="spellEnd"/>
          </w:p>
        </w:tc>
      </w:tr>
      <w:tr w:rsidR="00611F84" w:rsidRPr="00611F84" w14:paraId="6A1D327B"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4A58457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McCulloch (2013)</w:t>
            </w:r>
          </w:p>
        </w:tc>
        <w:tc>
          <w:tcPr>
            <w:tcW w:w="1980" w:type="dxa"/>
            <w:tcBorders>
              <w:top w:val="nil"/>
              <w:left w:val="nil"/>
              <w:bottom w:val="single" w:sz="4" w:space="0" w:color="auto"/>
              <w:right w:val="single" w:sz="4" w:space="0" w:color="auto"/>
            </w:tcBorders>
            <w:shd w:val="clear" w:color="auto" w:fill="auto"/>
            <w:hideMark/>
          </w:tcPr>
          <w:p w14:paraId="376DCC3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p>
        </w:tc>
        <w:tc>
          <w:tcPr>
            <w:tcW w:w="2160" w:type="dxa"/>
            <w:tcBorders>
              <w:top w:val="nil"/>
              <w:left w:val="nil"/>
              <w:bottom w:val="single" w:sz="4" w:space="0" w:color="auto"/>
              <w:right w:val="single" w:sz="4" w:space="0" w:color="auto"/>
            </w:tcBorders>
            <w:shd w:val="clear" w:color="auto" w:fill="auto"/>
            <w:hideMark/>
          </w:tcPr>
          <w:p w14:paraId="0A3FEF4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exhibited different source-use behavior, including how they responded to source texts and made inferences about them.</w:t>
            </w:r>
          </w:p>
        </w:tc>
        <w:tc>
          <w:tcPr>
            <w:tcW w:w="1530" w:type="dxa"/>
            <w:tcBorders>
              <w:top w:val="nil"/>
              <w:left w:val="nil"/>
              <w:bottom w:val="single" w:sz="4" w:space="0" w:color="auto"/>
              <w:right w:val="single" w:sz="4" w:space="0" w:color="auto"/>
            </w:tcBorders>
            <w:shd w:val="clear" w:color="auto" w:fill="auto"/>
            <w:hideMark/>
          </w:tcPr>
          <w:p w14:paraId="51CAA74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grad students</w:t>
            </w:r>
          </w:p>
        </w:tc>
        <w:tc>
          <w:tcPr>
            <w:tcW w:w="1530" w:type="dxa"/>
            <w:tcBorders>
              <w:top w:val="nil"/>
              <w:left w:val="nil"/>
              <w:bottom w:val="single" w:sz="4" w:space="0" w:color="auto"/>
              <w:right w:val="single" w:sz="4" w:space="0" w:color="auto"/>
            </w:tcBorders>
            <w:shd w:val="clear" w:color="auto" w:fill="auto"/>
            <w:hideMark/>
          </w:tcPr>
          <w:p w14:paraId="6680CCC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Tamil L1</w:t>
            </w:r>
          </w:p>
        </w:tc>
        <w:tc>
          <w:tcPr>
            <w:tcW w:w="1080" w:type="dxa"/>
            <w:tcBorders>
              <w:top w:val="nil"/>
              <w:left w:val="nil"/>
              <w:bottom w:val="single" w:sz="4" w:space="0" w:color="auto"/>
              <w:right w:val="single" w:sz="4" w:space="0" w:color="auto"/>
            </w:tcBorders>
            <w:shd w:val="clear" w:color="auto" w:fill="auto"/>
            <w:hideMark/>
          </w:tcPr>
          <w:p w14:paraId="763DA52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(UK)</w:t>
            </w:r>
          </w:p>
        </w:tc>
        <w:tc>
          <w:tcPr>
            <w:tcW w:w="1440" w:type="dxa"/>
            <w:tcBorders>
              <w:top w:val="nil"/>
              <w:left w:val="nil"/>
              <w:bottom w:val="single" w:sz="4" w:space="0" w:color="auto"/>
              <w:right w:val="single" w:sz="4" w:space="0" w:color="auto"/>
            </w:tcBorders>
            <w:shd w:val="clear" w:color="auto" w:fill="auto"/>
            <w:hideMark/>
          </w:tcPr>
          <w:p w14:paraId="35F6548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4615030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2F21EA6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master’s thesis, think</w:t>
            </w:r>
            <w:r w:rsidRPr="00611F84">
              <w:rPr>
                <w:rFonts w:ascii="Garamond" w:hAnsi="Garamond" w:cs="Times New Roman"/>
                <w:szCs w:val="20"/>
              </w:rPr>
              <w:t xml:space="preserve"> </w:t>
            </w:r>
            <w:proofErr w:type="spellStart"/>
            <w:r w:rsidRPr="00611F84">
              <w:rPr>
                <w:rFonts w:ascii="Garamond" w:eastAsia="Times New Roman" w:hAnsi="Garamond" w:cs="Times New Roman"/>
                <w:szCs w:val="20"/>
              </w:rPr>
              <w:t>alouds</w:t>
            </w:r>
            <w:proofErr w:type="spellEnd"/>
            <w:r w:rsidRPr="00611F84">
              <w:rPr>
                <w:rFonts w:ascii="Garamond" w:eastAsia="Times New Roman" w:hAnsi="Garamond" w:cs="Times New Roman"/>
                <w:szCs w:val="20"/>
              </w:rPr>
              <w:t>, interviews</w:t>
            </w:r>
          </w:p>
        </w:tc>
        <w:tc>
          <w:tcPr>
            <w:tcW w:w="1440" w:type="dxa"/>
            <w:tcBorders>
              <w:top w:val="nil"/>
              <w:left w:val="nil"/>
              <w:bottom w:val="single" w:sz="4" w:space="0" w:color="auto"/>
              <w:right w:val="single" w:sz="4" w:space="0" w:color="auto"/>
            </w:tcBorders>
            <w:shd w:val="clear" w:color="auto" w:fill="auto"/>
            <w:hideMark/>
          </w:tcPr>
          <w:p w14:paraId="432B2AF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r>
      <w:tr w:rsidR="00611F84" w:rsidRPr="00611F84" w14:paraId="05580D6C" w14:textId="77777777" w:rsidTr="00611F84">
        <w:trPr>
          <w:trHeight w:val="2575"/>
        </w:trPr>
        <w:tc>
          <w:tcPr>
            <w:tcW w:w="1620" w:type="dxa"/>
            <w:tcBorders>
              <w:top w:val="nil"/>
              <w:left w:val="single" w:sz="4" w:space="0" w:color="auto"/>
              <w:bottom w:val="single" w:sz="4" w:space="0" w:color="auto"/>
              <w:right w:val="single" w:sz="4" w:space="0" w:color="auto"/>
            </w:tcBorders>
            <w:shd w:val="clear" w:color="auto" w:fill="auto"/>
            <w:hideMark/>
          </w:tcPr>
          <w:p w14:paraId="7D267B3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Michel et al. (2020)</w:t>
            </w:r>
          </w:p>
        </w:tc>
        <w:tc>
          <w:tcPr>
            <w:tcW w:w="1980" w:type="dxa"/>
            <w:tcBorders>
              <w:top w:val="nil"/>
              <w:left w:val="nil"/>
              <w:bottom w:val="single" w:sz="4" w:space="0" w:color="auto"/>
              <w:right w:val="single" w:sz="4" w:space="0" w:color="auto"/>
            </w:tcBorders>
            <w:shd w:val="clear" w:color="auto" w:fill="auto"/>
            <w:hideMark/>
          </w:tcPr>
          <w:p w14:paraId="4851C15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Composing processes</w:t>
            </w:r>
            <w:r w:rsidRPr="00611F84">
              <w:rPr>
                <w:rFonts w:ascii="Garamond" w:eastAsia="Times New Roman" w:hAnsi="Garamond" w:cs="Times New Roman"/>
                <w:szCs w:val="20"/>
              </w:rPr>
              <w:br/>
              <w:t>• Writing speed fluency, pausing, eye</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gaze behaviors and the cognitive processes</w:t>
            </w:r>
          </w:p>
        </w:tc>
        <w:tc>
          <w:tcPr>
            <w:tcW w:w="2160" w:type="dxa"/>
            <w:tcBorders>
              <w:top w:val="nil"/>
              <w:left w:val="nil"/>
              <w:bottom w:val="single" w:sz="4" w:space="0" w:color="auto"/>
              <w:right w:val="single" w:sz="4" w:space="0" w:color="auto"/>
            </w:tcBorders>
            <w:shd w:val="clear" w:color="auto" w:fill="auto"/>
            <w:hideMark/>
          </w:tcPr>
          <w:p w14:paraId="0373616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Writers engaged in more dynamic and varied processes during integrated writing. They wrote more slowly with </w:t>
            </w:r>
            <w:proofErr w:type="gramStart"/>
            <w:r w:rsidRPr="00611F84">
              <w:rPr>
                <w:rFonts w:ascii="Garamond" w:eastAsia="Times New Roman" w:hAnsi="Garamond" w:cs="Times New Roman"/>
                <w:szCs w:val="20"/>
              </w:rPr>
              <w:t>longer</w:t>
            </w:r>
            <w:proofErr w:type="gramEnd"/>
            <w:r w:rsidRPr="00611F84">
              <w:rPr>
                <w:rFonts w:ascii="Garamond" w:eastAsia="Times New Roman" w:hAnsi="Garamond" w:cs="Times New Roman"/>
                <w:szCs w:val="20"/>
              </w:rPr>
              <w:t xml:space="preserve"> but fewer pauses compared to the independent task.</w:t>
            </w:r>
          </w:p>
        </w:tc>
        <w:tc>
          <w:tcPr>
            <w:tcW w:w="1530" w:type="dxa"/>
            <w:tcBorders>
              <w:top w:val="nil"/>
              <w:left w:val="nil"/>
              <w:bottom w:val="single" w:sz="4" w:space="0" w:color="auto"/>
              <w:right w:val="single" w:sz="4" w:space="0" w:color="auto"/>
            </w:tcBorders>
            <w:shd w:val="clear" w:color="auto" w:fill="auto"/>
            <w:hideMark/>
          </w:tcPr>
          <w:p w14:paraId="7C6C7FB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60 under-grads and grad students</w:t>
            </w:r>
          </w:p>
        </w:tc>
        <w:tc>
          <w:tcPr>
            <w:tcW w:w="1530" w:type="dxa"/>
            <w:tcBorders>
              <w:top w:val="nil"/>
              <w:left w:val="nil"/>
              <w:bottom w:val="single" w:sz="4" w:space="0" w:color="auto"/>
              <w:right w:val="single" w:sz="4" w:space="0" w:color="auto"/>
            </w:tcBorders>
            <w:shd w:val="clear" w:color="auto" w:fill="auto"/>
            <w:hideMark/>
          </w:tcPr>
          <w:p w14:paraId="696D4EE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2178B44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(UK)</w:t>
            </w:r>
          </w:p>
        </w:tc>
        <w:tc>
          <w:tcPr>
            <w:tcW w:w="1440" w:type="dxa"/>
            <w:tcBorders>
              <w:top w:val="nil"/>
              <w:left w:val="nil"/>
              <w:bottom w:val="single" w:sz="4" w:space="0" w:color="auto"/>
              <w:right w:val="single" w:sz="4" w:space="0" w:color="auto"/>
            </w:tcBorders>
            <w:shd w:val="clear" w:color="auto" w:fill="auto"/>
            <w:hideMark/>
          </w:tcPr>
          <w:p w14:paraId="2EA9091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Kellogg’s model of writing</w:t>
            </w:r>
          </w:p>
        </w:tc>
        <w:tc>
          <w:tcPr>
            <w:tcW w:w="990" w:type="dxa"/>
            <w:tcBorders>
              <w:top w:val="nil"/>
              <w:left w:val="nil"/>
              <w:bottom w:val="single" w:sz="4" w:space="0" w:color="auto"/>
              <w:right w:val="single" w:sz="4" w:space="0" w:color="auto"/>
            </w:tcBorders>
            <w:shd w:val="clear" w:color="auto" w:fill="auto"/>
            <w:hideMark/>
          </w:tcPr>
          <w:p w14:paraId="25CFB15F" w14:textId="77777777" w:rsidR="00616096" w:rsidRPr="00611F84" w:rsidRDefault="00616096" w:rsidP="00924822">
            <w:pPr>
              <w:rPr>
                <w:rFonts w:ascii="Garamond" w:hAnsi="Garamond" w:cs="Times New Roman"/>
                <w:szCs w:val="20"/>
              </w:rPr>
            </w:pPr>
            <w:r w:rsidRPr="00611F84">
              <w:rPr>
                <w:rFonts w:ascii="Garamond" w:eastAsia="Times New Roman" w:hAnsi="Garamond" w:cs="Times New Roman"/>
                <w:szCs w:val="20"/>
              </w:rPr>
              <w:t>MM</w:t>
            </w:r>
          </w:p>
        </w:tc>
        <w:tc>
          <w:tcPr>
            <w:tcW w:w="1440" w:type="dxa"/>
            <w:tcBorders>
              <w:top w:val="nil"/>
              <w:left w:val="nil"/>
              <w:bottom w:val="single" w:sz="4" w:space="0" w:color="auto"/>
              <w:right w:val="single" w:sz="4" w:space="0" w:color="auto"/>
            </w:tcBorders>
            <w:shd w:val="clear" w:color="auto" w:fill="auto"/>
            <w:hideMark/>
          </w:tcPr>
          <w:p w14:paraId="2BD44B7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An integrated writing, an independent writing, screen recordings with eye-tracking, stimulated recalls, a questionnaire, </w:t>
            </w:r>
            <w:r w:rsidRPr="00611F84">
              <w:rPr>
                <w:rFonts w:ascii="Garamond" w:eastAsia="Times New Roman" w:hAnsi="Garamond" w:cs="Times New Roman"/>
                <w:szCs w:val="20"/>
              </w:rPr>
              <w:lastRenderedPageBreak/>
              <w:t>and a typing test</w:t>
            </w:r>
          </w:p>
        </w:tc>
        <w:tc>
          <w:tcPr>
            <w:tcW w:w="1440" w:type="dxa"/>
            <w:tcBorders>
              <w:top w:val="nil"/>
              <w:left w:val="nil"/>
              <w:bottom w:val="single" w:sz="4" w:space="0" w:color="auto"/>
              <w:right w:val="single" w:sz="4" w:space="0" w:color="auto"/>
            </w:tcBorders>
            <w:shd w:val="clear" w:color="auto" w:fill="auto"/>
            <w:hideMark/>
          </w:tcPr>
          <w:p w14:paraId="0A5F4EA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20</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30 min for writing</w:t>
            </w:r>
          </w:p>
        </w:tc>
      </w:tr>
      <w:tr w:rsidR="00611F84" w:rsidRPr="00611F84" w14:paraId="7819C613"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1E078BA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Mostafa &amp; Crossley (2020)</w:t>
            </w:r>
          </w:p>
        </w:tc>
        <w:tc>
          <w:tcPr>
            <w:tcW w:w="1980" w:type="dxa"/>
            <w:tcBorders>
              <w:top w:val="nil"/>
              <w:left w:val="nil"/>
              <w:bottom w:val="single" w:sz="4" w:space="0" w:color="auto"/>
              <w:right w:val="single" w:sz="4" w:space="0" w:color="auto"/>
            </w:tcBorders>
            <w:shd w:val="clear" w:color="auto" w:fill="auto"/>
            <w:hideMark/>
          </w:tcPr>
          <w:p w14:paraId="2286427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Syntactic complexity and task effects</w:t>
            </w:r>
          </w:p>
        </w:tc>
        <w:tc>
          <w:tcPr>
            <w:tcW w:w="2160" w:type="dxa"/>
            <w:tcBorders>
              <w:top w:val="nil"/>
              <w:left w:val="nil"/>
              <w:bottom w:val="single" w:sz="4" w:space="0" w:color="auto"/>
              <w:right w:val="single" w:sz="4" w:space="0" w:color="auto"/>
            </w:tcBorders>
            <w:shd w:val="clear" w:color="auto" w:fill="auto"/>
            <w:hideMark/>
          </w:tcPr>
          <w:p w14:paraId="13B0A82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L2 students’ inclusion of syntactic complexity and their overall writing performance varied across tasks (integrated, independent and descriptive).</w:t>
            </w:r>
          </w:p>
        </w:tc>
        <w:tc>
          <w:tcPr>
            <w:tcW w:w="1530" w:type="dxa"/>
            <w:tcBorders>
              <w:top w:val="nil"/>
              <w:left w:val="nil"/>
              <w:bottom w:val="single" w:sz="4" w:space="0" w:color="auto"/>
              <w:right w:val="single" w:sz="4" w:space="0" w:color="auto"/>
            </w:tcBorders>
            <w:shd w:val="clear" w:color="auto" w:fill="auto"/>
            <w:hideMark/>
          </w:tcPr>
          <w:p w14:paraId="7B306AC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240 essays (corpus data &amp; TOEFL dataset)</w:t>
            </w:r>
          </w:p>
        </w:tc>
        <w:tc>
          <w:tcPr>
            <w:tcW w:w="1530" w:type="dxa"/>
            <w:tcBorders>
              <w:top w:val="nil"/>
              <w:left w:val="nil"/>
              <w:bottom w:val="single" w:sz="4" w:space="0" w:color="auto"/>
              <w:right w:val="single" w:sz="4" w:space="0" w:color="auto"/>
            </w:tcBorders>
            <w:shd w:val="clear" w:color="auto" w:fill="auto"/>
            <w:hideMark/>
          </w:tcPr>
          <w:p w14:paraId="0B7C9F5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L1 not reported</w:t>
            </w:r>
          </w:p>
        </w:tc>
        <w:tc>
          <w:tcPr>
            <w:tcW w:w="1080" w:type="dxa"/>
            <w:tcBorders>
              <w:top w:val="nil"/>
              <w:left w:val="nil"/>
              <w:bottom w:val="single" w:sz="4" w:space="0" w:color="auto"/>
              <w:right w:val="single" w:sz="4" w:space="0" w:color="auto"/>
            </w:tcBorders>
            <w:shd w:val="clear" w:color="auto" w:fill="auto"/>
            <w:hideMark/>
          </w:tcPr>
          <w:p w14:paraId="46F8D69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 (TOEFL)</w:t>
            </w:r>
          </w:p>
        </w:tc>
        <w:tc>
          <w:tcPr>
            <w:tcW w:w="1440" w:type="dxa"/>
            <w:tcBorders>
              <w:top w:val="nil"/>
              <w:left w:val="nil"/>
              <w:bottom w:val="single" w:sz="4" w:space="0" w:color="auto"/>
              <w:right w:val="single" w:sz="4" w:space="0" w:color="auto"/>
            </w:tcBorders>
            <w:shd w:val="clear" w:color="auto" w:fill="auto"/>
            <w:hideMark/>
          </w:tcPr>
          <w:p w14:paraId="534D5BD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59C8F9A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0E1F795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Descriptive essays (corpus) and TOEFL independent and integrated essays</w:t>
            </w:r>
          </w:p>
        </w:tc>
        <w:tc>
          <w:tcPr>
            <w:tcW w:w="1440" w:type="dxa"/>
            <w:tcBorders>
              <w:top w:val="nil"/>
              <w:left w:val="nil"/>
              <w:bottom w:val="single" w:sz="4" w:space="0" w:color="auto"/>
              <w:right w:val="single" w:sz="4" w:space="0" w:color="auto"/>
            </w:tcBorders>
            <w:shd w:val="clear" w:color="auto" w:fill="auto"/>
            <w:hideMark/>
          </w:tcPr>
          <w:p w14:paraId="687F562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20</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30 min for writing</w:t>
            </w:r>
          </w:p>
        </w:tc>
      </w:tr>
      <w:tr w:rsidR="00611F84" w:rsidRPr="00611F84" w14:paraId="162230B7"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0FD0BCE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Nasseri (2021)</w:t>
            </w:r>
          </w:p>
        </w:tc>
        <w:tc>
          <w:tcPr>
            <w:tcW w:w="1980" w:type="dxa"/>
            <w:tcBorders>
              <w:top w:val="nil"/>
              <w:left w:val="nil"/>
              <w:bottom w:val="single" w:sz="4" w:space="0" w:color="auto"/>
              <w:right w:val="single" w:sz="4" w:space="0" w:color="auto"/>
            </w:tcBorders>
            <w:shd w:val="clear" w:color="auto" w:fill="auto"/>
            <w:hideMark/>
          </w:tcPr>
          <w:p w14:paraId="55EC3A2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outcomes</w:t>
            </w:r>
            <w:r w:rsidRPr="00611F84">
              <w:rPr>
                <w:rFonts w:ascii="Garamond" w:eastAsia="Times New Roman" w:hAnsi="Garamond" w:cs="Times New Roman"/>
                <w:szCs w:val="20"/>
              </w:rPr>
              <w:br/>
              <w:t>• Syntactic structures of master’s theses</w:t>
            </w:r>
          </w:p>
        </w:tc>
        <w:tc>
          <w:tcPr>
            <w:tcW w:w="2160" w:type="dxa"/>
            <w:tcBorders>
              <w:top w:val="nil"/>
              <w:left w:val="nil"/>
              <w:bottom w:val="single" w:sz="4" w:space="0" w:color="auto"/>
              <w:right w:val="single" w:sz="4" w:space="0" w:color="auto"/>
            </w:tcBorders>
            <w:shd w:val="clear" w:color="auto" w:fill="auto"/>
            <w:hideMark/>
          </w:tcPr>
          <w:p w14:paraId="627F6ED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theses largely contained syntactic subordination, whereas ESL theses contained comparative levels of subordinate and phrasal structure.</w:t>
            </w:r>
          </w:p>
        </w:tc>
        <w:tc>
          <w:tcPr>
            <w:tcW w:w="1530" w:type="dxa"/>
            <w:tcBorders>
              <w:top w:val="nil"/>
              <w:left w:val="nil"/>
              <w:bottom w:val="single" w:sz="4" w:space="0" w:color="auto"/>
              <w:right w:val="single" w:sz="4" w:space="0" w:color="auto"/>
            </w:tcBorders>
            <w:shd w:val="clear" w:color="auto" w:fill="auto"/>
            <w:hideMark/>
          </w:tcPr>
          <w:p w14:paraId="4DCB057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210 master’s theses</w:t>
            </w:r>
          </w:p>
        </w:tc>
        <w:tc>
          <w:tcPr>
            <w:tcW w:w="1530" w:type="dxa"/>
            <w:tcBorders>
              <w:top w:val="nil"/>
              <w:left w:val="nil"/>
              <w:bottom w:val="single" w:sz="4" w:space="0" w:color="auto"/>
              <w:right w:val="single" w:sz="4" w:space="0" w:color="auto"/>
            </w:tcBorders>
            <w:shd w:val="clear" w:color="auto" w:fill="auto"/>
            <w:hideMark/>
          </w:tcPr>
          <w:p w14:paraId="009C9EC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L1, L2</w:t>
            </w:r>
            <w:r w:rsidRPr="00611F84">
              <w:rPr>
                <w:rFonts w:ascii="Garamond" w:eastAsia="Times New Roman" w:hAnsi="Garamond" w:cs="Times New Roman"/>
                <w:szCs w:val="20"/>
              </w:rPr>
              <w:br/>
              <w:t>Various L1s (but not reported)</w:t>
            </w:r>
          </w:p>
        </w:tc>
        <w:tc>
          <w:tcPr>
            <w:tcW w:w="1080" w:type="dxa"/>
            <w:tcBorders>
              <w:top w:val="nil"/>
              <w:left w:val="nil"/>
              <w:bottom w:val="single" w:sz="4" w:space="0" w:color="auto"/>
              <w:right w:val="single" w:sz="4" w:space="0" w:color="auto"/>
            </w:tcBorders>
            <w:shd w:val="clear" w:color="auto" w:fill="auto"/>
            <w:hideMark/>
          </w:tcPr>
          <w:p w14:paraId="13836919" w14:textId="77777777" w:rsidR="00616096" w:rsidRPr="00611F84" w:rsidRDefault="00616096" w:rsidP="00924822">
            <w:pPr>
              <w:rPr>
                <w:rFonts w:ascii="Garamond" w:eastAsia="Times New Roman" w:hAnsi="Garamond" w:cs="Times New Roman"/>
                <w:b/>
                <w:bCs/>
                <w:szCs w:val="20"/>
              </w:rPr>
            </w:pPr>
            <w:r w:rsidRPr="00611F84">
              <w:rPr>
                <w:rFonts w:ascii="Garamond" w:eastAsia="Times New Roman" w:hAnsi="Garamond" w:cs="Times New Roman"/>
                <w:szCs w:val="20"/>
              </w:rPr>
              <w:t>Multiple</w:t>
            </w:r>
            <w:r w:rsidRPr="00611F84">
              <w:rPr>
                <w:rFonts w:ascii="Garamond" w:eastAsia="Times New Roman" w:hAnsi="Garamond" w:cs="Times New Roman"/>
                <w:b/>
                <w:bCs/>
                <w:szCs w:val="20"/>
              </w:rPr>
              <w:t xml:space="preserve"> </w:t>
            </w:r>
            <w:r w:rsidRPr="00611F84">
              <w:rPr>
                <w:rFonts w:ascii="Garamond" w:eastAsia="Times New Roman" w:hAnsi="Garamond" w:cs="Times New Roman"/>
                <w:szCs w:val="20"/>
              </w:rPr>
              <w:t>(ESL</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UK, EFL</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Iran, L1)</w:t>
            </w:r>
          </w:p>
        </w:tc>
        <w:tc>
          <w:tcPr>
            <w:tcW w:w="1440" w:type="dxa"/>
            <w:tcBorders>
              <w:top w:val="nil"/>
              <w:left w:val="nil"/>
              <w:bottom w:val="single" w:sz="4" w:space="0" w:color="auto"/>
              <w:right w:val="single" w:sz="4" w:space="0" w:color="auto"/>
            </w:tcBorders>
            <w:shd w:val="clear" w:color="auto" w:fill="auto"/>
            <w:hideMark/>
          </w:tcPr>
          <w:p w14:paraId="336397C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0EC2C5B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612898F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Master’s theses</w:t>
            </w:r>
          </w:p>
        </w:tc>
        <w:tc>
          <w:tcPr>
            <w:tcW w:w="1440" w:type="dxa"/>
            <w:tcBorders>
              <w:top w:val="nil"/>
              <w:left w:val="nil"/>
              <w:bottom w:val="single" w:sz="4" w:space="0" w:color="auto"/>
              <w:right w:val="single" w:sz="4" w:space="0" w:color="auto"/>
            </w:tcBorders>
            <w:shd w:val="clear" w:color="auto" w:fill="auto"/>
            <w:hideMark/>
          </w:tcPr>
          <w:p w14:paraId="6D81583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 (collection of theses)</w:t>
            </w:r>
          </w:p>
        </w:tc>
      </w:tr>
      <w:tr w:rsidR="00611F84" w:rsidRPr="00611F84" w14:paraId="048EC4FD"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hideMark/>
          </w:tcPr>
          <w:p w14:paraId="38B3A43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Neumann et al. (2019)</w:t>
            </w:r>
          </w:p>
        </w:tc>
        <w:tc>
          <w:tcPr>
            <w:tcW w:w="1980" w:type="dxa"/>
            <w:tcBorders>
              <w:top w:val="nil"/>
              <w:left w:val="nil"/>
              <w:bottom w:val="single" w:sz="4" w:space="0" w:color="auto"/>
              <w:right w:val="single" w:sz="4" w:space="0" w:color="auto"/>
            </w:tcBorders>
            <w:shd w:val="clear" w:color="auto" w:fill="auto"/>
            <w:hideMark/>
          </w:tcPr>
          <w:p w14:paraId="5EAE98C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p>
        </w:tc>
        <w:tc>
          <w:tcPr>
            <w:tcW w:w="2160" w:type="dxa"/>
            <w:tcBorders>
              <w:top w:val="nil"/>
              <w:left w:val="nil"/>
              <w:bottom w:val="single" w:sz="4" w:space="0" w:color="auto"/>
              <w:right w:val="single" w:sz="4" w:space="0" w:color="auto"/>
            </w:tcBorders>
            <w:shd w:val="clear" w:color="auto" w:fill="auto"/>
            <w:hideMark/>
          </w:tcPr>
          <w:p w14:paraId="6B2723B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L2 students faced great challenges when they tried to comprehend sources and formulate their source-based essay.</w:t>
            </w:r>
          </w:p>
        </w:tc>
        <w:tc>
          <w:tcPr>
            <w:tcW w:w="1530" w:type="dxa"/>
            <w:tcBorders>
              <w:top w:val="nil"/>
              <w:left w:val="nil"/>
              <w:bottom w:val="single" w:sz="4" w:space="0" w:color="auto"/>
              <w:right w:val="single" w:sz="4" w:space="0" w:color="auto"/>
            </w:tcBorders>
            <w:shd w:val="clear" w:color="auto" w:fill="auto"/>
            <w:hideMark/>
          </w:tcPr>
          <w:p w14:paraId="57920A2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73 under-grads </w:t>
            </w:r>
          </w:p>
        </w:tc>
        <w:tc>
          <w:tcPr>
            <w:tcW w:w="1530" w:type="dxa"/>
            <w:tcBorders>
              <w:top w:val="nil"/>
              <w:left w:val="nil"/>
              <w:bottom w:val="single" w:sz="4" w:space="0" w:color="auto"/>
              <w:right w:val="single" w:sz="4" w:space="0" w:color="auto"/>
            </w:tcBorders>
            <w:shd w:val="clear" w:color="auto" w:fill="auto"/>
            <w:hideMark/>
          </w:tcPr>
          <w:p w14:paraId="189B8E5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French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hideMark/>
          </w:tcPr>
          <w:p w14:paraId="22B0B79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(Canada)</w:t>
            </w:r>
          </w:p>
        </w:tc>
        <w:tc>
          <w:tcPr>
            <w:tcW w:w="1440" w:type="dxa"/>
            <w:tcBorders>
              <w:top w:val="nil"/>
              <w:left w:val="nil"/>
              <w:bottom w:val="single" w:sz="4" w:space="0" w:color="auto"/>
              <w:right w:val="single" w:sz="4" w:space="0" w:color="auto"/>
            </w:tcBorders>
            <w:shd w:val="clear" w:color="auto" w:fill="auto"/>
            <w:hideMark/>
          </w:tcPr>
          <w:p w14:paraId="707ED0D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Intertextuality</w:t>
            </w:r>
          </w:p>
        </w:tc>
        <w:tc>
          <w:tcPr>
            <w:tcW w:w="990" w:type="dxa"/>
            <w:tcBorders>
              <w:top w:val="nil"/>
              <w:left w:val="nil"/>
              <w:bottom w:val="single" w:sz="4" w:space="0" w:color="auto"/>
              <w:right w:val="single" w:sz="4" w:space="0" w:color="auto"/>
            </w:tcBorders>
            <w:shd w:val="clear" w:color="auto" w:fill="auto"/>
            <w:hideMark/>
          </w:tcPr>
          <w:p w14:paraId="4C1FF8B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019662E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Two essay exams, resource sheets, and an interview</w:t>
            </w:r>
          </w:p>
        </w:tc>
        <w:tc>
          <w:tcPr>
            <w:tcW w:w="1440" w:type="dxa"/>
            <w:tcBorders>
              <w:top w:val="nil"/>
              <w:left w:val="nil"/>
              <w:bottom w:val="single" w:sz="4" w:space="0" w:color="auto"/>
              <w:right w:val="single" w:sz="4" w:space="0" w:color="auto"/>
            </w:tcBorders>
            <w:shd w:val="clear" w:color="auto" w:fill="auto"/>
            <w:hideMark/>
          </w:tcPr>
          <w:p w14:paraId="015DBFA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Several days (6 </w:t>
            </w:r>
            <w:proofErr w:type="spellStart"/>
            <w:r w:rsidRPr="00611F84">
              <w:rPr>
                <w:rFonts w:ascii="Garamond" w:eastAsia="Times New Roman" w:hAnsi="Garamond" w:cs="Times New Roman"/>
                <w:szCs w:val="20"/>
              </w:rPr>
              <w:t>hr</w:t>
            </w:r>
            <w:proofErr w:type="spellEnd"/>
            <w:r w:rsidRPr="00611F84">
              <w:rPr>
                <w:rFonts w:ascii="Garamond" w:eastAsia="Times New Roman" w:hAnsi="Garamond" w:cs="Times New Roman"/>
                <w:szCs w:val="20"/>
              </w:rPr>
              <w:t xml:space="preserve"> for two essays, scaffolding of source texts, an interview for 20</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30 min)</w:t>
            </w:r>
          </w:p>
        </w:tc>
      </w:tr>
      <w:tr w:rsidR="00611F84" w:rsidRPr="00611F84" w14:paraId="514E6A81"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7427CFE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Neumann et al. (2020)</w:t>
            </w:r>
          </w:p>
        </w:tc>
        <w:tc>
          <w:tcPr>
            <w:tcW w:w="1980" w:type="dxa"/>
            <w:tcBorders>
              <w:top w:val="nil"/>
              <w:left w:val="nil"/>
              <w:bottom w:val="single" w:sz="4" w:space="0" w:color="auto"/>
              <w:right w:val="single" w:sz="4" w:space="0" w:color="auto"/>
            </w:tcBorders>
            <w:shd w:val="clear" w:color="auto" w:fill="auto"/>
            <w:hideMark/>
          </w:tcPr>
          <w:p w14:paraId="3660702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Relationships between source notes and essay scores</w:t>
            </w:r>
          </w:p>
        </w:tc>
        <w:tc>
          <w:tcPr>
            <w:tcW w:w="2160" w:type="dxa"/>
            <w:tcBorders>
              <w:top w:val="nil"/>
              <w:left w:val="nil"/>
              <w:bottom w:val="single" w:sz="4" w:space="0" w:color="auto"/>
              <w:right w:val="single" w:sz="4" w:space="0" w:color="auto"/>
            </w:tcBorders>
            <w:shd w:val="clear" w:color="auto" w:fill="auto"/>
            <w:hideMark/>
          </w:tcPr>
          <w:p w14:paraId="2CBBDD7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degrees of transformation in source language and avoidance of direct copying predicted writing scores.</w:t>
            </w:r>
          </w:p>
        </w:tc>
        <w:tc>
          <w:tcPr>
            <w:tcW w:w="1530" w:type="dxa"/>
            <w:tcBorders>
              <w:top w:val="nil"/>
              <w:left w:val="nil"/>
              <w:bottom w:val="single" w:sz="4" w:space="0" w:color="auto"/>
              <w:right w:val="single" w:sz="4" w:space="0" w:color="auto"/>
            </w:tcBorders>
            <w:shd w:val="clear" w:color="auto" w:fill="auto"/>
            <w:hideMark/>
          </w:tcPr>
          <w:p w14:paraId="3E2CE34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24 under-grads </w:t>
            </w:r>
          </w:p>
        </w:tc>
        <w:tc>
          <w:tcPr>
            <w:tcW w:w="1530" w:type="dxa"/>
            <w:tcBorders>
              <w:top w:val="nil"/>
              <w:left w:val="nil"/>
              <w:bottom w:val="single" w:sz="4" w:space="0" w:color="auto"/>
              <w:right w:val="single" w:sz="4" w:space="0" w:color="auto"/>
            </w:tcBorders>
            <w:shd w:val="clear" w:color="auto" w:fill="auto"/>
            <w:hideMark/>
          </w:tcPr>
          <w:p w14:paraId="5B17A64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French L1</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hideMark/>
          </w:tcPr>
          <w:p w14:paraId="355203C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(Canada)</w:t>
            </w:r>
          </w:p>
        </w:tc>
        <w:tc>
          <w:tcPr>
            <w:tcW w:w="1440" w:type="dxa"/>
            <w:tcBorders>
              <w:top w:val="nil"/>
              <w:left w:val="nil"/>
              <w:bottom w:val="single" w:sz="4" w:space="0" w:color="auto"/>
              <w:right w:val="single" w:sz="4" w:space="0" w:color="auto"/>
            </w:tcBorders>
            <w:shd w:val="clear" w:color="auto" w:fill="auto"/>
            <w:hideMark/>
          </w:tcPr>
          <w:p w14:paraId="2668907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1479DEA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226038F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source-based essay (final exa</w:t>
            </w:r>
            <w:r w:rsidRPr="00611F84">
              <w:rPr>
                <w:rFonts w:ascii="Garamond" w:hAnsi="Garamond" w:cs="Times New Roman"/>
                <w:szCs w:val="20"/>
              </w:rPr>
              <w:t>m</w:t>
            </w:r>
            <w:r w:rsidRPr="00611F84">
              <w:rPr>
                <w:rFonts w:ascii="Garamond" w:eastAsia="Times New Roman" w:hAnsi="Garamond" w:cs="Times New Roman"/>
                <w:szCs w:val="20"/>
              </w:rPr>
              <w:t>) and note sheets</w:t>
            </w:r>
          </w:p>
        </w:tc>
        <w:tc>
          <w:tcPr>
            <w:tcW w:w="1440" w:type="dxa"/>
            <w:tcBorders>
              <w:top w:val="nil"/>
              <w:left w:val="nil"/>
              <w:bottom w:val="single" w:sz="4" w:space="0" w:color="auto"/>
              <w:right w:val="single" w:sz="4" w:space="0" w:color="auto"/>
            </w:tcBorders>
            <w:shd w:val="clear" w:color="auto" w:fill="auto"/>
            <w:hideMark/>
          </w:tcPr>
          <w:p w14:paraId="607706D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Several days: 3 </w:t>
            </w:r>
            <w:proofErr w:type="spellStart"/>
            <w:r w:rsidRPr="00611F84">
              <w:rPr>
                <w:rFonts w:ascii="Garamond" w:eastAsia="Times New Roman" w:hAnsi="Garamond" w:cs="Times New Roman"/>
                <w:szCs w:val="20"/>
              </w:rPr>
              <w:t>hr</w:t>
            </w:r>
            <w:proofErr w:type="spellEnd"/>
            <w:r w:rsidRPr="00611F84">
              <w:rPr>
                <w:rFonts w:ascii="Garamond" w:eastAsia="Times New Roman" w:hAnsi="Garamond" w:cs="Times New Roman"/>
                <w:szCs w:val="20"/>
              </w:rPr>
              <w:t xml:space="preserve"> for the essay and scaffolding of source texts</w:t>
            </w:r>
          </w:p>
        </w:tc>
      </w:tr>
      <w:tr w:rsidR="00611F84" w:rsidRPr="00611F84" w14:paraId="137D13B1" w14:textId="77777777" w:rsidTr="00611F84">
        <w:trPr>
          <w:trHeight w:val="1144"/>
        </w:trPr>
        <w:tc>
          <w:tcPr>
            <w:tcW w:w="1620" w:type="dxa"/>
            <w:tcBorders>
              <w:top w:val="nil"/>
              <w:left w:val="single" w:sz="4" w:space="0" w:color="auto"/>
              <w:bottom w:val="single" w:sz="4" w:space="0" w:color="auto"/>
              <w:right w:val="single" w:sz="4" w:space="0" w:color="auto"/>
            </w:tcBorders>
            <w:shd w:val="clear" w:color="auto" w:fill="auto"/>
            <w:hideMark/>
          </w:tcPr>
          <w:p w14:paraId="4858AF2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Niimi &amp; Matsuura (2022)</w:t>
            </w:r>
          </w:p>
        </w:tc>
        <w:tc>
          <w:tcPr>
            <w:tcW w:w="1980" w:type="dxa"/>
            <w:tcBorders>
              <w:top w:val="nil"/>
              <w:left w:val="nil"/>
              <w:bottom w:val="single" w:sz="4" w:space="0" w:color="auto"/>
              <w:right w:val="single" w:sz="4" w:space="0" w:color="auto"/>
            </w:tcBorders>
            <w:shd w:val="clear" w:color="auto" w:fill="auto"/>
            <w:hideMark/>
          </w:tcPr>
          <w:p w14:paraId="0D435DC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p>
        </w:tc>
        <w:tc>
          <w:tcPr>
            <w:tcW w:w="2160" w:type="dxa"/>
            <w:tcBorders>
              <w:top w:val="nil"/>
              <w:left w:val="nil"/>
              <w:bottom w:val="single" w:sz="4" w:space="0" w:color="auto"/>
              <w:right w:val="single" w:sz="4" w:space="0" w:color="auto"/>
            </w:tcBorders>
            <w:shd w:val="clear" w:color="auto" w:fill="auto"/>
            <w:hideMark/>
          </w:tcPr>
          <w:p w14:paraId="6C717E7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L2 students were found to focus too much on reviewing source texts and arranging their thoughts.</w:t>
            </w:r>
          </w:p>
        </w:tc>
        <w:tc>
          <w:tcPr>
            <w:tcW w:w="1530" w:type="dxa"/>
            <w:tcBorders>
              <w:top w:val="nil"/>
              <w:left w:val="nil"/>
              <w:bottom w:val="single" w:sz="4" w:space="0" w:color="auto"/>
              <w:right w:val="single" w:sz="4" w:space="0" w:color="auto"/>
            </w:tcBorders>
            <w:shd w:val="clear" w:color="auto" w:fill="auto"/>
            <w:hideMark/>
          </w:tcPr>
          <w:p w14:paraId="590EBAD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32 high school students</w:t>
            </w:r>
          </w:p>
        </w:tc>
        <w:tc>
          <w:tcPr>
            <w:tcW w:w="1530" w:type="dxa"/>
            <w:tcBorders>
              <w:top w:val="nil"/>
              <w:left w:val="nil"/>
              <w:bottom w:val="single" w:sz="4" w:space="0" w:color="auto"/>
              <w:right w:val="single" w:sz="4" w:space="0" w:color="auto"/>
            </w:tcBorders>
            <w:shd w:val="clear" w:color="auto" w:fill="auto"/>
            <w:hideMark/>
          </w:tcPr>
          <w:p w14:paraId="252352F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Japanese L1</w:t>
            </w:r>
          </w:p>
        </w:tc>
        <w:tc>
          <w:tcPr>
            <w:tcW w:w="1080" w:type="dxa"/>
            <w:tcBorders>
              <w:top w:val="nil"/>
              <w:left w:val="nil"/>
              <w:bottom w:val="single" w:sz="4" w:space="0" w:color="auto"/>
              <w:right w:val="single" w:sz="4" w:space="0" w:color="auto"/>
            </w:tcBorders>
            <w:shd w:val="clear" w:color="auto" w:fill="auto"/>
            <w:hideMark/>
          </w:tcPr>
          <w:p w14:paraId="57331E7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(Japan)</w:t>
            </w:r>
          </w:p>
        </w:tc>
        <w:tc>
          <w:tcPr>
            <w:tcW w:w="1440" w:type="dxa"/>
            <w:tcBorders>
              <w:top w:val="nil"/>
              <w:left w:val="nil"/>
              <w:bottom w:val="single" w:sz="4" w:space="0" w:color="auto"/>
              <w:right w:val="single" w:sz="4" w:space="0" w:color="auto"/>
            </w:tcBorders>
            <w:shd w:val="clear" w:color="auto" w:fill="auto"/>
            <w:hideMark/>
          </w:tcPr>
          <w:p w14:paraId="5F25307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30C158F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047FC33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source-based essay</w:t>
            </w:r>
          </w:p>
        </w:tc>
        <w:tc>
          <w:tcPr>
            <w:tcW w:w="1440" w:type="dxa"/>
            <w:tcBorders>
              <w:top w:val="nil"/>
              <w:left w:val="nil"/>
              <w:bottom w:val="single" w:sz="4" w:space="0" w:color="auto"/>
              <w:right w:val="single" w:sz="4" w:space="0" w:color="auto"/>
            </w:tcBorders>
            <w:shd w:val="clear" w:color="auto" w:fill="auto"/>
            <w:hideMark/>
          </w:tcPr>
          <w:p w14:paraId="3471F97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25 min for writing</w:t>
            </w:r>
          </w:p>
        </w:tc>
      </w:tr>
      <w:tr w:rsidR="00611F84" w:rsidRPr="00611F84" w14:paraId="184E6046"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40693AA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Nikbakht &amp; Miller (2023)</w:t>
            </w:r>
          </w:p>
        </w:tc>
        <w:tc>
          <w:tcPr>
            <w:tcW w:w="1980" w:type="dxa"/>
            <w:tcBorders>
              <w:top w:val="nil"/>
              <w:left w:val="nil"/>
              <w:bottom w:val="single" w:sz="4" w:space="0" w:color="auto"/>
              <w:right w:val="single" w:sz="4" w:space="0" w:color="auto"/>
            </w:tcBorders>
            <w:shd w:val="clear" w:color="auto" w:fill="auto"/>
            <w:hideMark/>
          </w:tcPr>
          <w:p w14:paraId="1FFAF75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Instruction and intervention</w:t>
            </w:r>
            <w:r w:rsidRPr="00611F84">
              <w:rPr>
                <w:rFonts w:ascii="Garamond" w:eastAsia="Times New Roman" w:hAnsi="Garamond" w:cs="Times New Roman"/>
                <w:szCs w:val="20"/>
              </w:rPr>
              <w:br/>
              <w:t>• Effects of reading instruction for synthesis writing</w:t>
            </w:r>
          </w:p>
        </w:tc>
        <w:tc>
          <w:tcPr>
            <w:tcW w:w="2160" w:type="dxa"/>
            <w:tcBorders>
              <w:top w:val="nil"/>
              <w:left w:val="nil"/>
              <w:bottom w:val="single" w:sz="4" w:space="0" w:color="auto"/>
              <w:right w:val="single" w:sz="4" w:space="0" w:color="auto"/>
            </w:tcBorders>
            <w:shd w:val="clear" w:color="auto" w:fill="auto"/>
            <w:hideMark/>
          </w:tcPr>
          <w:p w14:paraId="79EFE86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students in the experimental group showed more awareness of appropriate source use and practices of connecting sources compared to the control group.</w:t>
            </w:r>
          </w:p>
        </w:tc>
        <w:tc>
          <w:tcPr>
            <w:tcW w:w="1530" w:type="dxa"/>
            <w:tcBorders>
              <w:top w:val="nil"/>
              <w:left w:val="nil"/>
              <w:bottom w:val="single" w:sz="4" w:space="0" w:color="auto"/>
              <w:right w:val="single" w:sz="4" w:space="0" w:color="auto"/>
            </w:tcBorders>
            <w:shd w:val="clear" w:color="auto" w:fill="auto"/>
            <w:hideMark/>
          </w:tcPr>
          <w:p w14:paraId="03B36D7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24 under-grads </w:t>
            </w:r>
          </w:p>
        </w:tc>
        <w:tc>
          <w:tcPr>
            <w:tcW w:w="1530" w:type="dxa"/>
            <w:tcBorders>
              <w:top w:val="nil"/>
              <w:left w:val="nil"/>
              <w:bottom w:val="single" w:sz="4" w:space="0" w:color="auto"/>
              <w:right w:val="single" w:sz="4" w:space="0" w:color="auto"/>
            </w:tcBorders>
            <w:shd w:val="clear" w:color="auto" w:fill="auto"/>
            <w:hideMark/>
          </w:tcPr>
          <w:p w14:paraId="157A608B" w14:textId="77777777" w:rsidR="00616096" w:rsidRPr="00611F84" w:rsidRDefault="00616096" w:rsidP="00924822">
            <w:pPr>
              <w:rPr>
                <w:rFonts w:ascii="Garamond"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hideMark/>
          </w:tcPr>
          <w:p w14:paraId="12D67BD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49594AD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Discourse synthesis; appraisal framework</w:t>
            </w:r>
          </w:p>
        </w:tc>
        <w:tc>
          <w:tcPr>
            <w:tcW w:w="990" w:type="dxa"/>
            <w:tcBorders>
              <w:top w:val="nil"/>
              <w:left w:val="nil"/>
              <w:bottom w:val="single" w:sz="4" w:space="0" w:color="auto"/>
              <w:right w:val="single" w:sz="4" w:space="0" w:color="auto"/>
            </w:tcBorders>
            <w:shd w:val="clear" w:color="auto" w:fill="auto"/>
            <w:hideMark/>
          </w:tcPr>
          <w:p w14:paraId="0199A168" w14:textId="77777777" w:rsidR="00616096" w:rsidRPr="00611F84" w:rsidRDefault="00616096" w:rsidP="00924822">
            <w:pPr>
              <w:rPr>
                <w:rFonts w:ascii="Garamond" w:hAnsi="Garamond" w:cs="Times New Roman"/>
                <w:szCs w:val="20"/>
              </w:rPr>
            </w:pPr>
            <w:r w:rsidRPr="00611F84">
              <w:rPr>
                <w:rFonts w:ascii="Garamond" w:eastAsia="Times New Roman" w:hAnsi="Garamond" w:cs="Times New Roman"/>
                <w:szCs w:val="20"/>
              </w:rPr>
              <w:t>MM</w:t>
            </w:r>
          </w:p>
        </w:tc>
        <w:tc>
          <w:tcPr>
            <w:tcW w:w="1440" w:type="dxa"/>
            <w:tcBorders>
              <w:top w:val="nil"/>
              <w:left w:val="nil"/>
              <w:bottom w:val="single" w:sz="4" w:space="0" w:color="auto"/>
              <w:right w:val="single" w:sz="4" w:space="0" w:color="auto"/>
            </w:tcBorders>
            <w:shd w:val="clear" w:color="auto" w:fill="auto"/>
            <w:hideMark/>
          </w:tcPr>
          <w:p w14:paraId="7DD1D13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Two synthesis essays (pre- and posttests)</w:t>
            </w:r>
          </w:p>
        </w:tc>
        <w:tc>
          <w:tcPr>
            <w:tcW w:w="1440" w:type="dxa"/>
            <w:tcBorders>
              <w:top w:val="nil"/>
              <w:left w:val="nil"/>
              <w:bottom w:val="single" w:sz="4" w:space="0" w:color="auto"/>
              <w:right w:val="single" w:sz="4" w:space="0" w:color="auto"/>
            </w:tcBorders>
            <w:shd w:val="clear" w:color="auto" w:fill="auto"/>
            <w:hideMark/>
          </w:tcPr>
          <w:p w14:paraId="755350C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One week with 50 min for writing</w:t>
            </w:r>
          </w:p>
        </w:tc>
      </w:tr>
      <w:tr w:rsidR="00611F84" w:rsidRPr="00611F84" w14:paraId="067E5899"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11D014A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Noor (2021)</w:t>
            </w:r>
          </w:p>
        </w:tc>
        <w:tc>
          <w:tcPr>
            <w:tcW w:w="1980" w:type="dxa"/>
            <w:tcBorders>
              <w:top w:val="nil"/>
              <w:left w:val="nil"/>
              <w:bottom w:val="single" w:sz="4" w:space="0" w:color="auto"/>
              <w:right w:val="single" w:sz="4" w:space="0" w:color="auto"/>
            </w:tcBorders>
            <w:shd w:val="clear" w:color="auto" w:fill="auto"/>
            <w:hideMark/>
          </w:tcPr>
          <w:p w14:paraId="76B51F7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Effects of task orders (a synthesis essay and a gap filling task)</w:t>
            </w:r>
          </w:p>
        </w:tc>
        <w:tc>
          <w:tcPr>
            <w:tcW w:w="2160" w:type="dxa"/>
            <w:tcBorders>
              <w:top w:val="nil"/>
              <w:left w:val="nil"/>
              <w:bottom w:val="single" w:sz="4" w:space="0" w:color="auto"/>
              <w:right w:val="single" w:sz="4" w:space="0" w:color="auto"/>
            </w:tcBorders>
            <w:shd w:val="clear" w:color="auto" w:fill="auto"/>
            <w:hideMark/>
          </w:tcPr>
          <w:p w14:paraId="1D85C99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Task order mattered. A synthesis essay task presented before a gap- filling ta</w:t>
            </w:r>
            <w:r w:rsidRPr="00611F84">
              <w:rPr>
                <w:rFonts w:ascii="Garamond" w:hAnsi="Garamond" w:cs="Times New Roman"/>
                <w:szCs w:val="20"/>
              </w:rPr>
              <w:t>s</w:t>
            </w:r>
            <w:r w:rsidRPr="00611F84">
              <w:rPr>
                <w:rFonts w:ascii="Garamond" w:eastAsia="Times New Roman" w:hAnsi="Garamond" w:cs="Times New Roman"/>
                <w:szCs w:val="20"/>
              </w:rPr>
              <w:t>k led to higher synthesis writing performance.</w:t>
            </w:r>
          </w:p>
        </w:tc>
        <w:tc>
          <w:tcPr>
            <w:tcW w:w="1530" w:type="dxa"/>
            <w:tcBorders>
              <w:top w:val="nil"/>
              <w:left w:val="nil"/>
              <w:bottom w:val="single" w:sz="4" w:space="0" w:color="auto"/>
              <w:right w:val="single" w:sz="4" w:space="0" w:color="auto"/>
            </w:tcBorders>
            <w:shd w:val="clear" w:color="auto" w:fill="auto"/>
            <w:hideMark/>
          </w:tcPr>
          <w:p w14:paraId="30927A5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54 under-grads </w:t>
            </w:r>
          </w:p>
        </w:tc>
        <w:tc>
          <w:tcPr>
            <w:tcW w:w="1530" w:type="dxa"/>
            <w:tcBorders>
              <w:top w:val="nil"/>
              <w:left w:val="nil"/>
              <w:bottom w:val="single" w:sz="4" w:space="0" w:color="auto"/>
              <w:right w:val="single" w:sz="4" w:space="0" w:color="auto"/>
            </w:tcBorders>
            <w:shd w:val="clear" w:color="auto" w:fill="auto"/>
            <w:hideMark/>
          </w:tcPr>
          <w:p w14:paraId="7E6C646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Dari L1</w:t>
            </w:r>
          </w:p>
        </w:tc>
        <w:tc>
          <w:tcPr>
            <w:tcW w:w="1080" w:type="dxa"/>
            <w:tcBorders>
              <w:top w:val="nil"/>
              <w:left w:val="nil"/>
              <w:bottom w:val="single" w:sz="4" w:space="0" w:color="auto"/>
              <w:right w:val="single" w:sz="4" w:space="0" w:color="auto"/>
            </w:tcBorders>
            <w:shd w:val="clear" w:color="auto" w:fill="auto"/>
            <w:hideMark/>
          </w:tcPr>
          <w:p w14:paraId="1F55770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(Afghan-</w:t>
            </w:r>
            <w:proofErr w:type="spellStart"/>
            <w:r w:rsidRPr="00611F84">
              <w:rPr>
                <w:rFonts w:ascii="Garamond" w:eastAsia="Times New Roman" w:hAnsi="Garamond" w:cs="Times New Roman"/>
                <w:szCs w:val="20"/>
              </w:rPr>
              <w:t>istan</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2CC306E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50ECA5D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21A2B50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synthesis essay, gap-filling activity, and a survey</w:t>
            </w:r>
          </w:p>
        </w:tc>
        <w:tc>
          <w:tcPr>
            <w:tcW w:w="1440" w:type="dxa"/>
            <w:tcBorders>
              <w:top w:val="nil"/>
              <w:left w:val="nil"/>
              <w:bottom w:val="single" w:sz="4" w:space="0" w:color="auto"/>
              <w:right w:val="single" w:sz="4" w:space="0" w:color="auto"/>
            </w:tcBorders>
            <w:shd w:val="clear" w:color="auto" w:fill="auto"/>
            <w:hideMark/>
          </w:tcPr>
          <w:p w14:paraId="7A07561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45 min</w:t>
            </w:r>
          </w:p>
        </w:tc>
      </w:tr>
      <w:tr w:rsidR="00611F84" w:rsidRPr="00611F84" w14:paraId="7064F38D" w14:textId="77777777" w:rsidTr="00611F84">
        <w:trPr>
          <w:trHeight w:val="2861"/>
        </w:trPr>
        <w:tc>
          <w:tcPr>
            <w:tcW w:w="1620" w:type="dxa"/>
            <w:tcBorders>
              <w:top w:val="nil"/>
              <w:left w:val="single" w:sz="4" w:space="0" w:color="auto"/>
              <w:bottom w:val="single" w:sz="4" w:space="0" w:color="auto"/>
              <w:right w:val="single" w:sz="4" w:space="0" w:color="auto"/>
            </w:tcBorders>
            <w:shd w:val="clear" w:color="auto" w:fill="auto"/>
            <w:hideMark/>
          </w:tcPr>
          <w:p w14:paraId="3819878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Overstreet et al. (2023)</w:t>
            </w:r>
          </w:p>
        </w:tc>
        <w:tc>
          <w:tcPr>
            <w:tcW w:w="1980" w:type="dxa"/>
            <w:tcBorders>
              <w:top w:val="nil"/>
              <w:left w:val="nil"/>
              <w:bottom w:val="single" w:sz="4" w:space="0" w:color="auto"/>
              <w:right w:val="single" w:sz="4" w:space="0" w:color="auto"/>
            </w:tcBorders>
            <w:shd w:val="clear" w:color="auto" w:fill="auto"/>
            <w:hideMark/>
          </w:tcPr>
          <w:p w14:paraId="4671046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Composing processes</w:t>
            </w:r>
            <w:r w:rsidRPr="00611F84">
              <w:rPr>
                <w:rFonts w:ascii="Garamond" w:eastAsia="Times New Roman" w:hAnsi="Garamond" w:cs="Times New Roman"/>
                <w:szCs w:val="20"/>
              </w:rPr>
              <w:br/>
              <w:t>• Mediating artifacts shaping writing process</w:t>
            </w:r>
          </w:p>
        </w:tc>
        <w:tc>
          <w:tcPr>
            <w:tcW w:w="2160" w:type="dxa"/>
            <w:tcBorders>
              <w:top w:val="nil"/>
              <w:left w:val="nil"/>
              <w:bottom w:val="single" w:sz="4" w:space="0" w:color="auto"/>
              <w:right w:val="single" w:sz="4" w:space="0" w:color="auto"/>
            </w:tcBorders>
            <w:shd w:val="clear" w:color="auto" w:fill="auto"/>
            <w:hideMark/>
          </w:tcPr>
          <w:p w14:paraId="78C2023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One participant engaged in a “brain-bound” writing approach, in which he composed straight from source texts. Another participant engaged in an “extended” approach, in which she formulated coherent prose after transforming her own source notes.</w:t>
            </w:r>
          </w:p>
        </w:tc>
        <w:tc>
          <w:tcPr>
            <w:tcW w:w="1530" w:type="dxa"/>
            <w:tcBorders>
              <w:top w:val="nil"/>
              <w:left w:val="nil"/>
              <w:bottom w:val="single" w:sz="4" w:space="0" w:color="auto"/>
              <w:right w:val="single" w:sz="4" w:space="0" w:color="auto"/>
            </w:tcBorders>
            <w:shd w:val="clear" w:color="auto" w:fill="auto"/>
            <w:hideMark/>
          </w:tcPr>
          <w:p w14:paraId="45DCA17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2 under-grads </w:t>
            </w:r>
          </w:p>
        </w:tc>
        <w:tc>
          <w:tcPr>
            <w:tcW w:w="1530" w:type="dxa"/>
            <w:tcBorders>
              <w:top w:val="nil"/>
              <w:left w:val="nil"/>
              <w:bottom w:val="single" w:sz="4" w:space="0" w:color="auto"/>
              <w:right w:val="single" w:sz="4" w:space="0" w:color="auto"/>
            </w:tcBorders>
            <w:shd w:val="clear" w:color="auto" w:fill="auto"/>
            <w:hideMark/>
          </w:tcPr>
          <w:p w14:paraId="3C2A709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Arabic L1</w:t>
            </w:r>
          </w:p>
        </w:tc>
        <w:tc>
          <w:tcPr>
            <w:tcW w:w="1080" w:type="dxa"/>
            <w:tcBorders>
              <w:top w:val="nil"/>
              <w:left w:val="nil"/>
              <w:bottom w:val="single" w:sz="4" w:space="0" w:color="auto"/>
              <w:right w:val="single" w:sz="4" w:space="0" w:color="auto"/>
            </w:tcBorders>
            <w:shd w:val="clear" w:color="auto" w:fill="auto"/>
            <w:hideMark/>
          </w:tcPr>
          <w:p w14:paraId="432E83C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(UAE)</w:t>
            </w:r>
          </w:p>
        </w:tc>
        <w:tc>
          <w:tcPr>
            <w:tcW w:w="1440" w:type="dxa"/>
            <w:tcBorders>
              <w:top w:val="nil"/>
              <w:left w:val="nil"/>
              <w:bottom w:val="single" w:sz="4" w:space="0" w:color="auto"/>
              <w:right w:val="single" w:sz="4" w:space="0" w:color="auto"/>
            </w:tcBorders>
            <w:shd w:val="clear" w:color="auto" w:fill="auto"/>
            <w:hideMark/>
          </w:tcPr>
          <w:p w14:paraId="6A82869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Vygotsky’s</w:t>
            </w:r>
            <w:r w:rsidRPr="00611F84">
              <w:rPr>
                <w:rFonts w:ascii="Garamond" w:eastAsia="Times New Roman" w:hAnsi="Garamond" w:cs="Times New Roman"/>
                <w:szCs w:val="20"/>
              </w:rPr>
              <w:br/>
              <w:t>mediation</w:t>
            </w:r>
          </w:p>
        </w:tc>
        <w:tc>
          <w:tcPr>
            <w:tcW w:w="990" w:type="dxa"/>
            <w:tcBorders>
              <w:top w:val="nil"/>
              <w:left w:val="nil"/>
              <w:bottom w:val="single" w:sz="4" w:space="0" w:color="auto"/>
              <w:right w:val="single" w:sz="4" w:space="0" w:color="auto"/>
            </w:tcBorders>
            <w:shd w:val="clear" w:color="auto" w:fill="auto"/>
            <w:hideMark/>
          </w:tcPr>
          <w:p w14:paraId="2C714CA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1195A22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argumenta-</w:t>
            </w:r>
            <w:proofErr w:type="spellStart"/>
            <w:r w:rsidRPr="00611F84">
              <w:rPr>
                <w:rFonts w:ascii="Garamond" w:eastAsia="Times New Roman" w:hAnsi="Garamond" w:cs="Times New Roman"/>
                <w:szCs w:val="20"/>
              </w:rPr>
              <w:t>tive</w:t>
            </w:r>
            <w:proofErr w:type="spellEnd"/>
            <w:r w:rsidRPr="00611F84">
              <w:rPr>
                <w:rFonts w:ascii="Garamond" w:eastAsia="Times New Roman" w:hAnsi="Garamond" w:cs="Times New Roman"/>
                <w:szCs w:val="20"/>
              </w:rPr>
              <w:t xml:space="preserve"> essay, research logs, instructor feedback, screen recordings, course materials, and an interview</w:t>
            </w:r>
          </w:p>
        </w:tc>
        <w:tc>
          <w:tcPr>
            <w:tcW w:w="1440" w:type="dxa"/>
            <w:tcBorders>
              <w:top w:val="nil"/>
              <w:left w:val="nil"/>
              <w:bottom w:val="single" w:sz="4" w:space="0" w:color="auto"/>
              <w:right w:val="single" w:sz="4" w:space="0" w:color="auto"/>
            </w:tcBorders>
            <w:shd w:val="clear" w:color="auto" w:fill="auto"/>
            <w:hideMark/>
          </w:tcPr>
          <w:p w14:paraId="347B11C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5 weeks</w:t>
            </w:r>
          </w:p>
        </w:tc>
      </w:tr>
      <w:tr w:rsidR="00611F84" w:rsidRPr="00611F84" w14:paraId="5A427FDC"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6BE04B4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Park &amp; De Costa (2015)</w:t>
            </w:r>
          </w:p>
        </w:tc>
        <w:tc>
          <w:tcPr>
            <w:tcW w:w="1980" w:type="dxa"/>
            <w:tcBorders>
              <w:top w:val="nil"/>
              <w:left w:val="nil"/>
              <w:bottom w:val="single" w:sz="4" w:space="0" w:color="auto"/>
              <w:right w:val="single" w:sz="4" w:space="0" w:color="auto"/>
            </w:tcBorders>
            <w:shd w:val="clear" w:color="auto" w:fill="auto"/>
            <w:hideMark/>
          </w:tcPr>
          <w:p w14:paraId="16B4C19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Writing strategies</w:t>
            </w:r>
          </w:p>
        </w:tc>
        <w:tc>
          <w:tcPr>
            <w:tcW w:w="2160" w:type="dxa"/>
            <w:tcBorders>
              <w:top w:val="nil"/>
              <w:left w:val="nil"/>
              <w:bottom w:val="single" w:sz="4" w:space="0" w:color="auto"/>
              <w:right w:val="single" w:sz="4" w:space="0" w:color="auto"/>
            </w:tcBorders>
            <w:shd w:val="clear" w:color="auto" w:fill="auto"/>
            <w:hideMark/>
          </w:tcPr>
          <w:p w14:paraId="2F731C1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participant used various sociocultural strategies such as artifact-mediated, community-mediated techniques to compose her literature review effectively.</w:t>
            </w:r>
          </w:p>
        </w:tc>
        <w:tc>
          <w:tcPr>
            <w:tcW w:w="1530" w:type="dxa"/>
            <w:tcBorders>
              <w:top w:val="nil"/>
              <w:left w:val="nil"/>
              <w:bottom w:val="single" w:sz="4" w:space="0" w:color="auto"/>
              <w:right w:val="single" w:sz="4" w:space="0" w:color="auto"/>
            </w:tcBorders>
            <w:shd w:val="clear" w:color="auto" w:fill="auto"/>
            <w:hideMark/>
          </w:tcPr>
          <w:p w14:paraId="6E086EB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grad student</w:t>
            </w:r>
          </w:p>
        </w:tc>
        <w:tc>
          <w:tcPr>
            <w:tcW w:w="1530" w:type="dxa"/>
            <w:tcBorders>
              <w:top w:val="nil"/>
              <w:left w:val="nil"/>
              <w:bottom w:val="single" w:sz="4" w:space="0" w:color="auto"/>
              <w:right w:val="single" w:sz="4" w:space="0" w:color="auto"/>
            </w:tcBorders>
            <w:shd w:val="clear" w:color="auto" w:fill="auto"/>
            <w:hideMark/>
          </w:tcPr>
          <w:p w14:paraId="548C920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Nepali L1</w:t>
            </w:r>
          </w:p>
        </w:tc>
        <w:tc>
          <w:tcPr>
            <w:tcW w:w="1080" w:type="dxa"/>
            <w:tcBorders>
              <w:top w:val="nil"/>
              <w:left w:val="nil"/>
              <w:bottom w:val="single" w:sz="4" w:space="0" w:color="auto"/>
              <w:right w:val="single" w:sz="4" w:space="0" w:color="auto"/>
            </w:tcBorders>
            <w:shd w:val="clear" w:color="auto" w:fill="auto"/>
            <w:hideMark/>
          </w:tcPr>
          <w:p w14:paraId="2FCB539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2652860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Activity theory</w:t>
            </w:r>
          </w:p>
        </w:tc>
        <w:tc>
          <w:tcPr>
            <w:tcW w:w="990" w:type="dxa"/>
            <w:tcBorders>
              <w:top w:val="nil"/>
              <w:left w:val="nil"/>
              <w:bottom w:val="single" w:sz="4" w:space="0" w:color="auto"/>
              <w:right w:val="single" w:sz="4" w:space="0" w:color="auto"/>
            </w:tcBorders>
            <w:shd w:val="clear" w:color="auto" w:fill="auto"/>
            <w:hideMark/>
          </w:tcPr>
          <w:p w14:paraId="46ED4B0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186549F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literature review, an interview, two stimulated recalls, and other written assignments</w:t>
            </w:r>
          </w:p>
        </w:tc>
        <w:tc>
          <w:tcPr>
            <w:tcW w:w="1440" w:type="dxa"/>
            <w:tcBorders>
              <w:top w:val="nil"/>
              <w:left w:val="nil"/>
              <w:bottom w:val="single" w:sz="4" w:space="0" w:color="auto"/>
              <w:right w:val="single" w:sz="4" w:space="0" w:color="auto"/>
            </w:tcBorders>
            <w:shd w:val="clear" w:color="auto" w:fill="auto"/>
            <w:hideMark/>
          </w:tcPr>
          <w:p w14:paraId="00D3D94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semester</w:t>
            </w:r>
          </w:p>
        </w:tc>
      </w:tr>
      <w:tr w:rsidR="00611F84" w:rsidRPr="00611F84" w14:paraId="55891607" w14:textId="77777777" w:rsidTr="00611F84">
        <w:trPr>
          <w:trHeight w:val="2575"/>
        </w:trPr>
        <w:tc>
          <w:tcPr>
            <w:tcW w:w="1620" w:type="dxa"/>
            <w:tcBorders>
              <w:top w:val="nil"/>
              <w:left w:val="single" w:sz="4" w:space="0" w:color="auto"/>
              <w:bottom w:val="single" w:sz="4" w:space="0" w:color="auto"/>
              <w:right w:val="single" w:sz="4" w:space="0" w:color="auto"/>
            </w:tcBorders>
            <w:shd w:val="clear" w:color="auto" w:fill="auto"/>
            <w:hideMark/>
          </w:tcPr>
          <w:p w14:paraId="442FEE5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Payant &amp; Maatouk (2022)</w:t>
            </w:r>
          </w:p>
        </w:tc>
        <w:tc>
          <w:tcPr>
            <w:tcW w:w="1980" w:type="dxa"/>
            <w:tcBorders>
              <w:top w:val="nil"/>
              <w:left w:val="nil"/>
              <w:bottom w:val="single" w:sz="4" w:space="0" w:color="auto"/>
              <w:right w:val="single" w:sz="4" w:space="0" w:color="auto"/>
            </w:tcBorders>
            <w:shd w:val="clear" w:color="auto" w:fill="auto"/>
            <w:hideMark/>
          </w:tcPr>
          <w:p w14:paraId="7DD6851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Collaborative writing</w:t>
            </w:r>
          </w:p>
        </w:tc>
        <w:tc>
          <w:tcPr>
            <w:tcW w:w="2160" w:type="dxa"/>
            <w:tcBorders>
              <w:top w:val="nil"/>
              <w:left w:val="nil"/>
              <w:bottom w:val="single" w:sz="4" w:space="0" w:color="auto"/>
              <w:right w:val="single" w:sz="4" w:space="0" w:color="auto"/>
            </w:tcBorders>
            <w:shd w:val="clear" w:color="auto" w:fill="auto"/>
            <w:hideMark/>
          </w:tcPr>
          <w:p w14:paraId="29BCEA9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Although English learners in Quebec, Canada, frequently used their L1s to support their English collaborative writing, only some recognized the value of French knowledge to support their English learning.</w:t>
            </w:r>
          </w:p>
        </w:tc>
        <w:tc>
          <w:tcPr>
            <w:tcW w:w="1530" w:type="dxa"/>
            <w:tcBorders>
              <w:top w:val="nil"/>
              <w:left w:val="nil"/>
              <w:bottom w:val="single" w:sz="4" w:space="0" w:color="auto"/>
              <w:right w:val="single" w:sz="4" w:space="0" w:color="auto"/>
            </w:tcBorders>
            <w:shd w:val="clear" w:color="auto" w:fill="auto"/>
            <w:hideMark/>
          </w:tcPr>
          <w:p w14:paraId="4F80B33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6 adult students</w:t>
            </w:r>
          </w:p>
        </w:tc>
        <w:tc>
          <w:tcPr>
            <w:tcW w:w="1530" w:type="dxa"/>
            <w:tcBorders>
              <w:top w:val="nil"/>
              <w:left w:val="nil"/>
              <w:bottom w:val="single" w:sz="4" w:space="0" w:color="auto"/>
              <w:right w:val="single" w:sz="4" w:space="0" w:color="auto"/>
            </w:tcBorders>
            <w:shd w:val="clear" w:color="auto" w:fill="auto"/>
            <w:hideMark/>
          </w:tcPr>
          <w:p w14:paraId="17692C3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L3</w:t>
            </w:r>
            <w:r w:rsidRPr="00611F84">
              <w:rPr>
                <w:rFonts w:ascii="Garamond" w:eastAsia="Times New Roman" w:hAnsi="Garamond" w:cs="Times New Roman"/>
                <w:szCs w:val="20"/>
              </w:rPr>
              <w:br/>
              <w:t>French L2</w:t>
            </w:r>
            <w:r w:rsidRPr="00611F84">
              <w:rPr>
                <w:rFonts w:ascii="Garamond" w:eastAsia="Times New Roman" w:hAnsi="Garamond" w:cs="Times New Roman"/>
                <w:szCs w:val="20"/>
              </w:rPr>
              <w:br/>
              <w:t>Russian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hideMark/>
          </w:tcPr>
          <w:p w14:paraId="38D0FF0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(Canada)</w:t>
            </w:r>
          </w:p>
        </w:tc>
        <w:tc>
          <w:tcPr>
            <w:tcW w:w="1440" w:type="dxa"/>
            <w:tcBorders>
              <w:top w:val="nil"/>
              <w:left w:val="nil"/>
              <w:bottom w:val="single" w:sz="4" w:space="0" w:color="auto"/>
              <w:right w:val="single" w:sz="4" w:space="0" w:color="auto"/>
            </w:tcBorders>
            <w:shd w:val="clear" w:color="auto" w:fill="auto"/>
            <w:hideMark/>
          </w:tcPr>
          <w:p w14:paraId="44D4CEB1"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Pluralingualism</w:t>
            </w:r>
            <w:proofErr w:type="spellEnd"/>
          </w:p>
        </w:tc>
        <w:tc>
          <w:tcPr>
            <w:tcW w:w="990" w:type="dxa"/>
            <w:tcBorders>
              <w:top w:val="nil"/>
              <w:left w:val="nil"/>
              <w:bottom w:val="single" w:sz="4" w:space="0" w:color="auto"/>
              <w:right w:val="single" w:sz="4" w:space="0" w:color="auto"/>
            </w:tcBorders>
            <w:shd w:val="clear" w:color="auto" w:fill="auto"/>
            <w:hideMark/>
          </w:tcPr>
          <w:p w14:paraId="330A2EA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28AC61A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letter writing task, a semi-structured interview, survey questions, and news articles</w:t>
            </w:r>
          </w:p>
        </w:tc>
        <w:tc>
          <w:tcPr>
            <w:tcW w:w="1440" w:type="dxa"/>
            <w:tcBorders>
              <w:top w:val="nil"/>
              <w:left w:val="nil"/>
              <w:bottom w:val="single" w:sz="4" w:space="0" w:color="auto"/>
              <w:right w:val="single" w:sz="4" w:space="0" w:color="auto"/>
            </w:tcBorders>
            <w:shd w:val="clear" w:color="auto" w:fill="auto"/>
            <w:hideMark/>
          </w:tcPr>
          <w:p w14:paraId="782C461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1.5 weeks</w:t>
            </w:r>
          </w:p>
        </w:tc>
      </w:tr>
      <w:tr w:rsidR="00611F84" w:rsidRPr="00611F84" w14:paraId="10069C72"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hideMark/>
          </w:tcPr>
          <w:p w14:paraId="071EDD3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Payant et al. (2019)</w:t>
            </w:r>
          </w:p>
        </w:tc>
        <w:tc>
          <w:tcPr>
            <w:tcW w:w="1980" w:type="dxa"/>
            <w:tcBorders>
              <w:top w:val="nil"/>
              <w:left w:val="nil"/>
              <w:bottom w:val="single" w:sz="4" w:space="0" w:color="auto"/>
              <w:right w:val="single" w:sz="4" w:space="0" w:color="auto"/>
            </w:tcBorders>
            <w:shd w:val="clear" w:color="auto" w:fill="auto"/>
            <w:hideMark/>
          </w:tcPr>
          <w:p w14:paraId="461861B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Predictors of writing scores </w:t>
            </w:r>
          </w:p>
        </w:tc>
        <w:tc>
          <w:tcPr>
            <w:tcW w:w="2160" w:type="dxa"/>
            <w:tcBorders>
              <w:top w:val="nil"/>
              <w:left w:val="nil"/>
              <w:bottom w:val="single" w:sz="4" w:space="0" w:color="auto"/>
              <w:right w:val="single" w:sz="4" w:space="0" w:color="auto"/>
            </w:tcBorders>
            <w:shd w:val="clear" w:color="auto" w:fill="auto"/>
            <w:hideMark/>
          </w:tcPr>
          <w:p w14:paraId="3068825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Reading scores and writing anxiety significantly predicted integrated writing performance.</w:t>
            </w:r>
          </w:p>
        </w:tc>
        <w:tc>
          <w:tcPr>
            <w:tcW w:w="1530" w:type="dxa"/>
            <w:tcBorders>
              <w:top w:val="nil"/>
              <w:left w:val="nil"/>
              <w:bottom w:val="single" w:sz="4" w:space="0" w:color="auto"/>
              <w:right w:val="single" w:sz="4" w:space="0" w:color="auto"/>
            </w:tcBorders>
            <w:shd w:val="clear" w:color="auto" w:fill="auto"/>
            <w:hideMark/>
          </w:tcPr>
          <w:p w14:paraId="345C2E0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111 under-grads </w:t>
            </w:r>
          </w:p>
        </w:tc>
        <w:tc>
          <w:tcPr>
            <w:tcW w:w="1530" w:type="dxa"/>
            <w:tcBorders>
              <w:top w:val="nil"/>
              <w:left w:val="nil"/>
              <w:bottom w:val="single" w:sz="4" w:space="0" w:color="auto"/>
              <w:right w:val="single" w:sz="4" w:space="0" w:color="auto"/>
            </w:tcBorders>
            <w:shd w:val="clear" w:color="auto" w:fill="auto"/>
            <w:hideMark/>
          </w:tcPr>
          <w:p w14:paraId="4F5F6D4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French L1</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hideMark/>
          </w:tcPr>
          <w:p w14:paraId="1AF044B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(Canada)</w:t>
            </w:r>
          </w:p>
        </w:tc>
        <w:tc>
          <w:tcPr>
            <w:tcW w:w="1440" w:type="dxa"/>
            <w:tcBorders>
              <w:top w:val="nil"/>
              <w:left w:val="nil"/>
              <w:bottom w:val="single" w:sz="4" w:space="0" w:color="auto"/>
              <w:right w:val="single" w:sz="4" w:space="0" w:color="auto"/>
            </w:tcBorders>
            <w:shd w:val="clear" w:color="auto" w:fill="auto"/>
            <w:hideMark/>
          </w:tcPr>
          <w:p w14:paraId="0E88E6F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35124ED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1A66E97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integrated writing task, a questionnaire, and an interview</w:t>
            </w:r>
          </w:p>
        </w:tc>
        <w:tc>
          <w:tcPr>
            <w:tcW w:w="1440" w:type="dxa"/>
            <w:tcBorders>
              <w:top w:val="nil"/>
              <w:left w:val="nil"/>
              <w:bottom w:val="single" w:sz="4" w:space="0" w:color="auto"/>
              <w:right w:val="single" w:sz="4" w:space="0" w:color="auto"/>
            </w:tcBorders>
            <w:shd w:val="clear" w:color="auto" w:fill="auto"/>
            <w:hideMark/>
          </w:tcPr>
          <w:p w14:paraId="79175AE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175 min</w:t>
            </w:r>
          </w:p>
        </w:tc>
      </w:tr>
      <w:tr w:rsidR="00611F84" w:rsidRPr="00611F84" w14:paraId="39C3E707"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tcPr>
          <w:p w14:paraId="68AC7D2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Petrić (2007)</w:t>
            </w:r>
          </w:p>
        </w:tc>
        <w:tc>
          <w:tcPr>
            <w:tcW w:w="1980" w:type="dxa"/>
            <w:tcBorders>
              <w:top w:val="nil"/>
              <w:left w:val="nil"/>
              <w:bottom w:val="single" w:sz="4" w:space="0" w:color="auto"/>
              <w:right w:val="single" w:sz="4" w:space="0" w:color="auto"/>
            </w:tcBorders>
            <w:shd w:val="clear" w:color="auto" w:fill="auto"/>
          </w:tcPr>
          <w:p w14:paraId="3C49524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Citations</w:t>
            </w:r>
          </w:p>
        </w:tc>
        <w:tc>
          <w:tcPr>
            <w:tcW w:w="2160" w:type="dxa"/>
            <w:tcBorders>
              <w:top w:val="nil"/>
              <w:left w:val="nil"/>
              <w:bottom w:val="single" w:sz="4" w:space="0" w:color="auto"/>
              <w:right w:val="single" w:sz="4" w:space="0" w:color="auto"/>
            </w:tcBorders>
            <w:shd w:val="clear" w:color="auto" w:fill="auto"/>
          </w:tcPr>
          <w:p w14:paraId="63E627D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High-rated </w:t>
            </w:r>
            <w:proofErr w:type="spellStart"/>
            <w:r w:rsidRPr="00611F84">
              <w:rPr>
                <w:rFonts w:ascii="Garamond" w:eastAsia="Times New Roman" w:hAnsi="Garamond" w:cs="Times New Roman"/>
                <w:szCs w:val="20"/>
              </w:rPr>
              <w:t>theses</w:t>
            </w:r>
            <w:proofErr w:type="spellEnd"/>
            <w:r w:rsidRPr="00611F84">
              <w:rPr>
                <w:rFonts w:ascii="Garamond" w:eastAsia="Times New Roman" w:hAnsi="Garamond" w:cs="Times New Roman"/>
                <w:szCs w:val="20"/>
              </w:rPr>
              <w:t xml:space="preserve"> included more rhetorically complicated citation functions (e.g., citing for knowledge-transforming purposes) compared to low-rated theses mainly including citations for descriptive functions (e.g., attributions).</w:t>
            </w:r>
          </w:p>
        </w:tc>
        <w:tc>
          <w:tcPr>
            <w:tcW w:w="1530" w:type="dxa"/>
            <w:tcBorders>
              <w:top w:val="nil"/>
              <w:left w:val="nil"/>
              <w:bottom w:val="single" w:sz="4" w:space="0" w:color="auto"/>
              <w:right w:val="single" w:sz="4" w:space="0" w:color="auto"/>
            </w:tcBorders>
            <w:shd w:val="clear" w:color="auto" w:fill="auto"/>
          </w:tcPr>
          <w:p w14:paraId="0F941A5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16 grad students</w:t>
            </w:r>
          </w:p>
        </w:tc>
        <w:tc>
          <w:tcPr>
            <w:tcW w:w="1530" w:type="dxa"/>
            <w:tcBorders>
              <w:top w:val="nil"/>
              <w:left w:val="nil"/>
              <w:bottom w:val="single" w:sz="4" w:space="0" w:color="auto"/>
              <w:right w:val="single" w:sz="4" w:space="0" w:color="auto"/>
            </w:tcBorders>
            <w:shd w:val="clear" w:color="auto" w:fill="auto"/>
          </w:tcPr>
          <w:p w14:paraId="3FC4036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L1s not reported</w:t>
            </w:r>
          </w:p>
        </w:tc>
        <w:tc>
          <w:tcPr>
            <w:tcW w:w="1080" w:type="dxa"/>
            <w:tcBorders>
              <w:top w:val="nil"/>
              <w:left w:val="nil"/>
              <w:bottom w:val="single" w:sz="4" w:space="0" w:color="auto"/>
              <w:right w:val="single" w:sz="4" w:space="0" w:color="auto"/>
            </w:tcBorders>
            <w:shd w:val="clear" w:color="auto" w:fill="auto"/>
          </w:tcPr>
          <w:p w14:paraId="5DC45BC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(Central Europe)</w:t>
            </w:r>
          </w:p>
        </w:tc>
        <w:tc>
          <w:tcPr>
            <w:tcW w:w="1440" w:type="dxa"/>
            <w:tcBorders>
              <w:top w:val="nil"/>
              <w:left w:val="nil"/>
              <w:bottom w:val="single" w:sz="4" w:space="0" w:color="auto"/>
              <w:right w:val="single" w:sz="4" w:space="0" w:color="auto"/>
            </w:tcBorders>
            <w:shd w:val="clear" w:color="auto" w:fill="auto"/>
          </w:tcPr>
          <w:p w14:paraId="5102438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tcPr>
          <w:p w14:paraId="5EE46DA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tcPr>
          <w:p w14:paraId="7C4F659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16 master’s theses</w:t>
            </w:r>
          </w:p>
        </w:tc>
        <w:tc>
          <w:tcPr>
            <w:tcW w:w="1440" w:type="dxa"/>
            <w:tcBorders>
              <w:top w:val="nil"/>
              <w:left w:val="nil"/>
              <w:bottom w:val="single" w:sz="4" w:space="0" w:color="auto"/>
              <w:right w:val="single" w:sz="4" w:space="0" w:color="auto"/>
            </w:tcBorders>
            <w:shd w:val="clear" w:color="auto" w:fill="auto"/>
          </w:tcPr>
          <w:p w14:paraId="0CF8A44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 (collection of theses)</w:t>
            </w:r>
          </w:p>
        </w:tc>
      </w:tr>
      <w:tr w:rsidR="00611F84" w:rsidRPr="00611F84" w14:paraId="1175ED59"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tcPr>
          <w:p w14:paraId="2B82D53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Petrić (2012)</w:t>
            </w:r>
          </w:p>
        </w:tc>
        <w:tc>
          <w:tcPr>
            <w:tcW w:w="1980" w:type="dxa"/>
            <w:tcBorders>
              <w:top w:val="nil"/>
              <w:left w:val="nil"/>
              <w:bottom w:val="single" w:sz="4" w:space="0" w:color="auto"/>
              <w:right w:val="single" w:sz="4" w:space="0" w:color="auto"/>
            </w:tcBorders>
            <w:shd w:val="clear" w:color="auto" w:fill="auto"/>
          </w:tcPr>
          <w:p w14:paraId="553A07A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Direct quotations</w:t>
            </w:r>
          </w:p>
        </w:tc>
        <w:tc>
          <w:tcPr>
            <w:tcW w:w="2160" w:type="dxa"/>
            <w:tcBorders>
              <w:top w:val="nil"/>
              <w:left w:val="nil"/>
              <w:bottom w:val="single" w:sz="4" w:space="0" w:color="auto"/>
              <w:right w:val="single" w:sz="4" w:space="0" w:color="auto"/>
            </w:tcBorders>
            <w:shd w:val="clear" w:color="auto" w:fill="auto"/>
          </w:tcPr>
          <w:p w14:paraId="2E45653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High-rated </w:t>
            </w:r>
            <w:proofErr w:type="spellStart"/>
            <w:r w:rsidRPr="00611F84">
              <w:rPr>
                <w:rFonts w:ascii="Garamond" w:eastAsia="Times New Roman" w:hAnsi="Garamond" w:cs="Times New Roman"/>
                <w:szCs w:val="20"/>
              </w:rPr>
              <w:t>theses</w:t>
            </w:r>
            <w:proofErr w:type="spellEnd"/>
            <w:r w:rsidRPr="00611F84">
              <w:rPr>
                <w:rFonts w:ascii="Garamond" w:eastAsia="Times New Roman" w:hAnsi="Garamond" w:cs="Times New Roman"/>
                <w:szCs w:val="20"/>
              </w:rPr>
              <w:t xml:space="preserve"> included more direct quotations than low-rated ones to preserve original meanings and avoid issues of plagiarism.</w:t>
            </w:r>
          </w:p>
        </w:tc>
        <w:tc>
          <w:tcPr>
            <w:tcW w:w="1530" w:type="dxa"/>
            <w:tcBorders>
              <w:top w:val="nil"/>
              <w:left w:val="nil"/>
              <w:bottom w:val="single" w:sz="4" w:space="0" w:color="auto"/>
              <w:right w:val="single" w:sz="4" w:space="0" w:color="auto"/>
            </w:tcBorders>
            <w:shd w:val="clear" w:color="auto" w:fill="auto"/>
          </w:tcPr>
          <w:p w14:paraId="3749DCD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16 grad students</w:t>
            </w:r>
          </w:p>
        </w:tc>
        <w:tc>
          <w:tcPr>
            <w:tcW w:w="1530" w:type="dxa"/>
            <w:tcBorders>
              <w:top w:val="nil"/>
              <w:left w:val="nil"/>
              <w:bottom w:val="single" w:sz="4" w:space="0" w:color="auto"/>
              <w:right w:val="single" w:sz="4" w:space="0" w:color="auto"/>
            </w:tcBorders>
            <w:shd w:val="clear" w:color="auto" w:fill="auto"/>
          </w:tcPr>
          <w:p w14:paraId="27AA958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Russian L1</w:t>
            </w:r>
            <w:r w:rsidRPr="00611F84">
              <w:rPr>
                <w:rFonts w:ascii="Garamond" w:eastAsia="Times New Roman" w:hAnsi="Garamond" w:cs="Times New Roman"/>
                <w:szCs w:val="20"/>
              </w:rPr>
              <w:br/>
              <w:t>Czech L1</w:t>
            </w:r>
            <w:r w:rsidRPr="00611F84">
              <w:rPr>
                <w:rFonts w:ascii="Garamond" w:eastAsia="Times New Roman" w:hAnsi="Garamond" w:cs="Times New Roman"/>
                <w:szCs w:val="20"/>
              </w:rPr>
              <w:br/>
              <w:t>Hungarian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tcPr>
          <w:p w14:paraId="563718F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(Eastern Europe + Asia)</w:t>
            </w:r>
          </w:p>
        </w:tc>
        <w:tc>
          <w:tcPr>
            <w:tcW w:w="1440" w:type="dxa"/>
            <w:tcBorders>
              <w:top w:val="nil"/>
              <w:left w:val="nil"/>
              <w:bottom w:val="single" w:sz="4" w:space="0" w:color="auto"/>
              <w:right w:val="single" w:sz="4" w:space="0" w:color="auto"/>
            </w:tcBorders>
            <w:shd w:val="clear" w:color="auto" w:fill="auto"/>
          </w:tcPr>
          <w:p w14:paraId="1AC562B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Textual borrowing</w:t>
            </w:r>
          </w:p>
        </w:tc>
        <w:tc>
          <w:tcPr>
            <w:tcW w:w="990" w:type="dxa"/>
            <w:tcBorders>
              <w:top w:val="nil"/>
              <w:left w:val="nil"/>
              <w:bottom w:val="single" w:sz="4" w:space="0" w:color="auto"/>
              <w:right w:val="single" w:sz="4" w:space="0" w:color="auto"/>
            </w:tcBorders>
            <w:shd w:val="clear" w:color="auto" w:fill="auto"/>
          </w:tcPr>
          <w:p w14:paraId="21680B8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tcPr>
          <w:p w14:paraId="2F8EEAB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16 master’s theses</w:t>
            </w:r>
          </w:p>
        </w:tc>
        <w:tc>
          <w:tcPr>
            <w:tcW w:w="1440" w:type="dxa"/>
            <w:tcBorders>
              <w:top w:val="nil"/>
              <w:left w:val="nil"/>
              <w:bottom w:val="single" w:sz="4" w:space="0" w:color="auto"/>
              <w:right w:val="single" w:sz="4" w:space="0" w:color="auto"/>
            </w:tcBorders>
            <w:shd w:val="clear" w:color="auto" w:fill="auto"/>
          </w:tcPr>
          <w:p w14:paraId="18D07DC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 (collection of theses)</w:t>
            </w:r>
          </w:p>
        </w:tc>
      </w:tr>
      <w:tr w:rsidR="00611F84" w:rsidRPr="00611F84" w14:paraId="50EA88B8"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741F2FB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Petrić &amp; Harwood (2013)</w:t>
            </w:r>
          </w:p>
        </w:tc>
        <w:tc>
          <w:tcPr>
            <w:tcW w:w="1980" w:type="dxa"/>
            <w:tcBorders>
              <w:top w:val="nil"/>
              <w:left w:val="nil"/>
              <w:bottom w:val="single" w:sz="4" w:space="0" w:color="auto"/>
              <w:right w:val="single" w:sz="4" w:space="0" w:color="auto"/>
            </w:tcBorders>
            <w:shd w:val="clear" w:color="auto" w:fill="auto"/>
            <w:hideMark/>
          </w:tcPr>
          <w:p w14:paraId="6B759AA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Task representations</w:t>
            </w:r>
          </w:p>
        </w:tc>
        <w:tc>
          <w:tcPr>
            <w:tcW w:w="2160" w:type="dxa"/>
            <w:tcBorders>
              <w:top w:val="nil"/>
              <w:left w:val="nil"/>
              <w:bottom w:val="single" w:sz="4" w:space="0" w:color="auto"/>
              <w:right w:val="single" w:sz="4" w:space="0" w:color="auto"/>
            </w:tcBorders>
            <w:shd w:val="clear" w:color="auto" w:fill="auto"/>
            <w:hideMark/>
          </w:tcPr>
          <w:p w14:paraId="19B9D99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successful L2 grad student engaged in various citation practices (e.g., citing to support arguments or appeal the topic).</w:t>
            </w:r>
          </w:p>
        </w:tc>
        <w:tc>
          <w:tcPr>
            <w:tcW w:w="1530" w:type="dxa"/>
            <w:tcBorders>
              <w:top w:val="nil"/>
              <w:left w:val="nil"/>
              <w:bottom w:val="single" w:sz="4" w:space="0" w:color="auto"/>
              <w:right w:val="single" w:sz="4" w:space="0" w:color="auto"/>
            </w:tcBorders>
            <w:shd w:val="clear" w:color="auto" w:fill="auto"/>
            <w:hideMark/>
          </w:tcPr>
          <w:p w14:paraId="09DD849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grad student</w:t>
            </w:r>
          </w:p>
        </w:tc>
        <w:tc>
          <w:tcPr>
            <w:tcW w:w="1530" w:type="dxa"/>
            <w:tcBorders>
              <w:top w:val="nil"/>
              <w:left w:val="nil"/>
              <w:bottom w:val="single" w:sz="4" w:space="0" w:color="auto"/>
              <w:right w:val="single" w:sz="4" w:space="0" w:color="auto"/>
            </w:tcBorders>
            <w:shd w:val="clear" w:color="auto" w:fill="auto"/>
            <w:hideMark/>
          </w:tcPr>
          <w:p w14:paraId="1234960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L1 not reported</w:t>
            </w:r>
          </w:p>
        </w:tc>
        <w:tc>
          <w:tcPr>
            <w:tcW w:w="1080" w:type="dxa"/>
            <w:tcBorders>
              <w:top w:val="nil"/>
              <w:left w:val="nil"/>
              <w:bottom w:val="single" w:sz="4" w:space="0" w:color="auto"/>
              <w:right w:val="single" w:sz="4" w:space="0" w:color="auto"/>
            </w:tcBorders>
            <w:shd w:val="clear" w:color="auto" w:fill="auto"/>
            <w:hideMark/>
          </w:tcPr>
          <w:p w14:paraId="066C907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(UK)</w:t>
            </w:r>
          </w:p>
        </w:tc>
        <w:tc>
          <w:tcPr>
            <w:tcW w:w="1440" w:type="dxa"/>
            <w:tcBorders>
              <w:top w:val="nil"/>
              <w:left w:val="nil"/>
              <w:bottom w:val="single" w:sz="4" w:space="0" w:color="auto"/>
              <w:right w:val="single" w:sz="4" w:space="0" w:color="auto"/>
            </w:tcBorders>
            <w:shd w:val="clear" w:color="auto" w:fill="auto"/>
            <w:hideMark/>
          </w:tcPr>
          <w:p w14:paraId="0DEE093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7FE4EF87" w14:textId="77777777" w:rsidR="00616096" w:rsidRPr="00611F84" w:rsidRDefault="00616096" w:rsidP="00924822">
            <w:pPr>
              <w:rPr>
                <w:rFonts w:ascii="Garamond" w:hAnsi="Garamond" w:cs="Times New Roman"/>
                <w:szCs w:val="20"/>
              </w:rPr>
            </w:pPr>
            <w:r w:rsidRPr="00611F84">
              <w:rPr>
                <w:rFonts w:ascii="Garamond" w:eastAsia="Times New Roman" w:hAnsi="Garamond" w:cs="Times New Roman"/>
                <w:szCs w:val="20"/>
              </w:rPr>
              <w:t>MM</w:t>
            </w:r>
          </w:p>
        </w:tc>
        <w:tc>
          <w:tcPr>
            <w:tcW w:w="1440" w:type="dxa"/>
            <w:tcBorders>
              <w:top w:val="nil"/>
              <w:left w:val="nil"/>
              <w:bottom w:val="single" w:sz="4" w:space="0" w:color="auto"/>
              <w:right w:val="single" w:sz="4" w:space="0" w:color="auto"/>
            </w:tcBorders>
            <w:shd w:val="clear" w:color="auto" w:fill="auto"/>
            <w:hideMark/>
          </w:tcPr>
          <w:p w14:paraId="0CC5F8B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Two research papers (direct, open) and an interview</w:t>
            </w:r>
          </w:p>
        </w:tc>
        <w:tc>
          <w:tcPr>
            <w:tcW w:w="1440" w:type="dxa"/>
            <w:tcBorders>
              <w:top w:val="nil"/>
              <w:left w:val="nil"/>
              <w:bottom w:val="single" w:sz="4" w:space="0" w:color="auto"/>
              <w:right w:val="single" w:sz="4" w:space="0" w:color="auto"/>
            </w:tcBorders>
            <w:shd w:val="clear" w:color="auto" w:fill="auto"/>
            <w:hideMark/>
          </w:tcPr>
          <w:p w14:paraId="21E45DA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Two modules (semesters)</w:t>
            </w:r>
          </w:p>
        </w:tc>
      </w:tr>
      <w:tr w:rsidR="00611F84" w:rsidRPr="00611F84" w14:paraId="05592031" w14:textId="77777777" w:rsidTr="00611F84">
        <w:trPr>
          <w:trHeight w:val="746"/>
        </w:trPr>
        <w:tc>
          <w:tcPr>
            <w:tcW w:w="1620" w:type="dxa"/>
            <w:tcBorders>
              <w:top w:val="nil"/>
              <w:left w:val="single" w:sz="4" w:space="0" w:color="auto"/>
              <w:bottom w:val="single" w:sz="4" w:space="0" w:color="auto"/>
              <w:right w:val="single" w:sz="4" w:space="0" w:color="auto"/>
            </w:tcBorders>
            <w:shd w:val="clear" w:color="auto" w:fill="auto"/>
          </w:tcPr>
          <w:p w14:paraId="508BD0A3"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Plakans</w:t>
            </w:r>
            <w:proofErr w:type="spellEnd"/>
            <w:r w:rsidRPr="00611F84">
              <w:rPr>
                <w:rFonts w:ascii="Garamond" w:eastAsia="Times New Roman" w:hAnsi="Garamond" w:cs="Times New Roman"/>
                <w:szCs w:val="20"/>
              </w:rPr>
              <w:t xml:space="preserve"> (2009a)</w:t>
            </w:r>
          </w:p>
        </w:tc>
        <w:tc>
          <w:tcPr>
            <w:tcW w:w="1980" w:type="dxa"/>
            <w:tcBorders>
              <w:top w:val="nil"/>
              <w:left w:val="nil"/>
              <w:bottom w:val="single" w:sz="4" w:space="0" w:color="auto"/>
              <w:right w:val="single" w:sz="4" w:space="0" w:color="auto"/>
            </w:tcBorders>
            <w:shd w:val="clear" w:color="auto" w:fill="auto"/>
          </w:tcPr>
          <w:p w14:paraId="1ECFD63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Discourse synthesis</w:t>
            </w:r>
          </w:p>
        </w:tc>
        <w:tc>
          <w:tcPr>
            <w:tcW w:w="2160" w:type="dxa"/>
            <w:tcBorders>
              <w:top w:val="nil"/>
              <w:left w:val="nil"/>
              <w:bottom w:val="single" w:sz="4" w:space="0" w:color="auto"/>
              <w:right w:val="single" w:sz="4" w:space="0" w:color="auto"/>
            </w:tcBorders>
            <w:shd w:val="clear" w:color="auto" w:fill="auto"/>
          </w:tcPr>
          <w:p w14:paraId="265A672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All participants adopted discourse synthesis, yet the degree of discourse synthesis differed accord-</w:t>
            </w:r>
            <w:proofErr w:type="spellStart"/>
            <w:r w:rsidRPr="00611F84">
              <w:rPr>
                <w:rFonts w:ascii="Garamond" w:eastAsia="Times New Roman" w:hAnsi="Garamond" w:cs="Times New Roman"/>
                <w:szCs w:val="20"/>
              </w:rPr>
              <w:t>ing</w:t>
            </w:r>
            <w:proofErr w:type="spellEnd"/>
            <w:r w:rsidRPr="00611F84">
              <w:rPr>
                <w:rFonts w:ascii="Garamond" w:eastAsia="Times New Roman" w:hAnsi="Garamond" w:cs="Times New Roman"/>
                <w:szCs w:val="20"/>
              </w:rPr>
              <w:t xml:space="preserve"> to their L2 proficiency, field of study, prior education, and topics.</w:t>
            </w:r>
          </w:p>
        </w:tc>
        <w:tc>
          <w:tcPr>
            <w:tcW w:w="1530" w:type="dxa"/>
            <w:tcBorders>
              <w:top w:val="nil"/>
              <w:left w:val="nil"/>
              <w:bottom w:val="single" w:sz="4" w:space="0" w:color="auto"/>
              <w:right w:val="single" w:sz="4" w:space="0" w:color="auto"/>
            </w:tcBorders>
            <w:shd w:val="clear" w:color="auto" w:fill="auto"/>
          </w:tcPr>
          <w:p w14:paraId="7535301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6 under-grads and grad students</w:t>
            </w:r>
          </w:p>
        </w:tc>
        <w:tc>
          <w:tcPr>
            <w:tcW w:w="1530" w:type="dxa"/>
            <w:tcBorders>
              <w:top w:val="nil"/>
              <w:left w:val="nil"/>
              <w:bottom w:val="single" w:sz="4" w:space="0" w:color="auto"/>
              <w:right w:val="single" w:sz="4" w:space="0" w:color="auto"/>
            </w:tcBorders>
            <w:shd w:val="clear" w:color="auto" w:fill="auto"/>
          </w:tcPr>
          <w:p w14:paraId="1481ECA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Japanese L1</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tcPr>
          <w:p w14:paraId="5760422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tcPr>
          <w:p w14:paraId="22D654D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Spivey’s discourse synthesis</w:t>
            </w:r>
          </w:p>
        </w:tc>
        <w:tc>
          <w:tcPr>
            <w:tcW w:w="990" w:type="dxa"/>
            <w:tcBorders>
              <w:top w:val="nil"/>
              <w:left w:val="nil"/>
              <w:bottom w:val="single" w:sz="4" w:space="0" w:color="auto"/>
              <w:right w:val="single" w:sz="4" w:space="0" w:color="auto"/>
            </w:tcBorders>
            <w:shd w:val="clear" w:color="auto" w:fill="auto"/>
          </w:tcPr>
          <w:p w14:paraId="138290C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tcPr>
          <w:p w14:paraId="12FA059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integrated writing task, think</w:t>
            </w:r>
            <w:r w:rsidRPr="00611F84">
              <w:rPr>
                <w:rFonts w:ascii="Garamond" w:hAnsi="Garamond" w:cs="Times New Roman"/>
                <w:szCs w:val="20"/>
              </w:rPr>
              <w:t xml:space="preserve"> </w:t>
            </w:r>
            <w:proofErr w:type="spellStart"/>
            <w:r w:rsidRPr="00611F84">
              <w:rPr>
                <w:rFonts w:ascii="Garamond" w:eastAsia="Times New Roman" w:hAnsi="Garamond" w:cs="Times New Roman"/>
                <w:szCs w:val="20"/>
              </w:rPr>
              <w:t>alouds</w:t>
            </w:r>
            <w:proofErr w:type="spellEnd"/>
            <w:r w:rsidRPr="00611F84">
              <w:rPr>
                <w:rFonts w:ascii="Garamond" w:eastAsia="Times New Roman" w:hAnsi="Garamond" w:cs="Times New Roman"/>
                <w:szCs w:val="20"/>
              </w:rPr>
              <w:t>, and two interviews</w:t>
            </w:r>
          </w:p>
        </w:tc>
        <w:tc>
          <w:tcPr>
            <w:tcW w:w="1440" w:type="dxa"/>
            <w:tcBorders>
              <w:top w:val="nil"/>
              <w:left w:val="nil"/>
              <w:bottom w:val="single" w:sz="4" w:space="0" w:color="auto"/>
              <w:right w:val="single" w:sz="4" w:space="0" w:color="auto"/>
            </w:tcBorders>
            <w:shd w:val="clear" w:color="auto" w:fill="auto"/>
          </w:tcPr>
          <w:p w14:paraId="1CB5CBD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Approx. 1 </w:t>
            </w:r>
            <w:proofErr w:type="spellStart"/>
            <w:r w:rsidRPr="00611F84">
              <w:rPr>
                <w:rFonts w:ascii="Garamond" w:eastAsia="Times New Roman" w:hAnsi="Garamond" w:cs="Times New Roman"/>
                <w:szCs w:val="20"/>
              </w:rPr>
              <w:t>hr</w:t>
            </w:r>
            <w:proofErr w:type="spellEnd"/>
            <w:r w:rsidRPr="00611F84">
              <w:rPr>
                <w:rFonts w:ascii="Garamond" w:eastAsia="Times New Roman" w:hAnsi="Garamond" w:cs="Times New Roman"/>
                <w:szCs w:val="20"/>
              </w:rPr>
              <w:t xml:space="preserve"> for writing</w:t>
            </w:r>
          </w:p>
        </w:tc>
      </w:tr>
      <w:tr w:rsidR="00611F84" w:rsidRPr="00611F84" w14:paraId="4976C8E4"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4734B6AA"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Plakans</w:t>
            </w:r>
            <w:proofErr w:type="spellEnd"/>
            <w:r w:rsidRPr="00611F84">
              <w:rPr>
                <w:rFonts w:ascii="Garamond" w:eastAsia="Times New Roman" w:hAnsi="Garamond" w:cs="Times New Roman"/>
                <w:szCs w:val="20"/>
              </w:rPr>
              <w:t xml:space="preserve"> (2009b)</w:t>
            </w:r>
          </w:p>
        </w:tc>
        <w:tc>
          <w:tcPr>
            <w:tcW w:w="1980" w:type="dxa"/>
            <w:tcBorders>
              <w:top w:val="nil"/>
              <w:left w:val="nil"/>
              <w:bottom w:val="single" w:sz="4" w:space="0" w:color="auto"/>
              <w:right w:val="single" w:sz="4" w:space="0" w:color="auto"/>
            </w:tcBorders>
            <w:shd w:val="clear" w:color="auto" w:fill="auto"/>
            <w:hideMark/>
          </w:tcPr>
          <w:p w14:paraId="4C5080C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Reading strategies</w:t>
            </w:r>
          </w:p>
        </w:tc>
        <w:tc>
          <w:tcPr>
            <w:tcW w:w="2160" w:type="dxa"/>
            <w:tcBorders>
              <w:top w:val="nil"/>
              <w:left w:val="nil"/>
              <w:bottom w:val="single" w:sz="4" w:space="0" w:color="auto"/>
              <w:right w:val="single" w:sz="4" w:space="0" w:color="auto"/>
            </w:tcBorders>
            <w:shd w:val="clear" w:color="auto" w:fill="auto"/>
            <w:hideMark/>
          </w:tcPr>
          <w:p w14:paraId="476A520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Reading played a significant role in the performance of integrated writing.</w:t>
            </w:r>
          </w:p>
        </w:tc>
        <w:tc>
          <w:tcPr>
            <w:tcW w:w="1530" w:type="dxa"/>
            <w:tcBorders>
              <w:top w:val="nil"/>
              <w:left w:val="nil"/>
              <w:bottom w:val="single" w:sz="4" w:space="0" w:color="auto"/>
              <w:right w:val="single" w:sz="4" w:space="0" w:color="auto"/>
            </w:tcBorders>
            <w:shd w:val="clear" w:color="auto" w:fill="auto"/>
            <w:hideMark/>
          </w:tcPr>
          <w:p w14:paraId="54D8AAC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12 under-grads and grad students</w:t>
            </w:r>
          </w:p>
        </w:tc>
        <w:tc>
          <w:tcPr>
            <w:tcW w:w="1530" w:type="dxa"/>
            <w:tcBorders>
              <w:top w:val="nil"/>
              <w:left w:val="nil"/>
              <w:bottom w:val="single" w:sz="4" w:space="0" w:color="auto"/>
              <w:right w:val="single" w:sz="4" w:space="0" w:color="auto"/>
            </w:tcBorders>
            <w:shd w:val="clear" w:color="auto" w:fill="auto"/>
            <w:hideMark/>
          </w:tcPr>
          <w:p w14:paraId="171D94C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Japanese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hideMark/>
          </w:tcPr>
          <w:p w14:paraId="64E0638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0F5689A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05EBCF8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4285D55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integrated writing task, think</w:t>
            </w:r>
            <w:r w:rsidRPr="00611F84">
              <w:rPr>
                <w:rFonts w:ascii="Garamond" w:hAnsi="Garamond" w:cs="Times New Roman"/>
                <w:szCs w:val="20"/>
              </w:rPr>
              <w:t xml:space="preserve"> </w:t>
            </w:r>
            <w:proofErr w:type="spellStart"/>
            <w:r w:rsidRPr="00611F84">
              <w:rPr>
                <w:rFonts w:ascii="Garamond" w:eastAsia="Times New Roman" w:hAnsi="Garamond" w:cs="Times New Roman"/>
                <w:szCs w:val="20"/>
              </w:rPr>
              <w:t>alouds</w:t>
            </w:r>
            <w:proofErr w:type="spellEnd"/>
            <w:r w:rsidRPr="00611F84">
              <w:rPr>
                <w:rFonts w:ascii="Garamond" w:eastAsia="Times New Roman" w:hAnsi="Garamond" w:cs="Times New Roman"/>
                <w:szCs w:val="20"/>
              </w:rPr>
              <w:t>, and two interviews</w:t>
            </w:r>
          </w:p>
        </w:tc>
        <w:tc>
          <w:tcPr>
            <w:tcW w:w="1440" w:type="dxa"/>
            <w:tcBorders>
              <w:top w:val="nil"/>
              <w:left w:val="nil"/>
              <w:bottom w:val="single" w:sz="4" w:space="0" w:color="auto"/>
              <w:right w:val="single" w:sz="4" w:space="0" w:color="auto"/>
            </w:tcBorders>
            <w:shd w:val="clear" w:color="auto" w:fill="auto"/>
            <w:hideMark/>
          </w:tcPr>
          <w:p w14:paraId="2356869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r>
      <w:tr w:rsidR="00611F84" w:rsidRPr="00611F84" w14:paraId="353B8D79"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tcPr>
          <w:p w14:paraId="6D05B1D6"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lastRenderedPageBreak/>
              <w:t>Plakans</w:t>
            </w:r>
            <w:proofErr w:type="spellEnd"/>
            <w:r w:rsidRPr="00611F84">
              <w:rPr>
                <w:rFonts w:ascii="Garamond" w:eastAsia="Times New Roman" w:hAnsi="Garamond" w:cs="Times New Roman"/>
                <w:szCs w:val="20"/>
              </w:rPr>
              <w:t xml:space="preserve"> (2010)</w:t>
            </w:r>
          </w:p>
        </w:tc>
        <w:tc>
          <w:tcPr>
            <w:tcW w:w="1980" w:type="dxa"/>
            <w:tcBorders>
              <w:top w:val="nil"/>
              <w:left w:val="nil"/>
              <w:bottom w:val="single" w:sz="4" w:space="0" w:color="auto"/>
              <w:right w:val="single" w:sz="4" w:space="0" w:color="auto"/>
            </w:tcBorders>
            <w:shd w:val="clear" w:color="auto" w:fill="auto"/>
          </w:tcPr>
          <w:p w14:paraId="0E8444D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Task representations</w:t>
            </w:r>
          </w:p>
        </w:tc>
        <w:tc>
          <w:tcPr>
            <w:tcW w:w="2160" w:type="dxa"/>
            <w:tcBorders>
              <w:top w:val="nil"/>
              <w:left w:val="nil"/>
              <w:bottom w:val="single" w:sz="4" w:space="0" w:color="auto"/>
              <w:right w:val="single" w:sz="4" w:space="0" w:color="auto"/>
            </w:tcBorders>
            <w:shd w:val="clear" w:color="auto" w:fill="auto"/>
          </w:tcPr>
          <w:p w14:paraId="0352E8A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task presentations shaped their composing processes. Participants engaged in recursive processes during integrated writing but engaged in linear processes during independent writing.</w:t>
            </w:r>
          </w:p>
        </w:tc>
        <w:tc>
          <w:tcPr>
            <w:tcW w:w="1530" w:type="dxa"/>
            <w:tcBorders>
              <w:top w:val="nil"/>
              <w:left w:val="nil"/>
              <w:bottom w:val="single" w:sz="4" w:space="0" w:color="auto"/>
              <w:right w:val="single" w:sz="4" w:space="0" w:color="auto"/>
            </w:tcBorders>
            <w:shd w:val="clear" w:color="auto" w:fill="auto"/>
          </w:tcPr>
          <w:p w14:paraId="1EB4B0C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10 under-grads and grad students</w:t>
            </w:r>
          </w:p>
        </w:tc>
        <w:tc>
          <w:tcPr>
            <w:tcW w:w="1530" w:type="dxa"/>
            <w:tcBorders>
              <w:top w:val="nil"/>
              <w:left w:val="nil"/>
              <w:bottom w:val="single" w:sz="4" w:space="0" w:color="auto"/>
              <w:right w:val="single" w:sz="4" w:space="0" w:color="auto"/>
            </w:tcBorders>
            <w:shd w:val="clear" w:color="auto" w:fill="auto"/>
          </w:tcPr>
          <w:p w14:paraId="14EF89A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Japanese L1</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tcPr>
          <w:p w14:paraId="4480D31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tcPr>
          <w:p w14:paraId="1D2DEF4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Task representation</w:t>
            </w:r>
          </w:p>
        </w:tc>
        <w:tc>
          <w:tcPr>
            <w:tcW w:w="990" w:type="dxa"/>
            <w:tcBorders>
              <w:top w:val="nil"/>
              <w:left w:val="nil"/>
              <w:bottom w:val="single" w:sz="4" w:space="0" w:color="auto"/>
              <w:right w:val="single" w:sz="4" w:space="0" w:color="auto"/>
            </w:tcBorders>
            <w:shd w:val="clear" w:color="auto" w:fill="auto"/>
          </w:tcPr>
          <w:p w14:paraId="0640F77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tcPr>
          <w:p w14:paraId="0562826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integrated writing task, an independent writing task, and think</w:t>
            </w:r>
            <w:r w:rsidRPr="00611F84">
              <w:rPr>
                <w:rFonts w:ascii="Garamond" w:hAnsi="Garamond" w:cs="Times New Roman"/>
                <w:szCs w:val="20"/>
              </w:rPr>
              <w:t xml:space="preserve"> </w:t>
            </w:r>
            <w:proofErr w:type="spellStart"/>
            <w:r w:rsidRPr="00611F84">
              <w:rPr>
                <w:rFonts w:ascii="Garamond" w:hAnsi="Garamond" w:cs="Times New Roman"/>
                <w:szCs w:val="20"/>
              </w:rPr>
              <w:t>a</w:t>
            </w:r>
            <w:r w:rsidRPr="00611F84">
              <w:rPr>
                <w:rFonts w:ascii="Garamond" w:eastAsia="Times New Roman" w:hAnsi="Garamond" w:cs="Times New Roman"/>
                <w:szCs w:val="20"/>
              </w:rPr>
              <w:t>louds</w:t>
            </w:r>
            <w:proofErr w:type="spellEnd"/>
          </w:p>
        </w:tc>
        <w:tc>
          <w:tcPr>
            <w:tcW w:w="1440" w:type="dxa"/>
            <w:tcBorders>
              <w:top w:val="nil"/>
              <w:left w:val="nil"/>
              <w:bottom w:val="single" w:sz="4" w:space="0" w:color="auto"/>
              <w:right w:val="single" w:sz="4" w:space="0" w:color="auto"/>
            </w:tcBorders>
            <w:shd w:val="clear" w:color="auto" w:fill="auto"/>
          </w:tcPr>
          <w:p w14:paraId="2F323C2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r>
      <w:tr w:rsidR="00611F84" w:rsidRPr="00611F84" w14:paraId="0D80A41B"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48AF2FDA"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Plakans</w:t>
            </w:r>
            <w:proofErr w:type="spellEnd"/>
            <w:r w:rsidRPr="00611F84">
              <w:rPr>
                <w:rFonts w:ascii="Garamond" w:eastAsia="Times New Roman" w:hAnsi="Garamond" w:cs="Times New Roman"/>
                <w:szCs w:val="20"/>
              </w:rPr>
              <w:t xml:space="preserve"> &amp; Gebril (2012)</w:t>
            </w:r>
          </w:p>
        </w:tc>
        <w:tc>
          <w:tcPr>
            <w:tcW w:w="1980" w:type="dxa"/>
            <w:tcBorders>
              <w:top w:val="nil"/>
              <w:left w:val="nil"/>
              <w:bottom w:val="single" w:sz="4" w:space="0" w:color="auto"/>
              <w:right w:val="single" w:sz="4" w:space="0" w:color="auto"/>
            </w:tcBorders>
            <w:shd w:val="clear" w:color="auto" w:fill="auto"/>
            <w:hideMark/>
          </w:tcPr>
          <w:p w14:paraId="03CB905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Functions of source use</w:t>
            </w:r>
          </w:p>
        </w:tc>
        <w:tc>
          <w:tcPr>
            <w:tcW w:w="2160" w:type="dxa"/>
            <w:tcBorders>
              <w:top w:val="nil"/>
              <w:left w:val="nil"/>
              <w:bottom w:val="single" w:sz="4" w:space="0" w:color="auto"/>
              <w:right w:val="single" w:sz="4" w:space="0" w:color="auto"/>
            </w:tcBorders>
            <w:shd w:val="clear" w:color="auto" w:fill="auto"/>
            <w:hideMark/>
          </w:tcPr>
          <w:p w14:paraId="336C504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used source material as a tool to generate ideas and extract topical</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appropriate language.</w:t>
            </w:r>
          </w:p>
        </w:tc>
        <w:tc>
          <w:tcPr>
            <w:tcW w:w="1530" w:type="dxa"/>
            <w:tcBorders>
              <w:top w:val="nil"/>
              <w:left w:val="nil"/>
              <w:bottom w:val="single" w:sz="4" w:space="0" w:color="auto"/>
              <w:right w:val="single" w:sz="4" w:space="0" w:color="auto"/>
            </w:tcBorders>
            <w:shd w:val="clear" w:color="auto" w:fill="auto"/>
            <w:hideMark/>
          </w:tcPr>
          <w:p w14:paraId="5D4FF63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145 under-grads </w:t>
            </w:r>
          </w:p>
        </w:tc>
        <w:tc>
          <w:tcPr>
            <w:tcW w:w="1530" w:type="dxa"/>
            <w:tcBorders>
              <w:top w:val="nil"/>
              <w:left w:val="nil"/>
              <w:bottom w:val="single" w:sz="4" w:space="0" w:color="auto"/>
              <w:right w:val="single" w:sz="4" w:space="0" w:color="auto"/>
            </w:tcBorders>
            <w:shd w:val="clear" w:color="auto" w:fill="auto"/>
            <w:hideMark/>
          </w:tcPr>
          <w:p w14:paraId="5FA4F6E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Arabic L1</w:t>
            </w:r>
          </w:p>
        </w:tc>
        <w:tc>
          <w:tcPr>
            <w:tcW w:w="1080" w:type="dxa"/>
            <w:tcBorders>
              <w:top w:val="nil"/>
              <w:left w:val="nil"/>
              <w:bottom w:val="single" w:sz="4" w:space="0" w:color="auto"/>
              <w:right w:val="single" w:sz="4" w:space="0" w:color="auto"/>
            </w:tcBorders>
            <w:shd w:val="clear" w:color="auto" w:fill="auto"/>
            <w:hideMark/>
          </w:tcPr>
          <w:p w14:paraId="56A0660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(Middle East)</w:t>
            </w:r>
          </w:p>
        </w:tc>
        <w:tc>
          <w:tcPr>
            <w:tcW w:w="1440" w:type="dxa"/>
            <w:tcBorders>
              <w:top w:val="nil"/>
              <w:left w:val="nil"/>
              <w:bottom w:val="single" w:sz="4" w:space="0" w:color="auto"/>
              <w:right w:val="single" w:sz="4" w:space="0" w:color="auto"/>
            </w:tcBorders>
            <w:shd w:val="clear" w:color="auto" w:fill="auto"/>
            <w:hideMark/>
          </w:tcPr>
          <w:p w14:paraId="627765F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198FE13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MM</w:t>
            </w:r>
          </w:p>
        </w:tc>
        <w:tc>
          <w:tcPr>
            <w:tcW w:w="1440" w:type="dxa"/>
            <w:tcBorders>
              <w:top w:val="nil"/>
              <w:left w:val="nil"/>
              <w:bottom w:val="single" w:sz="4" w:space="0" w:color="auto"/>
              <w:right w:val="single" w:sz="4" w:space="0" w:color="auto"/>
            </w:tcBorders>
            <w:shd w:val="clear" w:color="auto" w:fill="auto"/>
            <w:hideMark/>
          </w:tcPr>
          <w:p w14:paraId="3FBFDA1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integrated writing task, think</w:t>
            </w:r>
            <w:r w:rsidRPr="00611F84">
              <w:rPr>
                <w:rFonts w:ascii="Garamond" w:hAnsi="Garamond" w:cs="Times New Roman"/>
                <w:szCs w:val="20"/>
              </w:rPr>
              <w:t xml:space="preserve"> </w:t>
            </w:r>
            <w:proofErr w:type="spellStart"/>
            <w:r w:rsidRPr="00611F84">
              <w:rPr>
                <w:rFonts w:ascii="Garamond" w:eastAsia="Times New Roman" w:hAnsi="Garamond" w:cs="Times New Roman"/>
                <w:szCs w:val="20"/>
              </w:rPr>
              <w:t>alouds</w:t>
            </w:r>
            <w:proofErr w:type="spellEnd"/>
            <w:r w:rsidRPr="00611F84">
              <w:rPr>
                <w:rFonts w:ascii="Garamond" w:eastAsia="Times New Roman" w:hAnsi="Garamond" w:cs="Times New Roman"/>
                <w:szCs w:val="20"/>
              </w:rPr>
              <w:t>, a questionnaire, and an interview</w:t>
            </w:r>
          </w:p>
        </w:tc>
        <w:tc>
          <w:tcPr>
            <w:tcW w:w="1440" w:type="dxa"/>
            <w:tcBorders>
              <w:top w:val="nil"/>
              <w:left w:val="nil"/>
              <w:bottom w:val="single" w:sz="4" w:space="0" w:color="auto"/>
              <w:right w:val="single" w:sz="4" w:space="0" w:color="auto"/>
            </w:tcBorders>
            <w:shd w:val="clear" w:color="auto" w:fill="auto"/>
            <w:hideMark/>
          </w:tcPr>
          <w:p w14:paraId="3E1D84E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r>
      <w:tr w:rsidR="00611F84" w:rsidRPr="00611F84" w14:paraId="780C8AF9"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1B2461E6"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Plakans</w:t>
            </w:r>
            <w:proofErr w:type="spellEnd"/>
            <w:r w:rsidRPr="00611F84">
              <w:rPr>
                <w:rFonts w:ascii="Garamond" w:eastAsia="Times New Roman" w:hAnsi="Garamond" w:cs="Times New Roman"/>
                <w:szCs w:val="20"/>
              </w:rPr>
              <w:t xml:space="preserve"> &amp; Gebril (2013)</w:t>
            </w:r>
          </w:p>
        </w:tc>
        <w:tc>
          <w:tcPr>
            <w:tcW w:w="1980" w:type="dxa"/>
            <w:tcBorders>
              <w:top w:val="nil"/>
              <w:left w:val="nil"/>
              <w:bottom w:val="single" w:sz="4" w:space="0" w:color="auto"/>
              <w:right w:val="single" w:sz="4" w:space="0" w:color="auto"/>
            </w:tcBorders>
            <w:shd w:val="clear" w:color="auto" w:fill="auto"/>
            <w:hideMark/>
          </w:tcPr>
          <w:p w14:paraId="5DCC6FF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Source use</w:t>
            </w:r>
          </w:p>
        </w:tc>
        <w:tc>
          <w:tcPr>
            <w:tcW w:w="2160" w:type="dxa"/>
            <w:tcBorders>
              <w:top w:val="nil"/>
              <w:left w:val="nil"/>
              <w:bottom w:val="single" w:sz="4" w:space="0" w:color="auto"/>
              <w:right w:val="single" w:sz="4" w:space="0" w:color="auto"/>
            </w:tcBorders>
            <w:shd w:val="clear" w:color="auto" w:fill="auto"/>
            <w:hideMark/>
          </w:tcPr>
          <w:p w14:paraId="06F07EE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(e.g., incorporating essential ideas) was the strongest predictor of success in integrated writing.</w:t>
            </w:r>
          </w:p>
        </w:tc>
        <w:tc>
          <w:tcPr>
            <w:tcW w:w="1530" w:type="dxa"/>
            <w:tcBorders>
              <w:top w:val="nil"/>
              <w:left w:val="nil"/>
              <w:bottom w:val="single" w:sz="4" w:space="0" w:color="auto"/>
              <w:right w:val="single" w:sz="4" w:space="0" w:color="auto"/>
            </w:tcBorders>
            <w:shd w:val="clear" w:color="auto" w:fill="auto"/>
            <w:hideMark/>
          </w:tcPr>
          <w:p w14:paraId="533FFB9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480 TOEFL writing samples</w:t>
            </w:r>
          </w:p>
        </w:tc>
        <w:tc>
          <w:tcPr>
            <w:tcW w:w="1530" w:type="dxa"/>
            <w:tcBorders>
              <w:top w:val="nil"/>
              <w:left w:val="nil"/>
              <w:bottom w:val="single" w:sz="4" w:space="0" w:color="auto"/>
              <w:right w:val="single" w:sz="4" w:space="0" w:color="auto"/>
            </w:tcBorders>
            <w:shd w:val="clear" w:color="auto" w:fill="auto"/>
            <w:hideMark/>
          </w:tcPr>
          <w:p w14:paraId="58A2B94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47 L1s</w:t>
            </w:r>
          </w:p>
        </w:tc>
        <w:tc>
          <w:tcPr>
            <w:tcW w:w="1080" w:type="dxa"/>
            <w:tcBorders>
              <w:top w:val="nil"/>
              <w:left w:val="nil"/>
              <w:bottom w:val="single" w:sz="4" w:space="0" w:color="auto"/>
              <w:right w:val="single" w:sz="4" w:space="0" w:color="auto"/>
            </w:tcBorders>
            <w:shd w:val="clear" w:color="auto" w:fill="auto"/>
            <w:hideMark/>
          </w:tcPr>
          <w:p w14:paraId="75A9A25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 (TOEFL)</w:t>
            </w:r>
          </w:p>
        </w:tc>
        <w:tc>
          <w:tcPr>
            <w:tcW w:w="1440" w:type="dxa"/>
            <w:tcBorders>
              <w:top w:val="nil"/>
              <w:left w:val="nil"/>
              <w:bottom w:val="single" w:sz="4" w:space="0" w:color="auto"/>
              <w:right w:val="single" w:sz="4" w:space="0" w:color="auto"/>
            </w:tcBorders>
            <w:shd w:val="clear" w:color="auto" w:fill="auto"/>
            <w:hideMark/>
          </w:tcPr>
          <w:p w14:paraId="07C5D87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4C0F416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004CC7E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TOEFL integrated writing samples</w:t>
            </w:r>
          </w:p>
        </w:tc>
        <w:tc>
          <w:tcPr>
            <w:tcW w:w="1440" w:type="dxa"/>
            <w:tcBorders>
              <w:top w:val="nil"/>
              <w:left w:val="nil"/>
              <w:bottom w:val="single" w:sz="4" w:space="0" w:color="auto"/>
              <w:right w:val="single" w:sz="4" w:space="0" w:color="auto"/>
            </w:tcBorders>
            <w:shd w:val="clear" w:color="auto" w:fill="auto"/>
            <w:hideMark/>
          </w:tcPr>
          <w:p w14:paraId="1C9E180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20 min</w:t>
            </w:r>
          </w:p>
        </w:tc>
      </w:tr>
      <w:tr w:rsidR="00611F84" w:rsidRPr="00611F84" w14:paraId="41816612"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143C7728"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Plakans</w:t>
            </w:r>
            <w:proofErr w:type="spellEnd"/>
            <w:r w:rsidRPr="00611F84">
              <w:rPr>
                <w:rFonts w:ascii="Garamond" w:eastAsia="Times New Roman" w:hAnsi="Garamond" w:cs="Times New Roman"/>
                <w:szCs w:val="20"/>
              </w:rPr>
              <w:t xml:space="preserve"> &amp; Gebril (2017)</w:t>
            </w:r>
          </w:p>
        </w:tc>
        <w:tc>
          <w:tcPr>
            <w:tcW w:w="1980" w:type="dxa"/>
            <w:tcBorders>
              <w:top w:val="nil"/>
              <w:left w:val="nil"/>
              <w:bottom w:val="single" w:sz="4" w:space="0" w:color="auto"/>
              <w:right w:val="single" w:sz="4" w:space="0" w:color="auto"/>
            </w:tcBorders>
            <w:shd w:val="clear" w:color="auto" w:fill="auto"/>
            <w:hideMark/>
          </w:tcPr>
          <w:p w14:paraId="6EB40761" w14:textId="77777777" w:rsidR="00616096" w:rsidRPr="00611F84" w:rsidRDefault="00616096" w:rsidP="00924822">
            <w:pPr>
              <w:spacing w:after="240"/>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Organization and connection</w:t>
            </w:r>
            <w:r w:rsidRPr="00611F84">
              <w:rPr>
                <w:rFonts w:ascii="Garamond" w:eastAsia="Times New Roman" w:hAnsi="Garamond" w:cs="Times New Roman"/>
                <w:szCs w:val="20"/>
              </w:rPr>
              <w:br/>
              <w:t>• Discourse synthesis</w:t>
            </w:r>
          </w:p>
        </w:tc>
        <w:tc>
          <w:tcPr>
            <w:tcW w:w="2160" w:type="dxa"/>
            <w:tcBorders>
              <w:top w:val="nil"/>
              <w:left w:val="nil"/>
              <w:bottom w:val="single" w:sz="4" w:space="0" w:color="auto"/>
              <w:right w:val="single" w:sz="4" w:space="0" w:color="auto"/>
            </w:tcBorders>
            <w:shd w:val="clear" w:color="auto" w:fill="auto"/>
            <w:hideMark/>
          </w:tcPr>
          <w:p w14:paraId="0B8C09E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Organization and connection were good predictors of overall integrated writing scores.</w:t>
            </w:r>
          </w:p>
        </w:tc>
        <w:tc>
          <w:tcPr>
            <w:tcW w:w="1530" w:type="dxa"/>
            <w:tcBorders>
              <w:top w:val="nil"/>
              <w:left w:val="nil"/>
              <w:bottom w:val="single" w:sz="4" w:space="0" w:color="auto"/>
              <w:right w:val="single" w:sz="4" w:space="0" w:color="auto"/>
            </w:tcBorders>
            <w:shd w:val="clear" w:color="auto" w:fill="auto"/>
            <w:hideMark/>
          </w:tcPr>
          <w:p w14:paraId="1663B6F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480 TOEFL writing samples</w:t>
            </w:r>
          </w:p>
        </w:tc>
        <w:tc>
          <w:tcPr>
            <w:tcW w:w="1530" w:type="dxa"/>
            <w:tcBorders>
              <w:top w:val="nil"/>
              <w:left w:val="nil"/>
              <w:bottom w:val="single" w:sz="4" w:space="0" w:color="auto"/>
              <w:right w:val="single" w:sz="4" w:space="0" w:color="auto"/>
            </w:tcBorders>
            <w:shd w:val="clear" w:color="auto" w:fill="auto"/>
            <w:hideMark/>
          </w:tcPr>
          <w:p w14:paraId="0A6EB40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47 L1s</w:t>
            </w:r>
          </w:p>
        </w:tc>
        <w:tc>
          <w:tcPr>
            <w:tcW w:w="1080" w:type="dxa"/>
            <w:tcBorders>
              <w:top w:val="nil"/>
              <w:left w:val="nil"/>
              <w:bottom w:val="single" w:sz="4" w:space="0" w:color="auto"/>
              <w:right w:val="single" w:sz="4" w:space="0" w:color="auto"/>
            </w:tcBorders>
            <w:shd w:val="clear" w:color="auto" w:fill="auto"/>
            <w:hideMark/>
          </w:tcPr>
          <w:p w14:paraId="53FCBD3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 (TOEFL)</w:t>
            </w:r>
          </w:p>
        </w:tc>
        <w:tc>
          <w:tcPr>
            <w:tcW w:w="1440" w:type="dxa"/>
            <w:tcBorders>
              <w:top w:val="nil"/>
              <w:left w:val="nil"/>
              <w:bottom w:val="single" w:sz="4" w:space="0" w:color="auto"/>
              <w:right w:val="single" w:sz="4" w:space="0" w:color="auto"/>
            </w:tcBorders>
            <w:shd w:val="clear" w:color="auto" w:fill="auto"/>
            <w:hideMark/>
          </w:tcPr>
          <w:p w14:paraId="21F3D6E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Spivey’s discourse synthesis</w:t>
            </w:r>
          </w:p>
        </w:tc>
        <w:tc>
          <w:tcPr>
            <w:tcW w:w="990" w:type="dxa"/>
            <w:tcBorders>
              <w:top w:val="nil"/>
              <w:left w:val="nil"/>
              <w:bottom w:val="single" w:sz="4" w:space="0" w:color="auto"/>
              <w:right w:val="single" w:sz="4" w:space="0" w:color="auto"/>
            </w:tcBorders>
            <w:shd w:val="clear" w:color="auto" w:fill="auto"/>
            <w:hideMark/>
          </w:tcPr>
          <w:p w14:paraId="228903D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7D64018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TOEFL integrated writing samples</w:t>
            </w:r>
          </w:p>
        </w:tc>
        <w:tc>
          <w:tcPr>
            <w:tcW w:w="1440" w:type="dxa"/>
            <w:tcBorders>
              <w:top w:val="nil"/>
              <w:left w:val="nil"/>
              <w:bottom w:val="single" w:sz="4" w:space="0" w:color="auto"/>
              <w:right w:val="single" w:sz="4" w:space="0" w:color="auto"/>
            </w:tcBorders>
            <w:shd w:val="clear" w:color="auto" w:fill="auto"/>
            <w:hideMark/>
          </w:tcPr>
          <w:p w14:paraId="009A7B8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20 min</w:t>
            </w:r>
          </w:p>
        </w:tc>
      </w:tr>
      <w:tr w:rsidR="00611F84" w:rsidRPr="00611F84" w14:paraId="46D48F70"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hideMark/>
          </w:tcPr>
          <w:p w14:paraId="1C35A8B1"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lastRenderedPageBreak/>
              <w:t>Plakans</w:t>
            </w:r>
            <w:proofErr w:type="spellEnd"/>
            <w:r w:rsidRPr="00611F84">
              <w:rPr>
                <w:rFonts w:ascii="Garamond" w:eastAsia="Times New Roman" w:hAnsi="Garamond" w:cs="Times New Roman"/>
                <w:szCs w:val="20"/>
              </w:rPr>
              <w:t xml:space="preserve"> et al. (2019)</w:t>
            </w:r>
          </w:p>
        </w:tc>
        <w:tc>
          <w:tcPr>
            <w:tcW w:w="1980" w:type="dxa"/>
            <w:tcBorders>
              <w:top w:val="nil"/>
              <w:left w:val="nil"/>
              <w:bottom w:val="single" w:sz="4" w:space="0" w:color="auto"/>
              <w:right w:val="single" w:sz="4" w:space="0" w:color="auto"/>
            </w:tcBorders>
            <w:shd w:val="clear" w:color="auto" w:fill="auto"/>
            <w:hideMark/>
          </w:tcPr>
          <w:p w14:paraId="51955FA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Composing processes</w:t>
            </w:r>
          </w:p>
        </w:tc>
        <w:tc>
          <w:tcPr>
            <w:tcW w:w="2160" w:type="dxa"/>
            <w:tcBorders>
              <w:top w:val="nil"/>
              <w:left w:val="nil"/>
              <w:bottom w:val="single" w:sz="4" w:space="0" w:color="auto"/>
              <w:right w:val="single" w:sz="4" w:space="0" w:color="auto"/>
            </w:tcBorders>
            <w:shd w:val="clear" w:color="auto" w:fill="auto"/>
            <w:hideMark/>
          </w:tcPr>
          <w:p w14:paraId="6A842D5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Iterative integrated writing involved five main processes: word-level processing, activating background knowledge, metacognitive monitoring, rereading source texts and summarizing.</w:t>
            </w:r>
          </w:p>
        </w:tc>
        <w:tc>
          <w:tcPr>
            <w:tcW w:w="1530" w:type="dxa"/>
            <w:tcBorders>
              <w:top w:val="nil"/>
              <w:left w:val="nil"/>
              <w:bottom w:val="single" w:sz="4" w:space="0" w:color="auto"/>
              <w:right w:val="single" w:sz="4" w:space="0" w:color="auto"/>
            </w:tcBorders>
            <w:shd w:val="clear" w:color="auto" w:fill="auto"/>
            <w:hideMark/>
          </w:tcPr>
          <w:p w14:paraId="6BCD277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11 under-grads and grad students and a visiting scholar</w:t>
            </w:r>
          </w:p>
        </w:tc>
        <w:tc>
          <w:tcPr>
            <w:tcW w:w="1530" w:type="dxa"/>
            <w:tcBorders>
              <w:top w:val="nil"/>
              <w:left w:val="nil"/>
              <w:bottom w:val="single" w:sz="4" w:space="0" w:color="auto"/>
              <w:right w:val="single" w:sz="4" w:space="0" w:color="auto"/>
            </w:tcBorders>
            <w:shd w:val="clear" w:color="auto" w:fill="auto"/>
            <w:hideMark/>
          </w:tcPr>
          <w:p w14:paraId="3870FD6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hideMark/>
          </w:tcPr>
          <w:p w14:paraId="61B5BF7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147F25C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6CD90C3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QL+qt</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5DB5D04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integrated writing task, a think aloud, reading comprehension questions, a questionnaire, and an interview</w:t>
            </w:r>
          </w:p>
        </w:tc>
        <w:tc>
          <w:tcPr>
            <w:tcW w:w="1440" w:type="dxa"/>
            <w:tcBorders>
              <w:top w:val="nil"/>
              <w:left w:val="nil"/>
              <w:bottom w:val="single" w:sz="4" w:space="0" w:color="auto"/>
              <w:right w:val="single" w:sz="4" w:space="0" w:color="auto"/>
            </w:tcBorders>
            <w:shd w:val="clear" w:color="auto" w:fill="auto"/>
            <w:hideMark/>
          </w:tcPr>
          <w:p w14:paraId="23030B4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 (approx. several hours)</w:t>
            </w:r>
          </w:p>
        </w:tc>
      </w:tr>
      <w:tr w:rsidR="00611F84" w:rsidRPr="00611F84" w14:paraId="7B883765"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638FA41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Pomerantz &amp; Kearney (2012)</w:t>
            </w:r>
          </w:p>
        </w:tc>
        <w:tc>
          <w:tcPr>
            <w:tcW w:w="1980" w:type="dxa"/>
            <w:tcBorders>
              <w:top w:val="nil"/>
              <w:left w:val="nil"/>
              <w:bottom w:val="single" w:sz="4" w:space="0" w:color="auto"/>
              <w:right w:val="single" w:sz="4" w:space="0" w:color="auto"/>
            </w:tcBorders>
            <w:shd w:val="clear" w:color="auto" w:fill="auto"/>
            <w:hideMark/>
          </w:tcPr>
          <w:p w14:paraId="1895D4A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Composing processes</w:t>
            </w:r>
          </w:p>
        </w:tc>
        <w:tc>
          <w:tcPr>
            <w:tcW w:w="2160" w:type="dxa"/>
            <w:tcBorders>
              <w:top w:val="nil"/>
              <w:left w:val="nil"/>
              <w:bottom w:val="single" w:sz="4" w:space="0" w:color="auto"/>
              <w:right w:val="single" w:sz="4" w:space="0" w:color="auto"/>
            </w:tcBorders>
            <w:shd w:val="clear" w:color="auto" w:fill="auto"/>
            <w:hideMark/>
          </w:tcPr>
          <w:p w14:paraId="470ADDA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participant’s writing process was largely shaped by her perceptions of what counts as good academic writing and her identity as a writer.</w:t>
            </w:r>
          </w:p>
        </w:tc>
        <w:tc>
          <w:tcPr>
            <w:tcW w:w="1530" w:type="dxa"/>
            <w:tcBorders>
              <w:top w:val="nil"/>
              <w:left w:val="nil"/>
              <w:bottom w:val="single" w:sz="4" w:space="0" w:color="auto"/>
              <w:right w:val="single" w:sz="4" w:space="0" w:color="auto"/>
            </w:tcBorders>
            <w:shd w:val="clear" w:color="auto" w:fill="auto"/>
            <w:hideMark/>
          </w:tcPr>
          <w:p w14:paraId="06E6669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grad student</w:t>
            </w:r>
          </w:p>
        </w:tc>
        <w:tc>
          <w:tcPr>
            <w:tcW w:w="1530" w:type="dxa"/>
            <w:tcBorders>
              <w:top w:val="nil"/>
              <w:left w:val="nil"/>
              <w:bottom w:val="single" w:sz="4" w:space="0" w:color="auto"/>
              <w:right w:val="single" w:sz="4" w:space="0" w:color="auto"/>
            </w:tcBorders>
            <w:shd w:val="clear" w:color="auto" w:fill="auto"/>
            <w:hideMark/>
          </w:tcPr>
          <w:p w14:paraId="4FF9E87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41593AD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1732F06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Narrative theory</w:t>
            </w:r>
          </w:p>
        </w:tc>
        <w:tc>
          <w:tcPr>
            <w:tcW w:w="990" w:type="dxa"/>
            <w:tcBorders>
              <w:top w:val="nil"/>
              <w:left w:val="nil"/>
              <w:bottom w:val="single" w:sz="4" w:space="0" w:color="auto"/>
              <w:right w:val="single" w:sz="4" w:space="0" w:color="auto"/>
            </w:tcBorders>
            <w:shd w:val="clear" w:color="auto" w:fill="auto"/>
            <w:hideMark/>
          </w:tcPr>
          <w:p w14:paraId="183D259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7CD6DB1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Coursework including synthesis essays, interviews, journal entries, video recordings, and diagrams</w:t>
            </w:r>
          </w:p>
        </w:tc>
        <w:tc>
          <w:tcPr>
            <w:tcW w:w="1440" w:type="dxa"/>
            <w:tcBorders>
              <w:top w:val="nil"/>
              <w:left w:val="nil"/>
              <w:bottom w:val="single" w:sz="4" w:space="0" w:color="auto"/>
              <w:right w:val="single" w:sz="4" w:space="0" w:color="auto"/>
            </w:tcBorders>
            <w:shd w:val="clear" w:color="auto" w:fill="auto"/>
            <w:hideMark/>
          </w:tcPr>
          <w:p w14:paraId="59A073D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15 weeks</w:t>
            </w:r>
          </w:p>
        </w:tc>
      </w:tr>
      <w:tr w:rsidR="00611F84" w:rsidRPr="00611F84" w14:paraId="5769370D" w14:textId="77777777" w:rsidTr="00611F84">
        <w:trPr>
          <w:trHeight w:val="2861"/>
        </w:trPr>
        <w:tc>
          <w:tcPr>
            <w:tcW w:w="1620" w:type="dxa"/>
            <w:tcBorders>
              <w:top w:val="nil"/>
              <w:left w:val="single" w:sz="4" w:space="0" w:color="auto"/>
              <w:bottom w:val="single" w:sz="4" w:space="0" w:color="auto"/>
              <w:right w:val="single" w:sz="4" w:space="0" w:color="auto"/>
            </w:tcBorders>
            <w:shd w:val="clear" w:color="auto" w:fill="auto"/>
            <w:hideMark/>
          </w:tcPr>
          <w:p w14:paraId="33C2246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Safari &amp; Ahmadi (2023)</w:t>
            </w:r>
          </w:p>
        </w:tc>
        <w:tc>
          <w:tcPr>
            <w:tcW w:w="1980" w:type="dxa"/>
            <w:tcBorders>
              <w:top w:val="nil"/>
              <w:left w:val="nil"/>
              <w:bottom w:val="single" w:sz="4" w:space="0" w:color="auto"/>
              <w:right w:val="single" w:sz="4" w:space="0" w:color="auto"/>
            </w:tcBorders>
            <w:shd w:val="clear" w:color="auto" w:fill="auto"/>
            <w:hideMark/>
          </w:tcPr>
          <w:p w14:paraId="39FBC09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Feedback</w:t>
            </w:r>
            <w:r w:rsidRPr="00611F84">
              <w:rPr>
                <w:rFonts w:ascii="Garamond" w:eastAsia="Times New Roman" w:hAnsi="Garamond" w:cs="Times New Roman"/>
                <w:szCs w:val="20"/>
              </w:rPr>
              <w:br/>
              <w:t>• Checklist for assessing and providing specific feedback</w:t>
            </w:r>
          </w:p>
        </w:tc>
        <w:tc>
          <w:tcPr>
            <w:tcW w:w="2160" w:type="dxa"/>
            <w:tcBorders>
              <w:top w:val="nil"/>
              <w:left w:val="nil"/>
              <w:bottom w:val="single" w:sz="4" w:space="0" w:color="auto"/>
              <w:right w:val="single" w:sz="4" w:space="0" w:color="auto"/>
            </w:tcBorders>
            <w:shd w:val="clear" w:color="auto" w:fill="auto"/>
            <w:hideMark/>
          </w:tcPr>
          <w:p w14:paraId="0A19132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The diagnostic checklist developed for evaluating students’ integrated writing was also helpful to provide </w:t>
            </w:r>
            <w:proofErr w:type="gramStart"/>
            <w:r w:rsidRPr="00611F84">
              <w:rPr>
                <w:rFonts w:ascii="Garamond" w:eastAsia="Times New Roman" w:hAnsi="Garamond" w:cs="Times New Roman"/>
                <w:szCs w:val="20"/>
              </w:rPr>
              <w:t>students</w:t>
            </w:r>
            <w:proofErr w:type="gramEnd"/>
            <w:r w:rsidRPr="00611F84">
              <w:rPr>
                <w:rFonts w:ascii="Garamond" w:eastAsia="Times New Roman" w:hAnsi="Garamond" w:cs="Times New Roman"/>
                <w:szCs w:val="20"/>
              </w:rPr>
              <w:t xml:space="preserve"> specific feedback.</w:t>
            </w:r>
          </w:p>
        </w:tc>
        <w:tc>
          <w:tcPr>
            <w:tcW w:w="1530" w:type="dxa"/>
            <w:tcBorders>
              <w:top w:val="nil"/>
              <w:left w:val="nil"/>
              <w:bottom w:val="single" w:sz="4" w:space="0" w:color="auto"/>
              <w:right w:val="single" w:sz="4" w:space="0" w:color="auto"/>
            </w:tcBorders>
            <w:shd w:val="clear" w:color="auto" w:fill="auto"/>
            <w:hideMark/>
          </w:tcPr>
          <w:p w14:paraId="7F00FAB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17 L2 students, 4 raters, </w:t>
            </w:r>
          </w:p>
          <w:p w14:paraId="639F0AC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writing experts, and 480 TOEFL writing samples</w:t>
            </w:r>
          </w:p>
        </w:tc>
        <w:tc>
          <w:tcPr>
            <w:tcW w:w="1530" w:type="dxa"/>
            <w:tcBorders>
              <w:top w:val="nil"/>
              <w:left w:val="nil"/>
              <w:bottom w:val="single" w:sz="4" w:space="0" w:color="auto"/>
              <w:right w:val="single" w:sz="4" w:space="0" w:color="auto"/>
            </w:tcBorders>
            <w:shd w:val="clear" w:color="auto" w:fill="auto"/>
            <w:hideMark/>
          </w:tcPr>
          <w:p w14:paraId="676C8AD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17 students:</w:t>
            </w:r>
            <w:r w:rsidRPr="00611F84">
              <w:rPr>
                <w:rFonts w:ascii="Garamond" w:eastAsia="Times New Roman" w:hAnsi="Garamond" w:cs="Times New Roman"/>
                <w:b/>
                <w:bCs/>
                <w:szCs w:val="20"/>
              </w:rPr>
              <w:t xml:space="preserve"> </w:t>
            </w:r>
            <w:r w:rsidRPr="00611F84">
              <w:rPr>
                <w:rFonts w:ascii="Garamond" w:eastAsia="Times New Roman" w:hAnsi="Garamond" w:cs="Times New Roman"/>
                <w:szCs w:val="20"/>
              </w:rPr>
              <w:br/>
              <w:t>English L2</w:t>
            </w:r>
            <w:r w:rsidRPr="00611F84">
              <w:rPr>
                <w:rFonts w:ascii="Garamond" w:eastAsia="Times New Roman" w:hAnsi="Garamond" w:cs="Times New Roman"/>
                <w:szCs w:val="20"/>
              </w:rPr>
              <w:br/>
              <w:t>Persian L1</w:t>
            </w:r>
            <w:r w:rsidRPr="00611F84">
              <w:rPr>
                <w:rFonts w:ascii="Garamond" w:eastAsia="Times New Roman" w:hAnsi="Garamond" w:cs="Times New Roman"/>
                <w:szCs w:val="20"/>
              </w:rPr>
              <w:br/>
            </w:r>
            <w:r w:rsidRPr="00611F84">
              <w:rPr>
                <w:rFonts w:ascii="Garamond" w:eastAsia="Times New Roman" w:hAnsi="Garamond" w:cs="Times New Roman"/>
                <w:szCs w:val="20"/>
              </w:rPr>
              <w:br/>
              <w:t>TOEFL:</w:t>
            </w:r>
            <w:r w:rsidRPr="00611F84">
              <w:rPr>
                <w:rFonts w:ascii="Garamond" w:eastAsia="Times New Roman" w:hAnsi="Garamond" w:cs="Times New Roman"/>
                <w:szCs w:val="20"/>
              </w:rPr>
              <w:b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Japanese L1</w:t>
            </w:r>
            <w:r w:rsidRPr="00611F84">
              <w:rPr>
                <w:rFonts w:ascii="Garamond" w:eastAsia="Times New Roman" w:hAnsi="Garamond" w:cs="Times New Roman"/>
                <w:szCs w:val="20"/>
              </w:rPr>
              <w:br/>
              <w:t>Spanish L1</w:t>
            </w:r>
          </w:p>
        </w:tc>
        <w:tc>
          <w:tcPr>
            <w:tcW w:w="1080" w:type="dxa"/>
            <w:tcBorders>
              <w:top w:val="nil"/>
              <w:left w:val="nil"/>
              <w:bottom w:val="single" w:sz="4" w:space="0" w:color="auto"/>
              <w:right w:val="single" w:sz="4" w:space="0" w:color="auto"/>
            </w:tcBorders>
            <w:shd w:val="clear" w:color="auto" w:fill="auto"/>
            <w:hideMark/>
          </w:tcPr>
          <w:p w14:paraId="4A18510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(Iran)</w:t>
            </w:r>
          </w:p>
        </w:tc>
        <w:tc>
          <w:tcPr>
            <w:tcW w:w="1440" w:type="dxa"/>
            <w:tcBorders>
              <w:top w:val="nil"/>
              <w:left w:val="nil"/>
              <w:bottom w:val="single" w:sz="4" w:space="0" w:color="auto"/>
              <w:right w:val="single" w:sz="4" w:space="0" w:color="auto"/>
            </w:tcBorders>
            <w:shd w:val="clear" w:color="auto" w:fill="auto"/>
            <w:hideMark/>
          </w:tcPr>
          <w:p w14:paraId="21EA108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Cognitive diagnostic assessment models</w:t>
            </w:r>
          </w:p>
        </w:tc>
        <w:tc>
          <w:tcPr>
            <w:tcW w:w="990" w:type="dxa"/>
            <w:tcBorders>
              <w:top w:val="nil"/>
              <w:left w:val="nil"/>
              <w:bottom w:val="single" w:sz="4" w:space="0" w:color="auto"/>
              <w:right w:val="single" w:sz="4" w:space="0" w:color="auto"/>
            </w:tcBorders>
            <w:shd w:val="clear" w:color="auto" w:fill="auto"/>
            <w:hideMark/>
          </w:tcPr>
          <w:p w14:paraId="2B87E1DB" w14:textId="77777777" w:rsidR="00616096" w:rsidRPr="00611F84" w:rsidRDefault="00616096" w:rsidP="00924822">
            <w:pPr>
              <w:rPr>
                <w:rFonts w:ascii="Garamond" w:hAnsi="Garamond" w:cs="Times New Roman"/>
                <w:szCs w:val="20"/>
              </w:rPr>
            </w:pPr>
            <w:r w:rsidRPr="00611F84">
              <w:rPr>
                <w:rFonts w:ascii="Garamond" w:eastAsia="Times New Roman" w:hAnsi="Garamond" w:cs="Times New Roman"/>
                <w:szCs w:val="20"/>
              </w:rPr>
              <w:t>MM</w:t>
            </w:r>
          </w:p>
        </w:tc>
        <w:tc>
          <w:tcPr>
            <w:tcW w:w="1440" w:type="dxa"/>
            <w:tcBorders>
              <w:top w:val="nil"/>
              <w:left w:val="nil"/>
              <w:bottom w:val="single" w:sz="4" w:space="0" w:color="auto"/>
              <w:right w:val="single" w:sz="4" w:space="0" w:color="auto"/>
            </w:tcBorders>
            <w:shd w:val="clear" w:color="auto" w:fill="auto"/>
            <w:hideMark/>
          </w:tcPr>
          <w:p w14:paraId="16F062D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TOEFL writing samples, a checklist, and a questionnaire</w:t>
            </w:r>
          </w:p>
        </w:tc>
        <w:tc>
          <w:tcPr>
            <w:tcW w:w="1440" w:type="dxa"/>
            <w:tcBorders>
              <w:top w:val="nil"/>
              <w:left w:val="nil"/>
              <w:bottom w:val="single" w:sz="4" w:space="0" w:color="auto"/>
              <w:right w:val="single" w:sz="4" w:space="0" w:color="auto"/>
            </w:tcBorders>
            <w:shd w:val="clear" w:color="auto" w:fill="auto"/>
            <w:hideMark/>
          </w:tcPr>
          <w:p w14:paraId="1F0D2C4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20 min for TOEFL integrated writing</w:t>
            </w:r>
          </w:p>
        </w:tc>
      </w:tr>
      <w:tr w:rsidR="00611F84" w:rsidRPr="00611F84" w14:paraId="690CE28A"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7A71C69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Schneider (2022)</w:t>
            </w:r>
          </w:p>
        </w:tc>
        <w:tc>
          <w:tcPr>
            <w:tcW w:w="1980" w:type="dxa"/>
            <w:tcBorders>
              <w:top w:val="nil"/>
              <w:left w:val="nil"/>
              <w:bottom w:val="single" w:sz="4" w:space="0" w:color="auto"/>
              <w:right w:val="single" w:sz="4" w:space="0" w:color="auto"/>
            </w:tcBorders>
            <w:shd w:val="clear" w:color="auto" w:fill="auto"/>
            <w:hideMark/>
          </w:tcPr>
          <w:p w14:paraId="79DC52A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Writing strategies,</w:t>
            </w:r>
            <w:r w:rsidRPr="00611F84">
              <w:rPr>
                <w:rFonts w:ascii="Garamond" w:eastAsia="Times New Roman" w:hAnsi="Garamond" w:cs="Times New Roman"/>
                <w:szCs w:val="20"/>
              </w:rPr>
              <w:br/>
              <w:t>identity</w:t>
            </w:r>
          </w:p>
        </w:tc>
        <w:tc>
          <w:tcPr>
            <w:tcW w:w="2160" w:type="dxa"/>
            <w:tcBorders>
              <w:top w:val="nil"/>
              <w:left w:val="nil"/>
              <w:bottom w:val="single" w:sz="4" w:space="0" w:color="auto"/>
              <w:right w:val="single" w:sz="4" w:space="0" w:color="auto"/>
            </w:tcBorders>
            <w:shd w:val="clear" w:color="auto" w:fill="auto"/>
            <w:hideMark/>
          </w:tcPr>
          <w:p w14:paraId="145C2C7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type and depth of students’ writing strategies were largely shaped by their interests, identities, and their imagined communities.</w:t>
            </w:r>
          </w:p>
        </w:tc>
        <w:tc>
          <w:tcPr>
            <w:tcW w:w="1530" w:type="dxa"/>
            <w:tcBorders>
              <w:top w:val="nil"/>
              <w:left w:val="nil"/>
              <w:bottom w:val="single" w:sz="4" w:space="0" w:color="auto"/>
              <w:right w:val="single" w:sz="4" w:space="0" w:color="auto"/>
            </w:tcBorders>
            <w:shd w:val="clear" w:color="auto" w:fill="auto"/>
            <w:hideMark/>
          </w:tcPr>
          <w:p w14:paraId="2F216EB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7 under-grads </w:t>
            </w:r>
          </w:p>
        </w:tc>
        <w:tc>
          <w:tcPr>
            <w:tcW w:w="1530" w:type="dxa"/>
            <w:tcBorders>
              <w:top w:val="nil"/>
              <w:left w:val="nil"/>
              <w:bottom w:val="single" w:sz="4" w:space="0" w:color="auto"/>
              <w:right w:val="single" w:sz="4" w:space="0" w:color="auto"/>
            </w:tcBorders>
            <w:shd w:val="clear" w:color="auto" w:fill="auto"/>
            <w:hideMark/>
          </w:tcPr>
          <w:p w14:paraId="30A1853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Polish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3F80C9A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4AC3EAD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Sociocultural theory</w:t>
            </w:r>
          </w:p>
        </w:tc>
        <w:tc>
          <w:tcPr>
            <w:tcW w:w="990" w:type="dxa"/>
            <w:tcBorders>
              <w:top w:val="nil"/>
              <w:left w:val="nil"/>
              <w:bottom w:val="single" w:sz="4" w:space="0" w:color="auto"/>
              <w:right w:val="single" w:sz="4" w:space="0" w:color="auto"/>
            </w:tcBorders>
            <w:shd w:val="clear" w:color="auto" w:fill="auto"/>
            <w:hideMark/>
          </w:tcPr>
          <w:p w14:paraId="59164E7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47CE1DA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105 writing samples and 54 interviews</w:t>
            </w:r>
          </w:p>
        </w:tc>
        <w:tc>
          <w:tcPr>
            <w:tcW w:w="1440" w:type="dxa"/>
            <w:tcBorders>
              <w:top w:val="nil"/>
              <w:left w:val="nil"/>
              <w:bottom w:val="single" w:sz="4" w:space="0" w:color="auto"/>
              <w:right w:val="single" w:sz="4" w:space="0" w:color="auto"/>
            </w:tcBorders>
            <w:shd w:val="clear" w:color="auto" w:fill="auto"/>
            <w:hideMark/>
          </w:tcPr>
          <w:p w14:paraId="495550E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4 years</w:t>
            </w:r>
          </w:p>
        </w:tc>
      </w:tr>
      <w:tr w:rsidR="00611F84" w:rsidRPr="00611F84" w14:paraId="277E0FD1" w14:textId="77777777" w:rsidTr="00611F84">
        <w:trPr>
          <w:trHeight w:val="2861"/>
        </w:trPr>
        <w:tc>
          <w:tcPr>
            <w:tcW w:w="1620" w:type="dxa"/>
            <w:tcBorders>
              <w:top w:val="nil"/>
              <w:left w:val="single" w:sz="4" w:space="0" w:color="auto"/>
              <w:bottom w:val="single" w:sz="4" w:space="0" w:color="auto"/>
              <w:right w:val="single" w:sz="4" w:space="0" w:color="auto"/>
            </w:tcBorders>
            <w:shd w:val="clear" w:color="auto" w:fill="auto"/>
            <w:hideMark/>
          </w:tcPr>
          <w:p w14:paraId="2E5BAC5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Seloni (2014)</w:t>
            </w:r>
          </w:p>
        </w:tc>
        <w:tc>
          <w:tcPr>
            <w:tcW w:w="1980" w:type="dxa"/>
            <w:tcBorders>
              <w:top w:val="nil"/>
              <w:left w:val="nil"/>
              <w:bottom w:val="single" w:sz="4" w:space="0" w:color="auto"/>
              <w:right w:val="single" w:sz="4" w:space="0" w:color="auto"/>
            </w:tcBorders>
            <w:shd w:val="clear" w:color="auto" w:fill="auto"/>
            <w:hideMark/>
          </w:tcPr>
          <w:p w14:paraId="0DEE4D4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Identity,</w:t>
            </w:r>
            <w:r w:rsidRPr="00611F84">
              <w:rPr>
                <w:rFonts w:ascii="Garamond" w:eastAsia="Times New Roman" w:hAnsi="Garamond" w:cs="Times New Roman"/>
                <w:szCs w:val="20"/>
              </w:rPr>
              <w:br/>
              <w:t>translingual writing,</w:t>
            </w:r>
            <w:r w:rsidRPr="00611F84">
              <w:rPr>
                <w:rFonts w:ascii="Garamond" w:eastAsia="Times New Roman" w:hAnsi="Garamond" w:cs="Times New Roman"/>
                <w:szCs w:val="20"/>
              </w:rPr>
              <w:br/>
              <w:t>multimodal writing</w:t>
            </w:r>
          </w:p>
        </w:tc>
        <w:tc>
          <w:tcPr>
            <w:tcW w:w="2160" w:type="dxa"/>
            <w:tcBorders>
              <w:top w:val="nil"/>
              <w:left w:val="nil"/>
              <w:bottom w:val="single" w:sz="4" w:space="0" w:color="auto"/>
              <w:right w:val="single" w:sz="4" w:space="0" w:color="auto"/>
            </w:tcBorders>
            <w:shd w:val="clear" w:color="auto" w:fill="auto"/>
            <w:hideMark/>
          </w:tcPr>
          <w:p w14:paraId="0A17A34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The participant’s dual identity as an artist and a scholar influenced the process and product of his thesis writing. </w:t>
            </w:r>
          </w:p>
        </w:tc>
        <w:tc>
          <w:tcPr>
            <w:tcW w:w="1530" w:type="dxa"/>
            <w:tcBorders>
              <w:top w:val="nil"/>
              <w:left w:val="nil"/>
              <w:bottom w:val="single" w:sz="4" w:space="0" w:color="auto"/>
              <w:right w:val="single" w:sz="4" w:space="0" w:color="auto"/>
            </w:tcBorders>
            <w:shd w:val="clear" w:color="auto" w:fill="auto"/>
            <w:hideMark/>
          </w:tcPr>
          <w:p w14:paraId="47E0297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grad student</w:t>
            </w:r>
          </w:p>
        </w:tc>
        <w:tc>
          <w:tcPr>
            <w:tcW w:w="1530" w:type="dxa"/>
            <w:tcBorders>
              <w:top w:val="nil"/>
              <w:left w:val="nil"/>
              <w:bottom w:val="single" w:sz="4" w:space="0" w:color="auto"/>
              <w:right w:val="single" w:sz="4" w:space="0" w:color="auto"/>
            </w:tcBorders>
            <w:shd w:val="clear" w:color="auto" w:fill="auto"/>
            <w:hideMark/>
          </w:tcPr>
          <w:p w14:paraId="7DA2D2E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Spanish L1</w:t>
            </w:r>
          </w:p>
        </w:tc>
        <w:tc>
          <w:tcPr>
            <w:tcW w:w="1080" w:type="dxa"/>
            <w:tcBorders>
              <w:top w:val="nil"/>
              <w:left w:val="nil"/>
              <w:bottom w:val="single" w:sz="4" w:space="0" w:color="auto"/>
              <w:right w:val="single" w:sz="4" w:space="0" w:color="auto"/>
            </w:tcBorders>
            <w:shd w:val="clear" w:color="auto" w:fill="auto"/>
            <w:hideMark/>
          </w:tcPr>
          <w:p w14:paraId="6A81D59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11ECBEE1" w14:textId="77777777" w:rsidR="00616096" w:rsidRPr="00611F84" w:rsidRDefault="00616096" w:rsidP="00924822">
            <w:pPr>
              <w:rPr>
                <w:rFonts w:ascii="Garamond" w:hAnsi="Garamond" w:cs="Times New Roman"/>
                <w:szCs w:val="20"/>
              </w:rPr>
            </w:pPr>
            <w:r w:rsidRPr="00611F84">
              <w:rPr>
                <w:rFonts w:ascii="Garamond" w:eastAsia="Times New Roman" w:hAnsi="Garamond" w:cs="Times New Roman"/>
                <w:szCs w:val="20"/>
              </w:rPr>
              <w:t xml:space="preserve">Activity theory, </w:t>
            </w:r>
            <w:proofErr w:type="spellStart"/>
            <w:r w:rsidRPr="00611F84">
              <w:rPr>
                <w:rFonts w:ascii="Garamond" w:eastAsia="Times New Roman" w:hAnsi="Garamond" w:cs="Times New Roman"/>
                <w:szCs w:val="20"/>
              </w:rPr>
              <w:t>translingual</w:t>
            </w:r>
            <w:r w:rsidRPr="00611F84">
              <w:rPr>
                <w:rFonts w:ascii="Garamond" w:hAnsi="Garamond" w:cs="Times New Roman"/>
                <w:szCs w:val="20"/>
              </w:rPr>
              <w:t>ism</w:t>
            </w:r>
            <w:proofErr w:type="spellEnd"/>
          </w:p>
        </w:tc>
        <w:tc>
          <w:tcPr>
            <w:tcW w:w="990" w:type="dxa"/>
            <w:tcBorders>
              <w:top w:val="nil"/>
              <w:left w:val="nil"/>
              <w:bottom w:val="single" w:sz="4" w:space="0" w:color="auto"/>
              <w:right w:val="single" w:sz="4" w:space="0" w:color="auto"/>
            </w:tcBorders>
            <w:shd w:val="clear" w:color="auto" w:fill="auto"/>
            <w:hideMark/>
          </w:tcPr>
          <w:p w14:paraId="4263853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7EFA9A1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Thesis writing drafts, interviews, researcher journal, conceptual maps, timelines, visual annotated bibliographies, and dual language annotations</w:t>
            </w:r>
          </w:p>
        </w:tc>
        <w:tc>
          <w:tcPr>
            <w:tcW w:w="1440" w:type="dxa"/>
            <w:tcBorders>
              <w:top w:val="nil"/>
              <w:left w:val="nil"/>
              <w:bottom w:val="single" w:sz="4" w:space="0" w:color="auto"/>
              <w:right w:val="single" w:sz="4" w:space="0" w:color="auto"/>
            </w:tcBorders>
            <w:shd w:val="clear" w:color="auto" w:fill="auto"/>
            <w:hideMark/>
          </w:tcPr>
          <w:p w14:paraId="6EF77CD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year</w:t>
            </w:r>
          </w:p>
        </w:tc>
      </w:tr>
      <w:tr w:rsidR="00611F84" w:rsidRPr="00611F84" w14:paraId="0B35B27B"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2A317D3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Shin &amp; Ewert (2015)</w:t>
            </w:r>
          </w:p>
        </w:tc>
        <w:tc>
          <w:tcPr>
            <w:tcW w:w="1980" w:type="dxa"/>
            <w:tcBorders>
              <w:top w:val="nil"/>
              <w:left w:val="nil"/>
              <w:bottom w:val="single" w:sz="4" w:space="0" w:color="auto"/>
              <w:right w:val="single" w:sz="4" w:space="0" w:color="auto"/>
            </w:tcBorders>
            <w:shd w:val="clear" w:color="auto" w:fill="auto"/>
            <w:hideMark/>
          </w:tcPr>
          <w:p w14:paraId="479CD0D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Reading and writing connections</w:t>
            </w:r>
          </w:p>
        </w:tc>
        <w:tc>
          <w:tcPr>
            <w:tcW w:w="2160" w:type="dxa"/>
            <w:tcBorders>
              <w:top w:val="nil"/>
              <w:left w:val="nil"/>
              <w:bottom w:val="single" w:sz="4" w:space="0" w:color="auto"/>
              <w:right w:val="single" w:sz="4" w:space="0" w:color="auto"/>
            </w:tcBorders>
            <w:shd w:val="clear" w:color="auto" w:fill="auto"/>
            <w:hideMark/>
          </w:tcPr>
          <w:p w14:paraId="660399B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The performance of a reading-to-write task highly correlated with both independent reading and writing scores. </w:t>
            </w:r>
          </w:p>
        </w:tc>
        <w:tc>
          <w:tcPr>
            <w:tcW w:w="1530" w:type="dxa"/>
            <w:tcBorders>
              <w:top w:val="nil"/>
              <w:left w:val="nil"/>
              <w:bottom w:val="single" w:sz="4" w:space="0" w:color="auto"/>
              <w:right w:val="single" w:sz="4" w:space="0" w:color="auto"/>
            </w:tcBorders>
            <w:shd w:val="clear" w:color="auto" w:fill="auto"/>
            <w:hideMark/>
          </w:tcPr>
          <w:p w14:paraId="332E1A9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83 undergrad students and 6 ESL instruct-tors</w:t>
            </w:r>
          </w:p>
        </w:tc>
        <w:tc>
          <w:tcPr>
            <w:tcW w:w="1530" w:type="dxa"/>
            <w:tcBorders>
              <w:top w:val="nil"/>
              <w:left w:val="nil"/>
              <w:bottom w:val="single" w:sz="4" w:space="0" w:color="auto"/>
              <w:right w:val="single" w:sz="4" w:space="0" w:color="auto"/>
            </w:tcBorders>
            <w:shd w:val="clear" w:color="auto" w:fill="auto"/>
            <w:hideMark/>
          </w:tcPr>
          <w:p w14:paraId="0ABEE36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Undergrads:</w:t>
            </w:r>
            <w:r w:rsidRPr="00611F84">
              <w:rPr>
                <w:rFonts w:ascii="Garamond" w:eastAsia="Times New Roman" w:hAnsi="Garamond" w:cs="Times New Roman"/>
                <w:szCs w:val="20"/>
              </w:rPr>
              <w:br/>
              <w:t xml:space="preserve">English L2 </w:t>
            </w:r>
            <w:r w:rsidRPr="00611F84">
              <w:rPr>
                <w:rFonts w:ascii="Garamond" w:eastAsia="Times New Roman" w:hAnsi="Garamond" w:cs="Times New Roman"/>
                <w:szCs w:val="20"/>
              </w:rPr>
              <w:br/>
              <w:t>L1s not reported</w:t>
            </w:r>
          </w:p>
        </w:tc>
        <w:tc>
          <w:tcPr>
            <w:tcW w:w="1080" w:type="dxa"/>
            <w:tcBorders>
              <w:top w:val="nil"/>
              <w:left w:val="nil"/>
              <w:bottom w:val="single" w:sz="4" w:space="0" w:color="auto"/>
              <w:right w:val="single" w:sz="4" w:space="0" w:color="auto"/>
            </w:tcBorders>
            <w:shd w:val="clear" w:color="auto" w:fill="auto"/>
            <w:hideMark/>
          </w:tcPr>
          <w:p w14:paraId="5826CA5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632E843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Generalizability </w:t>
            </w:r>
          </w:p>
        </w:tc>
        <w:tc>
          <w:tcPr>
            <w:tcW w:w="990" w:type="dxa"/>
            <w:tcBorders>
              <w:top w:val="nil"/>
              <w:left w:val="nil"/>
              <w:bottom w:val="single" w:sz="4" w:space="0" w:color="auto"/>
              <w:right w:val="single" w:sz="4" w:space="0" w:color="auto"/>
            </w:tcBorders>
            <w:shd w:val="clear" w:color="auto" w:fill="auto"/>
            <w:hideMark/>
          </w:tcPr>
          <w:p w14:paraId="0A9211F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20C6D84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reading-to-write task, an independent writing task, an independent reading, and a developed rubric</w:t>
            </w:r>
          </w:p>
        </w:tc>
        <w:tc>
          <w:tcPr>
            <w:tcW w:w="1440" w:type="dxa"/>
            <w:tcBorders>
              <w:top w:val="nil"/>
              <w:left w:val="nil"/>
              <w:bottom w:val="single" w:sz="4" w:space="0" w:color="auto"/>
              <w:right w:val="single" w:sz="4" w:space="0" w:color="auto"/>
            </w:tcBorders>
            <w:shd w:val="clear" w:color="auto" w:fill="auto"/>
            <w:hideMark/>
          </w:tcPr>
          <w:p w14:paraId="0763656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40 min for a reading-to-write task</w:t>
            </w:r>
          </w:p>
        </w:tc>
      </w:tr>
      <w:tr w:rsidR="00611F84" w:rsidRPr="00611F84" w14:paraId="08F4F6F3"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hideMark/>
          </w:tcPr>
          <w:p w14:paraId="260CC38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Stapleton (2010)</w:t>
            </w:r>
          </w:p>
        </w:tc>
        <w:tc>
          <w:tcPr>
            <w:tcW w:w="1980" w:type="dxa"/>
            <w:tcBorders>
              <w:top w:val="nil"/>
              <w:left w:val="nil"/>
              <w:bottom w:val="single" w:sz="4" w:space="0" w:color="auto"/>
              <w:right w:val="single" w:sz="4" w:space="0" w:color="auto"/>
            </w:tcBorders>
            <w:shd w:val="clear" w:color="auto" w:fill="auto"/>
            <w:hideMark/>
          </w:tcPr>
          <w:p w14:paraId="52B6817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Composing processes</w:t>
            </w:r>
            <w:r w:rsidRPr="00611F84">
              <w:rPr>
                <w:rFonts w:ascii="Garamond" w:eastAsia="Times New Roman" w:hAnsi="Garamond" w:cs="Times New Roman"/>
                <w:szCs w:val="20"/>
              </w:rPr>
              <w:br/>
              <w:t>• Time allotment</w:t>
            </w:r>
          </w:p>
        </w:tc>
        <w:tc>
          <w:tcPr>
            <w:tcW w:w="2160" w:type="dxa"/>
            <w:tcBorders>
              <w:top w:val="nil"/>
              <w:left w:val="nil"/>
              <w:bottom w:val="single" w:sz="4" w:space="0" w:color="auto"/>
              <w:right w:val="single" w:sz="4" w:space="0" w:color="auto"/>
            </w:tcBorders>
            <w:shd w:val="clear" w:color="auto" w:fill="auto"/>
            <w:hideMark/>
          </w:tcPr>
          <w:p w14:paraId="3E908CA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More time was spent on preparation for writing—researching (24%) and planning (18%)—compared to the actual writing process (33%), which was followed by revising (11%).</w:t>
            </w:r>
          </w:p>
        </w:tc>
        <w:tc>
          <w:tcPr>
            <w:tcW w:w="1530" w:type="dxa"/>
            <w:tcBorders>
              <w:top w:val="nil"/>
              <w:left w:val="nil"/>
              <w:bottom w:val="single" w:sz="4" w:space="0" w:color="auto"/>
              <w:right w:val="single" w:sz="4" w:space="0" w:color="auto"/>
            </w:tcBorders>
            <w:shd w:val="clear" w:color="auto" w:fill="auto"/>
            <w:hideMark/>
          </w:tcPr>
          <w:p w14:paraId="4A70391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grad student</w:t>
            </w:r>
          </w:p>
        </w:tc>
        <w:tc>
          <w:tcPr>
            <w:tcW w:w="1530" w:type="dxa"/>
            <w:tcBorders>
              <w:top w:val="nil"/>
              <w:left w:val="nil"/>
              <w:bottom w:val="single" w:sz="4" w:space="0" w:color="auto"/>
              <w:right w:val="single" w:sz="4" w:space="0" w:color="auto"/>
            </w:tcBorders>
            <w:shd w:val="clear" w:color="auto" w:fill="auto"/>
            <w:hideMark/>
          </w:tcPr>
          <w:p w14:paraId="4E4ABBB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241104B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(HK)</w:t>
            </w:r>
          </w:p>
        </w:tc>
        <w:tc>
          <w:tcPr>
            <w:tcW w:w="1440" w:type="dxa"/>
            <w:tcBorders>
              <w:top w:val="nil"/>
              <w:left w:val="nil"/>
              <w:bottom w:val="single" w:sz="4" w:space="0" w:color="auto"/>
              <w:right w:val="single" w:sz="4" w:space="0" w:color="auto"/>
            </w:tcBorders>
            <w:shd w:val="clear" w:color="auto" w:fill="auto"/>
            <w:hideMark/>
          </w:tcPr>
          <w:p w14:paraId="3BEEF67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5972E59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MM</w:t>
            </w:r>
          </w:p>
        </w:tc>
        <w:tc>
          <w:tcPr>
            <w:tcW w:w="1440" w:type="dxa"/>
            <w:tcBorders>
              <w:top w:val="nil"/>
              <w:left w:val="nil"/>
              <w:bottom w:val="single" w:sz="4" w:space="0" w:color="auto"/>
              <w:right w:val="single" w:sz="4" w:space="0" w:color="auto"/>
            </w:tcBorders>
            <w:shd w:val="clear" w:color="auto" w:fill="auto"/>
            <w:hideMark/>
          </w:tcPr>
          <w:p w14:paraId="27DF877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critique essay (4,000 words), a log, a questionnaire, and interviews</w:t>
            </w:r>
          </w:p>
        </w:tc>
        <w:tc>
          <w:tcPr>
            <w:tcW w:w="1440" w:type="dxa"/>
            <w:tcBorders>
              <w:top w:val="nil"/>
              <w:left w:val="nil"/>
              <w:bottom w:val="single" w:sz="4" w:space="0" w:color="auto"/>
              <w:right w:val="single" w:sz="4" w:space="0" w:color="auto"/>
            </w:tcBorders>
            <w:shd w:val="clear" w:color="auto" w:fill="auto"/>
            <w:hideMark/>
          </w:tcPr>
          <w:p w14:paraId="455C820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 weeks</w:t>
            </w:r>
          </w:p>
        </w:tc>
      </w:tr>
      <w:tr w:rsidR="00611F84" w:rsidRPr="00611F84" w14:paraId="1FCEBF11"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38B288C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Sun &amp; Soden (2021)</w:t>
            </w:r>
          </w:p>
        </w:tc>
        <w:tc>
          <w:tcPr>
            <w:tcW w:w="1980" w:type="dxa"/>
            <w:tcBorders>
              <w:top w:val="nil"/>
              <w:left w:val="nil"/>
              <w:bottom w:val="single" w:sz="4" w:space="0" w:color="auto"/>
              <w:right w:val="single" w:sz="4" w:space="0" w:color="auto"/>
            </w:tcBorders>
            <w:shd w:val="clear" w:color="auto" w:fill="auto"/>
            <w:hideMark/>
          </w:tcPr>
          <w:p w14:paraId="3436964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Feedback</w:t>
            </w:r>
            <w:r w:rsidRPr="00611F84">
              <w:rPr>
                <w:rFonts w:ascii="Garamond" w:eastAsia="Times New Roman" w:hAnsi="Garamond" w:cs="Times New Roman"/>
                <w:szCs w:val="20"/>
              </w:rPr>
              <w:br/>
              <w:t>• Learner engagement and uptake</w:t>
            </w:r>
            <w:r w:rsidRPr="00611F84">
              <w:rPr>
                <w:rFonts w:ascii="Garamond" w:eastAsia="Times New Roman" w:hAnsi="Garamond" w:cs="Times New Roman"/>
                <w:szCs w:val="20"/>
              </w:rPr>
              <w:br/>
              <w:t>• Source use and integration</w:t>
            </w:r>
          </w:p>
        </w:tc>
        <w:tc>
          <w:tcPr>
            <w:tcW w:w="2160" w:type="dxa"/>
            <w:tcBorders>
              <w:top w:val="nil"/>
              <w:left w:val="nil"/>
              <w:bottom w:val="single" w:sz="4" w:space="0" w:color="auto"/>
              <w:right w:val="single" w:sz="4" w:space="0" w:color="auto"/>
            </w:tcBorders>
            <w:shd w:val="clear" w:color="auto" w:fill="auto"/>
            <w:hideMark/>
          </w:tcPr>
          <w:p w14:paraId="2D302D6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High learner engagement with feedback led to significant improvement in source use skills</w:t>
            </w:r>
          </w:p>
        </w:tc>
        <w:tc>
          <w:tcPr>
            <w:tcW w:w="1530" w:type="dxa"/>
            <w:tcBorders>
              <w:top w:val="nil"/>
              <w:left w:val="nil"/>
              <w:bottom w:val="single" w:sz="4" w:space="0" w:color="auto"/>
              <w:right w:val="single" w:sz="4" w:space="0" w:color="auto"/>
            </w:tcBorders>
            <w:shd w:val="clear" w:color="auto" w:fill="auto"/>
            <w:hideMark/>
          </w:tcPr>
          <w:p w14:paraId="2C49F1A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grad students</w:t>
            </w:r>
          </w:p>
        </w:tc>
        <w:tc>
          <w:tcPr>
            <w:tcW w:w="1530" w:type="dxa"/>
            <w:tcBorders>
              <w:top w:val="nil"/>
              <w:left w:val="nil"/>
              <w:bottom w:val="single" w:sz="4" w:space="0" w:color="auto"/>
              <w:right w:val="single" w:sz="4" w:space="0" w:color="auto"/>
            </w:tcBorders>
            <w:shd w:val="clear" w:color="auto" w:fill="auto"/>
            <w:hideMark/>
          </w:tcPr>
          <w:p w14:paraId="2BC8607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4129BC6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(UK)</w:t>
            </w:r>
          </w:p>
        </w:tc>
        <w:tc>
          <w:tcPr>
            <w:tcW w:w="1440" w:type="dxa"/>
            <w:tcBorders>
              <w:top w:val="nil"/>
              <w:left w:val="nil"/>
              <w:bottom w:val="single" w:sz="4" w:space="0" w:color="auto"/>
              <w:right w:val="single" w:sz="4" w:space="0" w:color="auto"/>
            </w:tcBorders>
            <w:shd w:val="clear" w:color="auto" w:fill="auto"/>
            <w:hideMark/>
          </w:tcPr>
          <w:p w14:paraId="792D88F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62EC6BD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QL+qt</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22F2A1A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literature review of a thesis, supervisor feedback, interviews, and other written artifacts</w:t>
            </w:r>
          </w:p>
        </w:tc>
        <w:tc>
          <w:tcPr>
            <w:tcW w:w="1440" w:type="dxa"/>
            <w:tcBorders>
              <w:top w:val="nil"/>
              <w:left w:val="nil"/>
              <w:bottom w:val="single" w:sz="4" w:space="0" w:color="auto"/>
              <w:right w:val="single" w:sz="4" w:space="0" w:color="auto"/>
            </w:tcBorders>
            <w:shd w:val="clear" w:color="auto" w:fill="auto"/>
            <w:hideMark/>
          </w:tcPr>
          <w:p w14:paraId="512F54A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year</w:t>
            </w:r>
          </w:p>
        </w:tc>
      </w:tr>
      <w:tr w:rsidR="00611F84" w:rsidRPr="00611F84" w14:paraId="391823A3" w14:textId="77777777" w:rsidTr="00611F84">
        <w:trPr>
          <w:trHeight w:val="1144"/>
        </w:trPr>
        <w:tc>
          <w:tcPr>
            <w:tcW w:w="1620" w:type="dxa"/>
            <w:tcBorders>
              <w:top w:val="nil"/>
              <w:left w:val="single" w:sz="4" w:space="0" w:color="auto"/>
              <w:bottom w:val="single" w:sz="4" w:space="0" w:color="auto"/>
              <w:right w:val="single" w:sz="4" w:space="0" w:color="auto"/>
            </w:tcBorders>
            <w:shd w:val="clear" w:color="auto" w:fill="auto"/>
            <w:hideMark/>
          </w:tcPr>
          <w:p w14:paraId="5984BE7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Tywoniw &amp; Crossley (2019)</w:t>
            </w:r>
          </w:p>
        </w:tc>
        <w:tc>
          <w:tcPr>
            <w:tcW w:w="1980" w:type="dxa"/>
            <w:tcBorders>
              <w:top w:val="nil"/>
              <w:left w:val="nil"/>
              <w:bottom w:val="single" w:sz="4" w:space="0" w:color="auto"/>
              <w:right w:val="single" w:sz="4" w:space="0" w:color="auto"/>
            </w:tcBorders>
            <w:shd w:val="clear" w:color="auto" w:fill="auto"/>
            <w:hideMark/>
          </w:tcPr>
          <w:p w14:paraId="548B225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Cohesive features</w:t>
            </w:r>
          </w:p>
        </w:tc>
        <w:tc>
          <w:tcPr>
            <w:tcW w:w="2160" w:type="dxa"/>
            <w:tcBorders>
              <w:top w:val="nil"/>
              <w:left w:val="nil"/>
              <w:bottom w:val="single" w:sz="4" w:space="0" w:color="auto"/>
              <w:right w:val="single" w:sz="4" w:space="0" w:color="auto"/>
            </w:tcBorders>
            <w:shd w:val="clear" w:color="auto" w:fill="auto"/>
            <w:hideMark/>
          </w:tcPr>
          <w:p w14:paraId="78B2026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Cohesive features were a good predictor of L2 writing performance.</w:t>
            </w:r>
          </w:p>
        </w:tc>
        <w:tc>
          <w:tcPr>
            <w:tcW w:w="1530" w:type="dxa"/>
            <w:tcBorders>
              <w:top w:val="nil"/>
              <w:left w:val="nil"/>
              <w:bottom w:val="single" w:sz="4" w:space="0" w:color="auto"/>
              <w:right w:val="single" w:sz="4" w:space="0" w:color="auto"/>
            </w:tcBorders>
            <w:shd w:val="clear" w:color="auto" w:fill="auto"/>
            <w:hideMark/>
          </w:tcPr>
          <w:p w14:paraId="60141C1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480 TOEFL writing samples</w:t>
            </w:r>
          </w:p>
        </w:tc>
        <w:tc>
          <w:tcPr>
            <w:tcW w:w="1530" w:type="dxa"/>
            <w:tcBorders>
              <w:top w:val="nil"/>
              <w:left w:val="nil"/>
              <w:bottom w:val="single" w:sz="4" w:space="0" w:color="auto"/>
              <w:right w:val="single" w:sz="4" w:space="0" w:color="auto"/>
            </w:tcBorders>
            <w:shd w:val="clear" w:color="auto" w:fill="auto"/>
            <w:hideMark/>
          </w:tcPr>
          <w:p w14:paraId="7E86680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L1s not reported</w:t>
            </w:r>
          </w:p>
        </w:tc>
        <w:tc>
          <w:tcPr>
            <w:tcW w:w="1080" w:type="dxa"/>
            <w:tcBorders>
              <w:top w:val="nil"/>
              <w:left w:val="nil"/>
              <w:bottom w:val="single" w:sz="4" w:space="0" w:color="auto"/>
              <w:right w:val="single" w:sz="4" w:space="0" w:color="auto"/>
            </w:tcBorders>
            <w:shd w:val="clear" w:color="auto" w:fill="auto"/>
            <w:hideMark/>
          </w:tcPr>
          <w:p w14:paraId="055103C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 (TOEFL)</w:t>
            </w:r>
          </w:p>
        </w:tc>
        <w:tc>
          <w:tcPr>
            <w:tcW w:w="1440" w:type="dxa"/>
            <w:tcBorders>
              <w:top w:val="nil"/>
              <w:left w:val="nil"/>
              <w:bottom w:val="single" w:sz="4" w:space="0" w:color="auto"/>
              <w:right w:val="single" w:sz="4" w:space="0" w:color="auto"/>
            </w:tcBorders>
            <w:shd w:val="clear" w:color="auto" w:fill="auto"/>
            <w:hideMark/>
          </w:tcPr>
          <w:p w14:paraId="100A7DC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7D86F8C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3E02D5D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Integrated writing samples and </w:t>
            </w:r>
            <w:proofErr w:type="spellStart"/>
            <w:r w:rsidRPr="00611F84">
              <w:rPr>
                <w:rFonts w:ascii="Garamond" w:eastAsia="Times New Roman" w:hAnsi="Garamond" w:cs="Times New Roman"/>
                <w:szCs w:val="20"/>
              </w:rPr>
              <w:t>indepen</w:t>
            </w:r>
            <w:proofErr w:type="spellEnd"/>
            <w:r w:rsidRPr="00611F84">
              <w:rPr>
                <w:rFonts w:ascii="Garamond" w:eastAsia="Times New Roman" w:hAnsi="Garamond" w:cs="Times New Roman"/>
                <w:szCs w:val="20"/>
              </w:rPr>
              <w:t>-dent writing samples</w:t>
            </w:r>
          </w:p>
        </w:tc>
        <w:tc>
          <w:tcPr>
            <w:tcW w:w="1440" w:type="dxa"/>
            <w:tcBorders>
              <w:top w:val="nil"/>
              <w:left w:val="nil"/>
              <w:bottom w:val="single" w:sz="4" w:space="0" w:color="auto"/>
              <w:right w:val="single" w:sz="4" w:space="0" w:color="auto"/>
            </w:tcBorders>
            <w:shd w:val="clear" w:color="auto" w:fill="auto"/>
            <w:hideMark/>
          </w:tcPr>
          <w:p w14:paraId="0DD17F9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 (TESOL samples)</w:t>
            </w:r>
          </w:p>
        </w:tc>
      </w:tr>
      <w:tr w:rsidR="00611F84" w:rsidRPr="00611F84" w14:paraId="2DC3E21F" w14:textId="77777777" w:rsidTr="00611F84">
        <w:trPr>
          <w:trHeight w:val="1448"/>
        </w:trPr>
        <w:tc>
          <w:tcPr>
            <w:tcW w:w="1620" w:type="dxa"/>
            <w:tcBorders>
              <w:top w:val="nil"/>
              <w:left w:val="single" w:sz="4" w:space="0" w:color="auto"/>
              <w:bottom w:val="single" w:sz="4" w:space="0" w:color="auto"/>
              <w:right w:val="single" w:sz="4" w:space="0" w:color="auto"/>
            </w:tcBorders>
            <w:shd w:val="clear" w:color="auto" w:fill="auto"/>
          </w:tcPr>
          <w:p w14:paraId="6E1BFA01"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Uludag</w:t>
            </w:r>
            <w:proofErr w:type="spellEnd"/>
            <w:r w:rsidRPr="00611F84">
              <w:rPr>
                <w:rFonts w:ascii="Garamond" w:eastAsia="Times New Roman" w:hAnsi="Garamond" w:cs="Times New Roman"/>
                <w:szCs w:val="20"/>
              </w:rPr>
              <w:t xml:space="preserve"> et al. (2019)</w:t>
            </w:r>
          </w:p>
        </w:tc>
        <w:tc>
          <w:tcPr>
            <w:tcW w:w="1980" w:type="dxa"/>
            <w:tcBorders>
              <w:top w:val="nil"/>
              <w:left w:val="nil"/>
              <w:bottom w:val="single" w:sz="4" w:space="0" w:color="auto"/>
              <w:right w:val="single" w:sz="4" w:space="0" w:color="auto"/>
            </w:tcBorders>
            <w:shd w:val="clear" w:color="auto" w:fill="auto"/>
          </w:tcPr>
          <w:p w14:paraId="4252F7B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Source use</w:t>
            </w:r>
          </w:p>
        </w:tc>
        <w:tc>
          <w:tcPr>
            <w:tcW w:w="2160" w:type="dxa"/>
            <w:tcBorders>
              <w:top w:val="nil"/>
              <w:left w:val="nil"/>
              <w:bottom w:val="single" w:sz="4" w:space="0" w:color="auto"/>
              <w:right w:val="single" w:sz="4" w:space="0" w:color="auto"/>
            </w:tcBorders>
            <w:shd w:val="clear" w:color="auto" w:fill="auto"/>
          </w:tcPr>
          <w:p w14:paraId="03F705C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accuracy of source content and the extent to which source ideas were incorporated predicted overall integrated writing performance.</w:t>
            </w:r>
          </w:p>
        </w:tc>
        <w:tc>
          <w:tcPr>
            <w:tcW w:w="1530" w:type="dxa"/>
            <w:tcBorders>
              <w:top w:val="nil"/>
              <w:left w:val="nil"/>
              <w:bottom w:val="single" w:sz="4" w:space="0" w:color="auto"/>
              <w:right w:val="single" w:sz="4" w:space="0" w:color="auto"/>
            </w:tcBorders>
            <w:shd w:val="clear" w:color="auto" w:fill="auto"/>
          </w:tcPr>
          <w:p w14:paraId="36A536E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111 under-grads </w:t>
            </w:r>
          </w:p>
        </w:tc>
        <w:tc>
          <w:tcPr>
            <w:tcW w:w="1530" w:type="dxa"/>
            <w:tcBorders>
              <w:top w:val="nil"/>
              <w:left w:val="nil"/>
              <w:bottom w:val="single" w:sz="4" w:space="0" w:color="auto"/>
              <w:right w:val="single" w:sz="4" w:space="0" w:color="auto"/>
            </w:tcBorders>
            <w:shd w:val="clear" w:color="auto" w:fill="auto"/>
          </w:tcPr>
          <w:p w14:paraId="7B38EC3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French L1</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tcPr>
          <w:p w14:paraId="51CA530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(Canada)</w:t>
            </w:r>
          </w:p>
        </w:tc>
        <w:tc>
          <w:tcPr>
            <w:tcW w:w="1440" w:type="dxa"/>
            <w:tcBorders>
              <w:top w:val="nil"/>
              <w:left w:val="nil"/>
              <w:bottom w:val="single" w:sz="4" w:space="0" w:color="auto"/>
              <w:right w:val="single" w:sz="4" w:space="0" w:color="auto"/>
            </w:tcBorders>
            <w:shd w:val="clear" w:color="auto" w:fill="auto"/>
          </w:tcPr>
          <w:p w14:paraId="59DFAF4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tcPr>
          <w:p w14:paraId="7553DCB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tcPr>
          <w:p w14:paraId="2D46E22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Canadian Academic English Language (CAEL) integrated writing task and a questionnaire</w:t>
            </w:r>
          </w:p>
        </w:tc>
        <w:tc>
          <w:tcPr>
            <w:tcW w:w="1440" w:type="dxa"/>
            <w:tcBorders>
              <w:top w:val="nil"/>
              <w:left w:val="nil"/>
              <w:bottom w:val="single" w:sz="4" w:space="0" w:color="auto"/>
              <w:right w:val="single" w:sz="4" w:space="0" w:color="auto"/>
            </w:tcBorders>
            <w:shd w:val="clear" w:color="auto" w:fill="auto"/>
          </w:tcPr>
          <w:p w14:paraId="135E8FE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55 min </w:t>
            </w:r>
          </w:p>
        </w:tc>
      </w:tr>
      <w:tr w:rsidR="00611F84" w:rsidRPr="00611F84" w14:paraId="0D836FF8" w14:textId="77777777" w:rsidTr="00611F84">
        <w:trPr>
          <w:trHeight w:val="2575"/>
        </w:trPr>
        <w:tc>
          <w:tcPr>
            <w:tcW w:w="1620" w:type="dxa"/>
            <w:tcBorders>
              <w:top w:val="nil"/>
              <w:left w:val="single" w:sz="4" w:space="0" w:color="auto"/>
              <w:bottom w:val="single" w:sz="4" w:space="0" w:color="auto"/>
              <w:right w:val="single" w:sz="4" w:space="0" w:color="auto"/>
            </w:tcBorders>
            <w:shd w:val="clear" w:color="auto" w:fill="auto"/>
            <w:hideMark/>
          </w:tcPr>
          <w:p w14:paraId="4EC67822"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lastRenderedPageBreak/>
              <w:t>Uludag</w:t>
            </w:r>
            <w:proofErr w:type="spellEnd"/>
            <w:r w:rsidRPr="00611F84">
              <w:rPr>
                <w:rFonts w:ascii="Garamond" w:eastAsia="Times New Roman" w:hAnsi="Garamond" w:cs="Times New Roman"/>
                <w:szCs w:val="20"/>
              </w:rPr>
              <w:t xml:space="preserve"> &amp; McDonough (2022)</w:t>
            </w:r>
          </w:p>
        </w:tc>
        <w:tc>
          <w:tcPr>
            <w:tcW w:w="1980" w:type="dxa"/>
            <w:tcBorders>
              <w:top w:val="nil"/>
              <w:left w:val="nil"/>
              <w:bottom w:val="single" w:sz="4" w:space="0" w:color="auto"/>
              <w:right w:val="single" w:sz="4" w:space="0" w:color="auto"/>
            </w:tcBorders>
            <w:shd w:val="clear" w:color="auto" w:fill="auto"/>
            <w:hideMark/>
          </w:tcPr>
          <w:p w14:paraId="2EFB850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Rater evaluations</w:t>
            </w:r>
          </w:p>
        </w:tc>
        <w:tc>
          <w:tcPr>
            <w:tcW w:w="2160" w:type="dxa"/>
            <w:tcBorders>
              <w:top w:val="nil"/>
              <w:left w:val="nil"/>
              <w:bottom w:val="single" w:sz="4" w:space="0" w:color="auto"/>
              <w:right w:val="single" w:sz="4" w:space="0" w:color="auto"/>
            </w:tcBorders>
            <w:shd w:val="clear" w:color="auto" w:fill="auto"/>
            <w:hideMark/>
          </w:tcPr>
          <w:p w14:paraId="022AF46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Raters’ evaluation of integrated writing was mainly influenced by three criteria: (a) utilizing sources to support one’s arguments, (b) transforming source language, and (c) incorporating source information accurately.</w:t>
            </w:r>
          </w:p>
        </w:tc>
        <w:tc>
          <w:tcPr>
            <w:tcW w:w="1530" w:type="dxa"/>
            <w:tcBorders>
              <w:top w:val="nil"/>
              <w:left w:val="nil"/>
              <w:bottom w:val="single" w:sz="4" w:space="0" w:color="auto"/>
              <w:right w:val="single" w:sz="4" w:space="0" w:color="auto"/>
            </w:tcBorders>
            <w:shd w:val="clear" w:color="auto" w:fill="auto"/>
            <w:hideMark/>
          </w:tcPr>
          <w:p w14:paraId="44EEAFE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6 raters and 48 student essays (corpus)</w:t>
            </w:r>
          </w:p>
        </w:tc>
        <w:tc>
          <w:tcPr>
            <w:tcW w:w="1530" w:type="dxa"/>
            <w:tcBorders>
              <w:top w:val="nil"/>
              <w:left w:val="nil"/>
              <w:bottom w:val="single" w:sz="4" w:space="0" w:color="auto"/>
              <w:right w:val="single" w:sz="4" w:space="0" w:color="auto"/>
            </w:tcBorders>
            <w:shd w:val="clear" w:color="auto" w:fill="auto"/>
            <w:hideMark/>
          </w:tcPr>
          <w:p w14:paraId="13DE9892" w14:textId="77777777" w:rsidR="00616096" w:rsidRPr="00611F84" w:rsidRDefault="00616096" w:rsidP="00924822">
            <w:pPr>
              <w:rPr>
                <w:rFonts w:ascii="Garamond" w:eastAsia="Times New Roman" w:hAnsi="Garamond" w:cs="Times New Roman"/>
                <w:b/>
                <w:bCs/>
                <w:szCs w:val="20"/>
              </w:rPr>
            </w:pPr>
            <w:r w:rsidRPr="00611F84">
              <w:rPr>
                <w:rFonts w:ascii="Garamond" w:eastAsia="Times New Roman" w:hAnsi="Garamond" w:cs="Times New Roman"/>
                <w:szCs w:val="20"/>
              </w:rPr>
              <w:t xml:space="preserve">English L2 </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French L1</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etc.</w:t>
            </w:r>
          </w:p>
        </w:tc>
        <w:tc>
          <w:tcPr>
            <w:tcW w:w="1080" w:type="dxa"/>
            <w:tcBorders>
              <w:top w:val="nil"/>
              <w:left w:val="nil"/>
              <w:bottom w:val="single" w:sz="4" w:space="0" w:color="auto"/>
              <w:right w:val="single" w:sz="4" w:space="0" w:color="auto"/>
            </w:tcBorders>
            <w:shd w:val="clear" w:color="auto" w:fill="auto"/>
            <w:hideMark/>
          </w:tcPr>
          <w:p w14:paraId="5D8FE23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(Canada)</w:t>
            </w:r>
          </w:p>
        </w:tc>
        <w:tc>
          <w:tcPr>
            <w:tcW w:w="1440" w:type="dxa"/>
            <w:tcBorders>
              <w:top w:val="nil"/>
              <w:left w:val="nil"/>
              <w:bottom w:val="single" w:sz="4" w:space="0" w:color="auto"/>
              <w:right w:val="single" w:sz="4" w:space="0" w:color="auto"/>
            </w:tcBorders>
            <w:shd w:val="clear" w:color="auto" w:fill="auto"/>
            <w:hideMark/>
          </w:tcPr>
          <w:p w14:paraId="73E7501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Integration Model</w:t>
            </w:r>
          </w:p>
        </w:tc>
        <w:tc>
          <w:tcPr>
            <w:tcW w:w="990" w:type="dxa"/>
            <w:tcBorders>
              <w:top w:val="nil"/>
              <w:left w:val="nil"/>
              <w:bottom w:val="single" w:sz="4" w:space="0" w:color="auto"/>
              <w:right w:val="single" w:sz="4" w:space="0" w:color="auto"/>
            </w:tcBorders>
            <w:shd w:val="clear" w:color="auto" w:fill="auto"/>
            <w:hideMark/>
          </w:tcPr>
          <w:p w14:paraId="0BF988C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QL+qt</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7F02350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Stimulated recall interviews, 48 students’ integrated essays, and evaluations of the 48 essays</w:t>
            </w:r>
          </w:p>
        </w:tc>
        <w:tc>
          <w:tcPr>
            <w:tcW w:w="1440" w:type="dxa"/>
            <w:tcBorders>
              <w:top w:val="nil"/>
              <w:left w:val="nil"/>
              <w:bottom w:val="single" w:sz="4" w:space="0" w:color="auto"/>
              <w:right w:val="single" w:sz="4" w:space="0" w:color="auto"/>
            </w:tcBorders>
            <w:shd w:val="clear" w:color="auto" w:fill="auto"/>
            <w:hideMark/>
          </w:tcPr>
          <w:p w14:paraId="12BA3B5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weeks</w:t>
            </w:r>
          </w:p>
        </w:tc>
      </w:tr>
      <w:tr w:rsidR="00611F84" w:rsidRPr="00611F84" w14:paraId="17F924B9" w14:textId="77777777" w:rsidTr="00611F84">
        <w:trPr>
          <w:trHeight w:val="2600"/>
        </w:trPr>
        <w:tc>
          <w:tcPr>
            <w:tcW w:w="1620" w:type="dxa"/>
            <w:tcBorders>
              <w:top w:val="nil"/>
              <w:left w:val="single" w:sz="4" w:space="0" w:color="auto"/>
              <w:bottom w:val="single" w:sz="4" w:space="0" w:color="auto"/>
              <w:right w:val="single" w:sz="4" w:space="0" w:color="auto"/>
            </w:tcBorders>
            <w:shd w:val="clear" w:color="auto" w:fill="auto"/>
            <w:hideMark/>
          </w:tcPr>
          <w:p w14:paraId="066B3E23"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Uludag</w:t>
            </w:r>
            <w:proofErr w:type="spellEnd"/>
            <w:r w:rsidRPr="00611F84">
              <w:rPr>
                <w:rFonts w:ascii="Garamond" w:eastAsia="Times New Roman" w:hAnsi="Garamond" w:cs="Times New Roman"/>
                <w:szCs w:val="20"/>
              </w:rPr>
              <w:t xml:space="preserve"> et al. (2021)</w:t>
            </w:r>
          </w:p>
        </w:tc>
        <w:tc>
          <w:tcPr>
            <w:tcW w:w="1980" w:type="dxa"/>
            <w:tcBorders>
              <w:top w:val="nil"/>
              <w:left w:val="nil"/>
              <w:bottom w:val="single" w:sz="4" w:space="0" w:color="auto"/>
              <w:right w:val="single" w:sz="4" w:space="0" w:color="auto"/>
            </w:tcBorders>
            <w:shd w:val="clear" w:color="auto" w:fill="auto"/>
            <w:hideMark/>
          </w:tcPr>
          <w:p w14:paraId="5B3B6B4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r w:rsidRPr="00611F84">
              <w:rPr>
                <w:rFonts w:ascii="Garamond" w:eastAsia="Times New Roman" w:hAnsi="Garamond" w:cs="Times New Roman"/>
                <w:szCs w:val="20"/>
              </w:rPr>
              <w:br/>
              <w:t>• Effect of pre-writing planning</w:t>
            </w:r>
          </w:p>
        </w:tc>
        <w:tc>
          <w:tcPr>
            <w:tcW w:w="2160" w:type="dxa"/>
            <w:tcBorders>
              <w:top w:val="nil"/>
              <w:left w:val="nil"/>
              <w:bottom w:val="single" w:sz="4" w:space="0" w:color="auto"/>
              <w:right w:val="single" w:sz="4" w:space="0" w:color="auto"/>
            </w:tcBorders>
            <w:shd w:val="clear" w:color="auto" w:fill="auto"/>
            <w:hideMark/>
          </w:tcPr>
          <w:p w14:paraId="119057B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Prewriting planning had no significant effect on the overall writing scores.</w:t>
            </w:r>
          </w:p>
        </w:tc>
        <w:tc>
          <w:tcPr>
            <w:tcW w:w="1530" w:type="dxa"/>
            <w:tcBorders>
              <w:top w:val="nil"/>
              <w:left w:val="nil"/>
              <w:bottom w:val="single" w:sz="4" w:space="0" w:color="auto"/>
              <w:right w:val="single" w:sz="4" w:space="0" w:color="auto"/>
            </w:tcBorders>
            <w:shd w:val="clear" w:color="auto" w:fill="auto"/>
            <w:hideMark/>
          </w:tcPr>
          <w:p w14:paraId="6981F32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111 under-grads </w:t>
            </w:r>
          </w:p>
        </w:tc>
        <w:tc>
          <w:tcPr>
            <w:tcW w:w="1530" w:type="dxa"/>
            <w:tcBorders>
              <w:top w:val="nil"/>
              <w:left w:val="nil"/>
              <w:bottom w:val="single" w:sz="4" w:space="0" w:color="auto"/>
              <w:right w:val="single" w:sz="4" w:space="0" w:color="auto"/>
            </w:tcBorders>
            <w:shd w:val="clear" w:color="auto" w:fill="auto"/>
            <w:hideMark/>
          </w:tcPr>
          <w:p w14:paraId="3959F9AF" w14:textId="77777777" w:rsidR="00616096" w:rsidRPr="00611F84" w:rsidRDefault="00616096" w:rsidP="00924822">
            <w:pPr>
              <w:rPr>
                <w:rFonts w:ascii="Garamond"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Mandarin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French L1</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Farsi L1</w:t>
            </w:r>
            <w:r w:rsidRPr="00611F84">
              <w:rPr>
                <w:rFonts w:ascii="Garamond" w:eastAsia="Times New Roman" w:hAnsi="Garamond" w:cs="Times New Roman"/>
                <w:szCs w:val="20"/>
              </w:rPr>
              <w:br/>
            </w:r>
            <w:r w:rsidRPr="00611F84">
              <w:rPr>
                <w:rFonts w:ascii="Garamond" w:hAnsi="Garamond" w:cs="Times New Roman"/>
                <w:szCs w:val="20"/>
              </w:rPr>
              <w:t>other L1</w:t>
            </w:r>
          </w:p>
        </w:tc>
        <w:tc>
          <w:tcPr>
            <w:tcW w:w="1080" w:type="dxa"/>
            <w:tcBorders>
              <w:top w:val="nil"/>
              <w:left w:val="nil"/>
              <w:bottom w:val="single" w:sz="4" w:space="0" w:color="auto"/>
              <w:right w:val="single" w:sz="4" w:space="0" w:color="auto"/>
            </w:tcBorders>
            <w:shd w:val="clear" w:color="auto" w:fill="auto"/>
            <w:hideMark/>
          </w:tcPr>
          <w:p w14:paraId="4BCC723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(Canada)</w:t>
            </w:r>
          </w:p>
        </w:tc>
        <w:tc>
          <w:tcPr>
            <w:tcW w:w="1440" w:type="dxa"/>
            <w:tcBorders>
              <w:top w:val="nil"/>
              <w:left w:val="nil"/>
              <w:bottom w:val="single" w:sz="4" w:space="0" w:color="auto"/>
              <w:right w:val="single" w:sz="4" w:space="0" w:color="auto"/>
            </w:tcBorders>
            <w:shd w:val="clear" w:color="auto" w:fill="auto"/>
            <w:hideMark/>
          </w:tcPr>
          <w:p w14:paraId="7D47427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Process-based approach</w:t>
            </w:r>
          </w:p>
        </w:tc>
        <w:tc>
          <w:tcPr>
            <w:tcW w:w="990" w:type="dxa"/>
            <w:tcBorders>
              <w:top w:val="nil"/>
              <w:left w:val="nil"/>
              <w:bottom w:val="single" w:sz="4" w:space="0" w:color="auto"/>
              <w:right w:val="single" w:sz="4" w:space="0" w:color="auto"/>
            </w:tcBorders>
            <w:shd w:val="clear" w:color="auto" w:fill="auto"/>
            <w:hideMark/>
          </w:tcPr>
          <w:p w14:paraId="31CD7A7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32DFF9B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CAEL Test (integrated writing, reading, listening), a </w:t>
            </w:r>
            <w:proofErr w:type="spellStart"/>
            <w:r w:rsidRPr="00611F84">
              <w:rPr>
                <w:rFonts w:ascii="Garamond" w:eastAsia="Times New Roman" w:hAnsi="Garamond" w:cs="Times New Roman"/>
                <w:szCs w:val="20"/>
              </w:rPr>
              <w:t>semistructured</w:t>
            </w:r>
            <w:proofErr w:type="spellEnd"/>
            <w:r w:rsidRPr="00611F84">
              <w:rPr>
                <w:rFonts w:ascii="Garamond" w:eastAsia="Times New Roman" w:hAnsi="Garamond" w:cs="Times New Roman"/>
                <w:szCs w:val="20"/>
              </w:rPr>
              <w:t xml:space="preserve"> interview, and a background questionnaire</w:t>
            </w:r>
          </w:p>
        </w:tc>
        <w:tc>
          <w:tcPr>
            <w:tcW w:w="1440" w:type="dxa"/>
            <w:tcBorders>
              <w:top w:val="nil"/>
              <w:left w:val="nil"/>
              <w:bottom w:val="single" w:sz="4" w:space="0" w:color="auto"/>
              <w:right w:val="single" w:sz="4" w:space="0" w:color="auto"/>
            </w:tcBorders>
            <w:shd w:val="clear" w:color="auto" w:fill="auto"/>
            <w:hideMark/>
          </w:tcPr>
          <w:p w14:paraId="557C2DE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150</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180 min</w:t>
            </w:r>
          </w:p>
        </w:tc>
      </w:tr>
      <w:tr w:rsidR="00611F84" w:rsidRPr="00611F84" w14:paraId="73BCF4F0"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4C029D1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Wang (2024)</w:t>
            </w:r>
          </w:p>
        </w:tc>
        <w:tc>
          <w:tcPr>
            <w:tcW w:w="1980" w:type="dxa"/>
            <w:tcBorders>
              <w:top w:val="nil"/>
              <w:left w:val="nil"/>
              <w:bottom w:val="single" w:sz="4" w:space="0" w:color="auto"/>
              <w:right w:val="single" w:sz="4" w:space="0" w:color="auto"/>
            </w:tcBorders>
            <w:shd w:val="clear" w:color="auto" w:fill="auto"/>
            <w:hideMark/>
          </w:tcPr>
          <w:p w14:paraId="1B50FA3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Composing processes</w:t>
            </w:r>
            <w:r w:rsidRPr="00611F84">
              <w:rPr>
                <w:rFonts w:ascii="Garamond" w:eastAsia="Times New Roman" w:hAnsi="Garamond" w:cs="Times New Roman"/>
                <w:szCs w:val="20"/>
              </w:rPr>
              <w:br/>
              <w:t>• GenAI perceptions &amp; experiences</w:t>
            </w:r>
          </w:p>
        </w:tc>
        <w:tc>
          <w:tcPr>
            <w:tcW w:w="2160" w:type="dxa"/>
            <w:tcBorders>
              <w:top w:val="nil"/>
              <w:left w:val="nil"/>
              <w:bottom w:val="single" w:sz="4" w:space="0" w:color="auto"/>
              <w:right w:val="single" w:sz="4" w:space="0" w:color="auto"/>
            </w:tcBorders>
            <w:shd w:val="clear" w:color="auto" w:fill="auto"/>
            <w:hideMark/>
          </w:tcPr>
          <w:p w14:paraId="0C9C8DD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used GenAI to respond to their writing difficulties, such as brainstorming ideas and structuring their essay and improving their grammar.</w:t>
            </w:r>
          </w:p>
        </w:tc>
        <w:tc>
          <w:tcPr>
            <w:tcW w:w="1530" w:type="dxa"/>
            <w:tcBorders>
              <w:top w:val="nil"/>
              <w:left w:val="nil"/>
              <w:bottom w:val="single" w:sz="4" w:space="0" w:color="auto"/>
              <w:right w:val="single" w:sz="4" w:space="0" w:color="auto"/>
            </w:tcBorders>
            <w:shd w:val="clear" w:color="auto" w:fill="auto"/>
            <w:hideMark/>
          </w:tcPr>
          <w:p w14:paraId="6CFA33D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6 under-grads </w:t>
            </w:r>
          </w:p>
        </w:tc>
        <w:tc>
          <w:tcPr>
            <w:tcW w:w="1530" w:type="dxa"/>
            <w:tcBorders>
              <w:top w:val="nil"/>
              <w:left w:val="nil"/>
              <w:bottom w:val="single" w:sz="4" w:space="0" w:color="auto"/>
              <w:right w:val="single" w:sz="4" w:space="0" w:color="auto"/>
            </w:tcBorders>
            <w:shd w:val="clear" w:color="auto" w:fill="auto"/>
            <w:hideMark/>
          </w:tcPr>
          <w:p w14:paraId="55A49F6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L1 (3 students)</w:t>
            </w:r>
            <w:r w:rsidRPr="00611F84">
              <w:rPr>
                <w:rFonts w:ascii="Garamond" w:eastAsia="Times New Roman" w:hAnsi="Garamond" w:cs="Times New Roman"/>
                <w:szCs w:val="20"/>
              </w:rPr>
              <w:br/>
              <w:t>English L2</w:t>
            </w:r>
            <w:r w:rsidRPr="00611F84">
              <w:rPr>
                <w:rFonts w:ascii="Garamond" w:eastAsia="Times New Roman" w:hAnsi="Garamond" w:cs="Times New Roman"/>
                <w:szCs w:val="20"/>
              </w:rPr>
              <w:br/>
              <w:t>L1s not reported</w:t>
            </w:r>
          </w:p>
        </w:tc>
        <w:tc>
          <w:tcPr>
            <w:tcW w:w="1080" w:type="dxa"/>
            <w:tcBorders>
              <w:top w:val="nil"/>
              <w:left w:val="nil"/>
              <w:bottom w:val="single" w:sz="4" w:space="0" w:color="auto"/>
              <w:right w:val="single" w:sz="4" w:space="0" w:color="auto"/>
            </w:tcBorders>
            <w:shd w:val="clear" w:color="auto" w:fill="auto"/>
            <w:hideMark/>
          </w:tcPr>
          <w:p w14:paraId="2784A88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274343E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Sense-making theory</w:t>
            </w:r>
          </w:p>
        </w:tc>
        <w:tc>
          <w:tcPr>
            <w:tcW w:w="990" w:type="dxa"/>
            <w:tcBorders>
              <w:top w:val="nil"/>
              <w:left w:val="nil"/>
              <w:bottom w:val="single" w:sz="4" w:space="0" w:color="auto"/>
              <w:right w:val="single" w:sz="4" w:space="0" w:color="auto"/>
            </w:tcBorders>
            <w:shd w:val="clear" w:color="auto" w:fill="auto"/>
            <w:hideMark/>
          </w:tcPr>
          <w:p w14:paraId="5A8FBE9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57908FD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Written products, ChatGPT screenshots, self-reflections, and an interview</w:t>
            </w:r>
          </w:p>
        </w:tc>
        <w:tc>
          <w:tcPr>
            <w:tcW w:w="1440" w:type="dxa"/>
            <w:tcBorders>
              <w:top w:val="nil"/>
              <w:left w:val="nil"/>
              <w:bottom w:val="single" w:sz="4" w:space="0" w:color="auto"/>
              <w:right w:val="single" w:sz="4" w:space="0" w:color="auto"/>
            </w:tcBorders>
            <w:shd w:val="clear" w:color="auto" w:fill="auto"/>
            <w:hideMark/>
          </w:tcPr>
          <w:p w14:paraId="5FEBCA4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 weeks</w:t>
            </w:r>
          </w:p>
        </w:tc>
      </w:tr>
      <w:tr w:rsidR="00611F84" w:rsidRPr="00611F84" w14:paraId="260B739B"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330D9CE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Westbrook &amp; Holt (2015)</w:t>
            </w:r>
          </w:p>
        </w:tc>
        <w:tc>
          <w:tcPr>
            <w:tcW w:w="1980" w:type="dxa"/>
            <w:tcBorders>
              <w:top w:val="nil"/>
              <w:left w:val="nil"/>
              <w:bottom w:val="single" w:sz="4" w:space="0" w:color="auto"/>
              <w:right w:val="single" w:sz="4" w:space="0" w:color="auto"/>
            </w:tcBorders>
            <w:shd w:val="clear" w:color="auto" w:fill="auto"/>
            <w:hideMark/>
          </w:tcPr>
          <w:p w14:paraId="2C489A7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Assessment test</w:t>
            </w:r>
            <w:r w:rsidRPr="00611F84">
              <w:rPr>
                <w:rFonts w:ascii="Garamond" w:eastAsia="Times New Roman" w:hAnsi="Garamond" w:cs="Times New Roman"/>
                <w:szCs w:val="20"/>
              </w:rPr>
              <w:br/>
              <w:t>• Generating a valid placement exam</w:t>
            </w:r>
          </w:p>
        </w:tc>
        <w:tc>
          <w:tcPr>
            <w:tcW w:w="2160" w:type="dxa"/>
            <w:tcBorders>
              <w:top w:val="nil"/>
              <w:left w:val="nil"/>
              <w:bottom w:val="single" w:sz="4" w:space="0" w:color="auto"/>
              <w:right w:val="single" w:sz="4" w:space="0" w:color="auto"/>
            </w:tcBorders>
            <w:shd w:val="clear" w:color="auto" w:fill="auto"/>
            <w:hideMark/>
          </w:tcPr>
          <w:p w14:paraId="785B881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newly source-based writing exam included response to the previously identified validity issues with positive washback effects.</w:t>
            </w:r>
          </w:p>
        </w:tc>
        <w:tc>
          <w:tcPr>
            <w:tcW w:w="1530" w:type="dxa"/>
            <w:tcBorders>
              <w:top w:val="nil"/>
              <w:left w:val="nil"/>
              <w:bottom w:val="single" w:sz="4" w:space="0" w:color="auto"/>
              <w:right w:val="single" w:sz="4" w:space="0" w:color="auto"/>
            </w:tcBorders>
            <w:shd w:val="clear" w:color="auto" w:fill="auto"/>
            <w:hideMark/>
          </w:tcPr>
          <w:p w14:paraId="6A80127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52 under-grads </w:t>
            </w:r>
          </w:p>
        </w:tc>
        <w:tc>
          <w:tcPr>
            <w:tcW w:w="1530" w:type="dxa"/>
            <w:tcBorders>
              <w:top w:val="nil"/>
              <w:left w:val="nil"/>
              <w:bottom w:val="single" w:sz="4" w:space="0" w:color="auto"/>
              <w:right w:val="single" w:sz="4" w:space="0" w:color="auto"/>
            </w:tcBorders>
            <w:shd w:val="clear" w:color="auto" w:fill="auto"/>
            <w:hideMark/>
          </w:tcPr>
          <w:p w14:paraId="4E528AF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Turkish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hideMark/>
          </w:tcPr>
          <w:p w14:paraId="4FAB31F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Multiple (UK + Turkey)</w:t>
            </w:r>
          </w:p>
        </w:tc>
        <w:tc>
          <w:tcPr>
            <w:tcW w:w="1440" w:type="dxa"/>
            <w:tcBorders>
              <w:top w:val="nil"/>
              <w:left w:val="nil"/>
              <w:bottom w:val="single" w:sz="4" w:space="0" w:color="auto"/>
              <w:right w:val="single" w:sz="4" w:space="0" w:color="auto"/>
            </w:tcBorders>
            <w:shd w:val="clear" w:color="auto" w:fill="auto"/>
            <w:hideMark/>
          </w:tcPr>
          <w:p w14:paraId="75A824E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4E9C5B6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5F6C569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Take-home essays, outcome-based education test essays, and a questionnaire</w:t>
            </w:r>
          </w:p>
        </w:tc>
        <w:tc>
          <w:tcPr>
            <w:tcW w:w="1440" w:type="dxa"/>
            <w:tcBorders>
              <w:top w:val="nil"/>
              <w:left w:val="nil"/>
              <w:bottom w:val="single" w:sz="4" w:space="0" w:color="auto"/>
              <w:right w:val="single" w:sz="4" w:space="0" w:color="auto"/>
            </w:tcBorders>
            <w:shd w:val="clear" w:color="auto" w:fill="auto"/>
            <w:hideMark/>
          </w:tcPr>
          <w:p w14:paraId="5A41B6B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10 days</w:t>
            </w:r>
          </w:p>
        </w:tc>
      </w:tr>
      <w:tr w:rsidR="00611F84" w:rsidRPr="00611F84" w14:paraId="0EE115EE"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205ED51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Wette (2010)</w:t>
            </w:r>
          </w:p>
        </w:tc>
        <w:tc>
          <w:tcPr>
            <w:tcW w:w="1980" w:type="dxa"/>
            <w:tcBorders>
              <w:top w:val="nil"/>
              <w:left w:val="nil"/>
              <w:bottom w:val="single" w:sz="4" w:space="0" w:color="auto"/>
              <w:right w:val="single" w:sz="4" w:space="0" w:color="auto"/>
            </w:tcBorders>
            <w:shd w:val="clear" w:color="auto" w:fill="auto"/>
            <w:hideMark/>
          </w:tcPr>
          <w:p w14:paraId="71213CF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Instruction and intervention </w:t>
            </w:r>
          </w:p>
        </w:tc>
        <w:tc>
          <w:tcPr>
            <w:tcW w:w="2160" w:type="dxa"/>
            <w:tcBorders>
              <w:top w:val="nil"/>
              <w:left w:val="nil"/>
              <w:bottom w:val="single" w:sz="4" w:space="0" w:color="auto"/>
              <w:right w:val="single" w:sz="4" w:space="0" w:color="auto"/>
            </w:tcBorders>
            <w:shd w:val="clear" w:color="auto" w:fill="auto"/>
            <w:hideMark/>
          </w:tcPr>
          <w:p w14:paraId="232C2A9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showed significant improvement in source use skills after the intervention.</w:t>
            </w:r>
          </w:p>
        </w:tc>
        <w:tc>
          <w:tcPr>
            <w:tcW w:w="1530" w:type="dxa"/>
            <w:tcBorders>
              <w:top w:val="nil"/>
              <w:left w:val="nil"/>
              <w:bottom w:val="single" w:sz="4" w:space="0" w:color="auto"/>
              <w:right w:val="single" w:sz="4" w:space="0" w:color="auto"/>
            </w:tcBorders>
            <w:shd w:val="clear" w:color="auto" w:fill="auto"/>
            <w:hideMark/>
          </w:tcPr>
          <w:p w14:paraId="7069D2E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78 under-grads </w:t>
            </w:r>
          </w:p>
        </w:tc>
        <w:tc>
          <w:tcPr>
            <w:tcW w:w="1530" w:type="dxa"/>
            <w:tcBorders>
              <w:top w:val="nil"/>
              <w:left w:val="nil"/>
              <w:bottom w:val="single" w:sz="4" w:space="0" w:color="auto"/>
              <w:right w:val="single" w:sz="4" w:space="0" w:color="auto"/>
            </w:tcBorders>
            <w:shd w:val="clear" w:color="auto" w:fill="auto"/>
            <w:hideMark/>
          </w:tcPr>
          <w:p w14:paraId="26CD5DD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Korean L1</w:t>
            </w:r>
            <w:r w:rsidRPr="00611F84">
              <w:rPr>
                <w:rFonts w:ascii="Garamond" w:eastAsia="Times New Roman" w:hAnsi="Garamond" w:cs="Times New Roman"/>
                <w:szCs w:val="20"/>
              </w:rPr>
              <w:br/>
              <w:t>Japanese L1</w:t>
            </w:r>
            <w:r w:rsidRPr="00611F84">
              <w:rPr>
                <w:rFonts w:ascii="Garamond" w:eastAsia="Times New Roman" w:hAnsi="Garamond" w:cs="Times New Roman"/>
                <w:szCs w:val="20"/>
              </w:rPr>
              <w:br/>
              <w:t>other L1</w:t>
            </w:r>
          </w:p>
        </w:tc>
        <w:tc>
          <w:tcPr>
            <w:tcW w:w="1080" w:type="dxa"/>
            <w:tcBorders>
              <w:top w:val="nil"/>
              <w:left w:val="nil"/>
              <w:bottom w:val="single" w:sz="4" w:space="0" w:color="auto"/>
              <w:right w:val="single" w:sz="4" w:space="0" w:color="auto"/>
            </w:tcBorders>
            <w:shd w:val="clear" w:color="auto" w:fill="auto"/>
            <w:hideMark/>
          </w:tcPr>
          <w:p w14:paraId="2F9593C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(NZ)</w:t>
            </w:r>
          </w:p>
        </w:tc>
        <w:tc>
          <w:tcPr>
            <w:tcW w:w="1440" w:type="dxa"/>
            <w:tcBorders>
              <w:top w:val="nil"/>
              <w:left w:val="nil"/>
              <w:bottom w:val="single" w:sz="4" w:space="0" w:color="auto"/>
              <w:right w:val="single" w:sz="4" w:space="0" w:color="auto"/>
            </w:tcBorders>
            <w:shd w:val="clear" w:color="auto" w:fill="auto"/>
            <w:hideMark/>
          </w:tcPr>
          <w:p w14:paraId="1852827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30632AC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676BF1B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 and post- tests, referenced essay, literature review, and reflective comments</w:t>
            </w:r>
          </w:p>
        </w:tc>
        <w:tc>
          <w:tcPr>
            <w:tcW w:w="1440" w:type="dxa"/>
            <w:tcBorders>
              <w:top w:val="nil"/>
              <w:left w:val="nil"/>
              <w:bottom w:val="single" w:sz="4" w:space="0" w:color="auto"/>
              <w:right w:val="single" w:sz="4" w:space="0" w:color="auto"/>
            </w:tcBorders>
            <w:shd w:val="clear" w:color="auto" w:fill="auto"/>
            <w:hideMark/>
          </w:tcPr>
          <w:p w14:paraId="332433B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years</w:t>
            </w:r>
          </w:p>
        </w:tc>
      </w:tr>
      <w:tr w:rsidR="00611F84" w:rsidRPr="00611F84" w14:paraId="6E59DCEE"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hideMark/>
          </w:tcPr>
          <w:p w14:paraId="6C12F72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Wilson &amp; </w:t>
            </w:r>
            <w:proofErr w:type="spellStart"/>
            <w:r w:rsidRPr="00611F84">
              <w:rPr>
                <w:rFonts w:ascii="Garamond" w:eastAsia="Times New Roman" w:hAnsi="Garamond" w:cs="Times New Roman"/>
                <w:szCs w:val="20"/>
              </w:rPr>
              <w:t>Soblo</w:t>
            </w:r>
            <w:proofErr w:type="spellEnd"/>
            <w:r w:rsidRPr="00611F84">
              <w:rPr>
                <w:rFonts w:ascii="Garamond" w:eastAsia="Times New Roman" w:hAnsi="Garamond" w:cs="Times New Roman"/>
                <w:szCs w:val="20"/>
              </w:rPr>
              <w:t xml:space="preserve"> (2020)</w:t>
            </w:r>
          </w:p>
        </w:tc>
        <w:tc>
          <w:tcPr>
            <w:tcW w:w="1980" w:type="dxa"/>
            <w:tcBorders>
              <w:top w:val="nil"/>
              <w:left w:val="nil"/>
              <w:bottom w:val="single" w:sz="4" w:space="0" w:color="auto"/>
              <w:right w:val="single" w:sz="4" w:space="0" w:color="auto"/>
            </w:tcBorders>
            <w:shd w:val="clear" w:color="auto" w:fill="auto"/>
            <w:hideMark/>
          </w:tcPr>
          <w:p w14:paraId="2EA01C5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Transfer effects</w:t>
            </w:r>
          </w:p>
        </w:tc>
        <w:tc>
          <w:tcPr>
            <w:tcW w:w="2160" w:type="dxa"/>
            <w:tcBorders>
              <w:top w:val="nil"/>
              <w:left w:val="nil"/>
              <w:bottom w:val="single" w:sz="4" w:space="0" w:color="auto"/>
              <w:right w:val="single" w:sz="4" w:space="0" w:color="auto"/>
            </w:tcBorders>
            <w:shd w:val="clear" w:color="auto" w:fill="auto"/>
            <w:hideMark/>
          </w:tcPr>
          <w:p w14:paraId="4F6AE2A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adjusted their writing and adopted rhetorical strategies according to the target audiences (e.g., cultural, disciplinary) by transferring appropriate prior knowledge.</w:t>
            </w:r>
          </w:p>
        </w:tc>
        <w:tc>
          <w:tcPr>
            <w:tcW w:w="1530" w:type="dxa"/>
            <w:tcBorders>
              <w:top w:val="nil"/>
              <w:left w:val="nil"/>
              <w:bottom w:val="single" w:sz="4" w:space="0" w:color="auto"/>
              <w:right w:val="single" w:sz="4" w:space="0" w:color="auto"/>
            </w:tcBorders>
            <w:shd w:val="clear" w:color="auto" w:fill="auto"/>
            <w:hideMark/>
          </w:tcPr>
          <w:p w14:paraId="5287213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6 under-grads </w:t>
            </w:r>
          </w:p>
        </w:tc>
        <w:tc>
          <w:tcPr>
            <w:tcW w:w="1530" w:type="dxa"/>
            <w:tcBorders>
              <w:top w:val="nil"/>
              <w:left w:val="nil"/>
              <w:bottom w:val="single" w:sz="4" w:space="0" w:color="auto"/>
              <w:right w:val="single" w:sz="4" w:space="0" w:color="auto"/>
            </w:tcBorders>
            <w:shd w:val="clear" w:color="auto" w:fill="auto"/>
            <w:hideMark/>
          </w:tcPr>
          <w:p w14:paraId="2511824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2BBF0AE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5B12DD9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Adaptive Transfer</w:t>
            </w:r>
          </w:p>
        </w:tc>
        <w:tc>
          <w:tcPr>
            <w:tcW w:w="990" w:type="dxa"/>
            <w:tcBorders>
              <w:top w:val="nil"/>
              <w:left w:val="nil"/>
              <w:bottom w:val="single" w:sz="4" w:space="0" w:color="auto"/>
              <w:right w:val="single" w:sz="4" w:space="0" w:color="auto"/>
            </w:tcBorders>
            <w:shd w:val="clear" w:color="auto" w:fill="auto"/>
            <w:hideMark/>
          </w:tcPr>
          <w:p w14:paraId="7DCCE71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38CA3E6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A secondary source essay and an </w:t>
            </w:r>
          </w:p>
          <w:p w14:paraId="41C83E7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interview</w:t>
            </w:r>
          </w:p>
        </w:tc>
        <w:tc>
          <w:tcPr>
            <w:tcW w:w="1440" w:type="dxa"/>
            <w:tcBorders>
              <w:top w:val="nil"/>
              <w:left w:val="nil"/>
              <w:bottom w:val="single" w:sz="4" w:space="0" w:color="auto"/>
              <w:right w:val="single" w:sz="4" w:space="0" w:color="auto"/>
            </w:tcBorders>
            <w:shd w:val="clear" w:color="auto" w:fill="auto"/>
            <w:hideMark/>
          </w:tcPr>
          <w:p w14:paraId="3A12628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semester</w:t>
            </w:r>
          </w:p>
        </w:tc>
      </w:tr>
      <w:tr w:rsidR="00611F84" w:rsidRPr="00611F84" w14:paraId="35074576" w14:textId="77777777" w:rsidTr="00611F84">
        <w:trPr>
          <w:trHeight w:val="1144"/>
        </w:trPr>
        <w:tc>
          <w:tcPr>
            <w:tcW w:w="1620" w:type="dxa"/>
            <w:tcBorders>
              <w:top w:val="nil"/>
              <w:left w:val="single" w:sz="4" w:space="0" w:color="auto"/>
              <w:bottom w:val="single" w:sz="4" w:space="0" w:color="auto"/>
              <w:right w:val="single" w:sz="4" w:space="0" w:color="auto"/>
            </w:tcBorders>
            <w:shd w:val="clear" w:color="auto" w:fill="auto"/>
            <w:hideMark/>
          </w:tcPr>
          <w:p w14:paraId="087D902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Wolfersberger (2013)</w:t>
            </w:r>
          </w:p>
        </w:tc>
        <w:tc>
          <w:tcPr>
            <w:tcW w:w="1980" w:type="dxa"/>
            <w:tcBorders>
              <w:top w:val="nil"/>
              <w:left w:val="nil"/>
              <w:bottom w:val="single" w:sz="4" w:space="0" w:color="auto"/>
              <w:right w:val="single" w:sz="4" w:space="0" w:color="auto"/>
            </w:tcBorders>
            <w:shd w:val="clear" w:color="auto" w:fill="auto"/>
            <w:hideMark/>
          </w:tcPr>
          <w:p w14:paraId="540FB4A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Task representations</w:t>
            </w:r>
          </w:p>
        </w:tc>
        <w:tc>
          <w:tcPr>
            <w:tcW w:w="2160" w:type="dxa"/>
            <w:tcBorders>
              <w:top w:val="nil"/>
              <w:left w:val="nil"/>
              <w:bottom w:val="single" w:sz="4" w:space="0" w:color="auto"/>
              <w:right w:val="single" w:sz="4" w:space="0" w:color="auto"/>
            </w:tcBorders>
            <w:shd w:val="clear" w:color="auto" w:fill="auto"/>
            <w:hideMark/>
          </w:tcPr>
          <w:p w14:paraId="79935DD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different task representations led to different writing processes and products.</w:t>
            </w:r>
          </w:p>
        </w:tc>
        <w:tc>
          <w:tcPr>
            <w:tcW w:w="1530" w:type="dxa"/>
            <w:tcBorders>
              <w:top w:val="nil"/>
              <w:left w:val="nil"/>
              <w:bottom w:val="single" w:sz="4" w:space="0" w:color="auto"/>
              <w:right w:val="single" w:sz="4" w:space="0" w:color="auto"/>
            </w:tcBorders>
            <w:shd w:val="clear" w:color="auto" w:fill="auto"/>
            <w:hideMark/>
          </w:tcPr>
          <w:p w14:paraId="2584BB4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4 under-grads </w:t>
            </w:r>
          </w:p>
        </w:tc>
        <w:tc>
          <w:tcPr>
            <w:tcW w:w="1530" w:type="dxa"/>
            <w:tcBorders>
              <w:top w:val="nil"/>
              <w:left w:val="nil"/>
              <w:bottom w:val="single" w:sz="4" w:space="0" w:color="auto"/>
              <w:right w:val="single" w:sz="4" w:space="0" w:color="auto"/>
            </w:tcBorders>
            <w:shd w:val="clear" w:color="auto" w:fill="auto"/>
            <w:hideMark/>
          </w:tcPr>
          <w:p w14:paraId="7011847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6B136B6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(NZ)</w:t>
            </w:r>
          </w:p>
        </w:tc>
        <w:tc>
          <w:tcPr>
            <w:tcW w:w="1440" w:type="dxa"/>
            <w:tcBorders>
              <w:top w:val="nil"/>
              <w:left w:val="nil"/>
              <w:bottom w:val="single" w:sz="4" w:space="0" w:color="auto"/>
              <w:right w:val="single" w:sz="4" w:space="0" w:color="auto"/>
            </w:tcBorders>
            <w:shd w:val="clear" w:color="auto" w:fill="auto"/>
            <w:hideMark/>
          </w:tcPr>
          <w:p w14:paraId="630BFB4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Task Representation</w:t>
            </w:r>
          </w:p>
        </w:tc>
        <w:tc>
          <w:tcPr>
            <w:tcW w:w="990" w:type="dxa"/>
            <w:tcBorders>
              <w:top w:val="nil"/>
              <w:left w:val="nil"/>
              <w:bottom w:val="single" w:sz="4" w:space="0" w:color="auto"/>
              <w:right w:val="single" w:sz="4" w:space="0" w:color="auto"/>
            </w:tcBorders>
            <w:shd w:val="clear" w:color="auto" w:fill="auto"/>
            <w:hideMark/>
          </w:tcPr>
          <w:p w14:paraId="5DB48B5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7251942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argumenta-</w:t>
            </w:r>
            <w:proofErr w:type="spellStart"/>
            <w:r w:rsidRPr="00611F84">
              <w:rPr>
                <w:rFonts w:ascii="Garamond" w:eastAsia="Times New Roman" w:hAnsi="Garamond" w:cs="Times New Roman"/>
                <w:szCs w:val="20"/>
              </w:rPr>
              <w:t>tive</w:t>
            </w:r>
            <w:proofErr w:type="spellEnd"/>
            <w:r w:rsidRPr="00611F84">
              <w:rPr>
                <w:rFonts w:ascii="Garamond" w:eastAsia="Times New Roman" w:hAnsi="Garamond" w:cs="Times New Roman"/>
                <w:szCs w:val="20"/>
              </w:rPr>
              <w:t xml:space="preserve"> essay, interviews, and classroom observations</w:t>
            </w:r>
          </w:p>
        </w:tc>
        <w:tc>
          <w:tcPr>
            <w:tcW w:w="1440" w:type="dxa"/>
            <w:tcBorders>
              <w:top w:val="nil"/>
              <w:left w:val="nil"/>
              <w:bottom w:val="single" w:sz="4" w:space="0" w:color="auto"/>
              <w:right w:val="single" w:sz="4" w:space="0" w:color="auto"/>
            </w:tcBorders>
            <w:shd w:val="clear" w:color="auto" w:fill="auto"/>
            <w:hideMark/>
          </w:tcPr>
          <w:p w14:paraId="3EAE051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2.5 weeks</w:t>
            </w:r>
          </w:p>
        </w:tc>
      </w:tr>
      <w:tr w:rsidR="00611F84" w:rsidRPr="00611F84" w14:paraId="2C9AE53B" w14:textId="77777777" w:rsidTr="00611F84">
        <w:trPr>
          <w:trHeight w:val="2003"/>
        </w:trPr>
        <w:tc>
          <w:tcPr>
            <w:tcW w:w="1620" w:type="dxa"/>
            <w:tcBorders>
              <w:top w:val="nil"/>
              <w:left w:val="single" w:sz="4" w:space="0" w:color="auto"/>
              <w:bottom w:val="single" w:sz="4" w:space="0" w:color="auto"/>
              <w:right w:val="single" w:sz="4" w:space="0" w:color="auto"/>
            </w:tcBorders>
            <w:shd w:val="clear" w:color="auto" w:fill="auto"/>
            <w:hideMark/>
          </w:tcPr>
          <w:p w14:paraId="7300997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Wu et al. (2023)</w:t>
            </w:r>
          </w:p>
        </w:tc>
        <w:tc>
          <w:tcPr>
            <w:tcW w:w="1980" w:type="dxa"/>
            <w:tcBorders>
              <w:top w:val="nil"/>
              <w:left w:val="nil"/>
              <w:bottom w:val="single" w:sz="4" w:space="0" w:color="auto"/>
              <w:right w:val="single" w:sz="4" w:space="0" w:color="auto"/>
            </w:tcBorders>
            <w:shd w:val="clear" w:color="auto" w:fill="auto"/>
            <w:hideMark/>
          </w:tcPr>
          <w:p w14:paraId="790CE6D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Collaborative writing</w:t>
            </w:r>
          </w:p>
        </w:tc>
        <w:tc>
          <w:tcPr>
            <w:tcW w:w="2160" w:type="dxa"/>
            <w:tcBorders>
              <w:top w:val="nil"/>
              <w:left w:val="nil"/>
              <w:bottom w:val="single" w:sz="4" w:space="0" w:color="auto"/>
              <w:right w:val="single" w:sz="4" w:space="0" w:color="auto"/>
            </w:tcBorders>
            <w:shd w:val="clear" w:color="auto" w:fill="auto"/>
            <w:hideMark/>
          </w:tcPr>
          <w:p w14:paraId="7EFF9F6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Enacting leadership during peer collaboration was influenced by factors including individual identity, gender imbalance, and the nature of the task.</w:t>
            </w:r>
          </w:p>
        </w:tc>
        <w:tc>
          <w:tcPr>
            <w:tcW w:w="1530" w:type="dxa"/>
            <w:tcBorders>
              <w:top w:val="nil"/>
              <w:left w:val="nil"/>
              <w:bottom w:val="single" w:sz="4" w:space="0" w:color="auto"/>
              <w:right w:val="single" w:sz="4" w:space="0" w:color="auto"/>
            </w:tcBorders>
            <w:shd w:val="clear" w:color="auto" w:fill="auto"/>
            <w:hideMark/>
          </w:tcPr>
          <w:p w14:paraId="2F92937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5 under-grads </w:t>
            </w:r>
          </w:p>
        </w:tc>
        <w:tc>
          <w:tcPr>
            <w:tcW w:w="1530" w:type="dxa"/>
            <w:tcBorders>
              <w:top w:val="nil"/>
              <w:left w:val="nil"/>
              <w:bottom w:val="single" w:sz="4" w:space="0" w:color="auto"/>
              <w:right w:val="single" w:sz="4" w:space="0" w:color="auto"/>
            </w:tcBorders>
            <w:shd w:val="clear" w:color="auto" w:fill="auto"/>
            <w:hideMark/>
          </w:tcPr>
          <w:p w14:paraId="2530623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4C33FED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(China)</w:t>
            </w:r>
          </w:p>
        </w:tc>
        <w:tc>
          <w:tcPr>
            <w:tcW w:w="1440" w:type="dxa"/>
            <w:tcBorders>
              <w:top w:val="nil"/>
              <w:left w:val="nil"/>
              <w:bottom w:val="single" w:sz="4" w:space="0" w:color="auto"/>
              <w:right w:val="single" w:sz="4" w:space="0" w:color="auto"/>
            </w:tcBorders>
            <w:shd w:val="clear" w:color="auto" w:fill="auto"/>
            <w:hideMark/>
          </w:tcPr>
          <w:p w14:paraId="01C36BE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Northouse’s leadership theory</w:t>
            </w:r>
          </w:p>
        </w:tc>
        <w:tc>
          <w:tcPr>
            <w:tcW w:w="990" w:type="dxa"/>
            <w:tcBorders>
              <w:top w:val="nil"/>
              <w:left w:val="nil"/>
              <w:bottom w:val="single" w:sz="4" w:space="0" w:color="auto"/>
              <w:right w:val="single" w:sz="4" w:space="0" w:color="auto"/>
            </w:tcBorders>
            <w:shd w:val="clear" w:color="auto" w:fill="auto"/>
            <w:hideMark/>
          </w:tcPr>
          <w:p w14:paraId="411007F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QL+qt</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1F0E504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Synthesis essays, individual argumentative essays, audio recordi</w:t>
            </w:r>
            <w:r w:rsidRPr="00611F84">
              <w:rPr>
                <w:rFonts w:ascii="Garamond" w:hAnsi="Garamond" w:cs="Times New Roman"/>
                <w:szCs w:val="20"/>
              </w:rPr>
              <w:t>ngs</w:t>
            </w:r>
            <w:r w:rsidRPr="00611F84">
              <w:rPr>
                <w:rFonts w:ascii="Garamond" w:eastAsia="Times New Roman" w:hAnsi="Garamond" w:cs="Times New Roman"/>
                <w:szCs w:val="20"/>
              </w:rPr>
              <w:t xml:space="preserve">, </w:t>
            </w:r>
            <w:proofErr w:type="spellStart"/>
            <w:r w:rsidRPr="00611F84">
              <w:rPr>
                <w:rFonts w:ascii="Garamond" w:eastAsia="Times New Roman" w:hAnsi="Garamond" w:cs="Times New Roman"/>
                <w:szCs w:val="20"/>
              </w:rPr>
              <w:t>semistructured</w:t>
            </w:r>
            <w:proofErr w:type="spellEnd"/>
            <w:r w:rsidRPr="00611F84">
              <w:rPr>
                <w:rFonts w:ascii="Garamond" w:eastAsia="Times New Roman" w:hAnsi="Garamond" w:cs="Times New Roman"/>
                <w:szCs w:val="20"/>
              </w:rPr>
              <w:t xml:space="preserve"> interviews, and worksheets</w:t>
            </w:r>
          </w:p>
        </w:tc>
        <w:tc>
          <w:tcPr>
            <w:tcW w:w="1440" w:type="dxa"/>
            <w:tcBorders>
              <w:top w:val="nil"/>
              <w:left w:val="nil"/>
              <w:bottom w:val="single" w:sz="4" w:space="0" w:color="auto"/>
              <w:right w:val="single" w:sz="4" w:space="0" w:color="auto"/>
            </w:tcBorders>
            <w:shd w:val="clear" w:color="auto" w:fill="auto"/>
            <w:hideMark/>
          </w:tcPr>
          <w:p w14:paraId="032B3B9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semester</w:t>
            </w:r>
          </w:p>
        </w:tc>
      </w:tr>
      <w:tr w:rsidR="00611F84" w:rsidRPr="00611F84" w14:paraId="5D91E5FD"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hideMark/>
          </w:tcPr>
          <w:p w14:paraId="4D58D13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Xie (2017)</w:t>
            </w:r>
          </w:p>
        </w:tc>
        <w:tc>
          <w:tcPr>
            <w:tcW w:w="1980" w:type="dxa"/>
            <w:tcBorders>
              <w:top w:val="nil"/>
              <w:left w:val="nil"/>
              <w:bottom w:val="single" w:sz="4" w:space="0" w:color="auto"/>
              <w:right w:val="single" w:sz="4" w:space="0" w:color="auto"/>
            </w:tcBorders>
            <w:shd w:val="clear" w:color="auto" w:fill="auto"/>
            <w:hideMark/>
          </w:tcPr>
          <w:p w14:paraId="635E1D9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Writing strategies</w:t>
            </w:r>
            <w:r w:rsidRPr="00611F84">
              <w:rPr>
                <w:rFonts w:ascii="Garamond" w:eastAsia="Times New Roman" w:hAnsi="Garamond" w:cs="Times New Roman"/>
                <w:szCs w:val="20"/>
              </w:rPr>
              <w:br/>
              <w:t>• Rhetorical moves</w:t>
            </w:r>
          </w:p>
        </w:tc>
        <w:tc>
          <w:tcPr>
            <w:tcW w:w="2160" w:type="dxa"/>
            <w:tcBorders>
              <w:top w:val="nil"/>
              <w:left w:val="nil"/>
              <w:bottom w:val="single" w:sz="4" w:space="0" w:color="auto"/>
              <w:right w:val="single" w:sz="4" w:space="0" w:color="auto"/>
            </w:tcBorders>
            <w:shd w:val="clear" w:color="auto" w:fill="auto"/>
            <w:hideMark/>
          </w:tcPr>
          <w:p w14:paraId="2CA20D1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often struggled to demonstrate effective rhetorical moves and structures for a literature review (e.g., disproportionately discussing existing literature).</w:t>
            </w:r>
          </w:p>
        </w:tc>
        <w:tc>
          <w:tcPr>
            <w:tcW w:w="1530" w:type="dxa"/>
            <w:tcBorders>
              <w:top w:val="nil"/>
              <w:left w:val="nil"/>
              <w:bottom w:val="single" w:sz="4" w:space="0" w:color="auto"/>
              <w:right w:val="single" w:sz="4" w:space="0" w:color="auto"/>
            </w:tcBorders>
            <w:shd w:val="clear" w:color="auto" w:fill="auto"/>
            <w:hideMark/>
          </w:tcPr>
          <w:p w14:paraId="5FDBE52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25 grad students</w:t>
            </w:r>
          </w:p>
        </w:tc>
        <w:tc>
          <w:tcPr>
            <w:tcW w:w="1530" w:type="dxa"/>
            <w:tcBorders>
              <w:top w:val="nil"/>
              <w:left w:val="nil"/>
              <w:bottom w:val="single" w:sz="4" w:space="0" w:color="auto"/>
              <w:right w:val="single" w:sz="4" w:space="0" w:color="auto"/>
            </w:tcBorders>
            <w:shd w:val="clear" w:color="auto" w:fill="auto"/>
            <w:hideMark/>
          </w:tcPr>
          <w:p w14:paraId="11F391F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4833876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(China)</w:t>
            </w:r>
          </w:p>
        </w:tc>
        <w:tc>
          <w:tcPr>
            <w:tcW w:w="1440" w:type="dxa"/>
            <w:tcBorders>
              <w:top w:val="nil"/>
              <w:left w:val="nil"/>
              <w:bottom w:val="single" w:sz="4" w:space="0" w:color="auto"/>
              <w:right w:val="single" w:sz="4" w:space="0" w:color="auto"/>
            </w:tcBorders>
            <w:shd w:val="clear" w:color="auto" w:fill="auto"/>
            <w:hideMark/>
          </w:tcPr>
          <w:p w14:paraId="7BDF1A2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Martin and</w:t>
            </w:r>
            <w:r w:rsidRPr="00611F84">
              <w:rPr>
                <w:rFonts w:ascii="Garamond" w:eastAsia="Times New Roman" w:hAnsi="Garamond" w:cs="Times New Roman"/>
                <w:szCs w:val="20"/>
              </w:rPr>
              <w:br/>
              <w:t>White’s (2005) appraisal framework and Kwan’s move model</w:t>
            </w:r>
          </w:p>
        </w:tc>
        <w:tc>
          <w:tcPr>
            <w:tcW w:w="990" w:type="dxa"/>
            <w:tcBorders>
              <w:top w:val="nil"/>
              <w:left w:val="nil"/>
              <w:bottom w:val="single" w:sz="4" w:space="0" w:color="auto"/>
              <w:right w:val="single" w:sz="4" w:space="0" w:color="auto"/>
            </w:tcBorders>
            <w:shd w:val="clear" w:color="auto" w:fill="auto"/>
            <w:hideMark/>
          </w:tcPr>
          <w:p w14:paraId="38FAC41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0741D80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Literature review chapters from 25 master’s theses</w:t>
            </w:r>
          </w:p>
        </w:tc>
        <w:tc>
          <w:tcPr>
            <w:tcW w:w="1440" w:type="dxa"/>
            <w:tcBorders>
              <w:top w:val="nil"/>
              <w:left w:val="nil"/>
              <w:bottom w:val="single" w:sz="4" w:space="0" w:color="auto"/>
              <w:right w:val="single" w:sz="4" w:space="0" w:color="auto"/>
            </w:tcBorders>
            <w:shd w:val="clear" w:color="auto" w:fill="auto"/>
            <w:hideMark/>
          </w:tcPr>
          <w:p w14:paraId="0408B84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N.A. (collection of theses)</w:t>
            </w:r>
          </w:p>
        </w:tc>
      </w:tr>
      <w:tr w:rsidR="00611F84" w:rsidRPr="00611F84" w14:paraId="3E55C948" w14:textId="77777777" w:rsidTr="00611F84">
        <w:trPr>
          <w:trHeight w:val="2348"/>
        </w:trPr>
        <w:tc>
          <w:tcPr>
            <w:tcW w:w="1620" w:type="dxa"/>
            <w:tcBorders>
              <w:top w:val="nil"/>
              <w:left w:val="single" w:sz="4" w:space="0" w:color="auto"/>
              <w:bottom w:val="single" w:sz="4" w:space="0" w:color="auto"/>
              <w:right w:val="single" w:sz="4" w:space="0" w:color="auto"/>
            </w:tcBorders>
            <w:shd w:val="clear" w:color="auto" w:fill="auto"/>
            <w:hideMark/>
          </w:tcPr>
          <w:p w14:paraId="4130FA3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H. Yang &amp; </w:t>
            </w:r>
            <w:proofErr w:type="spellStart"/>
            <w:r w:rsidRPr="00611F84">
              <w:rPr>
                <w:rFonts w:ascii="Garamond" w:eastAsia="Times New Roman" w:hAnsi="Garamond" w:cs="Times New Roman"/>
                <w:szCs w:val="20"/>
              </w:rPr>
              <w:t>Plakans</w:t>
            </w:r>
            <w:proofErr w:type="spellEnd"/>
            <w:r w:rsidRPr="00611F84">
              <w:rPr>
                <w:rFonts w:ascii="Garamond" w:eastAsia="Times New Roman" w:hAnsi="Garamond" w:cs="Times New Roman"/>
                <w:szCs w:val="20"/>
              </w:rPr>
              <w:t xml:space="preserve"> (2012)</w:t>
            </w:r>
          </w:p>
        </w:tc>
        <w:tc>
          <w:tcPr>
            <w:tcW w:w="1980" w:type="dxa"/>
            <w:tcBorders>
              <w:top w:val="nil"/>
              <w:left w:val="nil"/>
              <w:bottom w:val="single" w:sz="4" w:space="0" w:color="auto"/>
              <w:right w:val="single" w:sz="4" w:space="0" w:color="auto"/>
            </w:tcBorders>
            <w:shd w:val="clear" w:color="auto" w:fill="auto"/>
            <w:hideMark/>
          </w:tcPr>
          <w:p w14:paraId="0EFC11F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Writing strategies</w:t>
            </w:r>
          </w:p>
        </w:tc>
        <w:tc>
          <w:tcPr>
            <w:tcW w:w="2160" w:type="dxa"/>
            <w:tcBorders>
              <w:top w:val="nil"/>
              <w:left w:val="nil"/>
              <w:bottom w:val="single" w:sz="4" w:space="0" w:color="auto"/>
              <w:right w:val="single" w:sz="4" w:space="0" w:color="auto"/>
            </w:tcBorders>
            <w:shd w:val="clear" w:color="auto" w:fill="auto"/>
            <w:hideMark/>
          </w:tcPr>
          <w:p w14:paraId="774AA9A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Successful integrated writing required good comprehension abilities, language production skills, and regulation skills to manage reading, listening, and writing tasks. </w:t>
            </w:r>
          </w:p>
        </w:tc>
        <w:tc>
          <w:tcPr>
            <w:tcW w:w="1530" w:type="dxa"/>
            <w:tcBorders>
              <w:top w:val="nil"/>
              <w:left w:val="nil"/>
              <w:bottom w:val="single" w:sz="4" w:space="0" w:color="auto"/>
              <w:right w:val="single" w:sz="4" w:space="0" w:color="auto"/>
            </w:tcBorders>
            <w:shd w:val="clear" w:color="auto" w:fill="auto"/>
            <w:hideMark/>
          </w:tcPr>
          <w:p w14:paraId="065AE22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161 under-grads, grad students, and non-</w:t>
            </w:r>
            <w:proofErr w:type="spellStart"/>
            <w:r w:rsidRPr="00611F84">
              <w:rPr>
                <w:rFonts w:ascii="Garamond" w:eastAsia="Times New Roman" w:hAnsi="Garamond" w:cs="Times New Roman"/>
                <w:szCs w:val="20"/>
              </w:rPr>
              <w:t>matricu</w:t>
            </w:r>
            <w:proofErr w:type="spellEnd"/>
            <w:r w:rsidRPr="00611F84">
              <w:rPr>
                <w:rFonts w:ascii="Garamond" w:eastAsia="Times New Roman" w:hAnsi="Garamond" w:cs="Times New Roman"/>
                <w:szCs w:val="20"/>
              </w:rPr>
              <w:t>-</w:t>
            </w:r>
            <w:proofErr w:type="spellStart"/>
            <w:r w:rsidRPr="00611F84">
              <w:rPr>
                <w:rFonts w:ascii="Garamond" w:eastAsia="Times New Roman" w:hAnsi="Garamond" w:cs="Times New Roman"/>
                <w:szCs w:val="20"/>
              </w:rPr>
              <w:t>lated</w:t>
            </w:r>
            <w:proofErr w:type="spellEnd"/>
            <w:r w:rsidRPr="00611F84">
              <w:rPr>
                <w:rFonts w:ascii="Garamond" w:eastAsia="Times New Roman" w:hAnsi="Garamond" w:cs="Times New Roman"/>
                <w:szCs w:val="20"/>
              </w:rPr>
              <w:t xml:space="preserve"> students</w:t>
            </w:r>
          </w:p>
        </w:tc>
        <w:tc>
          <w:tcPr>
            <w:tcW w:w="1530" w:type="dxa"/>
            <w:tcBorders>
              <w:top w:val="nil"/>
              <w:left w:val="nil"/>
              <w:bottom w:val="single" w:sz="4" w:space="0" w:color="auto"/>
              <w:right w:val="single" w:sz="4" w:space="0" w:color="auto"/>
            </w:tcBorders>
            <w:shd w:val="clear" w:color="auto" w:fill="auto"/>
            <w:hideMark/>
          </w:tcPr>
          <w:p w14:paraId="67A2C97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Portuguese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French L1</w:t>
            </w:r>
            <w:r w:rsidRPr="00611F84">
              <w:rPr>
                <w:rFonts w:ascii="Garamond" w:eastAsia="Times New Roman" w:hAnsi="Garamond" w:cs="Times New Roman"/>
                <w:szCs w:val="20"/>
              </w:rPr>
              <w:br/>
              <w:t>Farsi L1</w:t>
            </w:r>
            <w:r w:rsidRPr="00611F84">
              <w:rPr>
                <w:rFonts w:ascii="Garamond" w:eastAsia="Times New Roman" w:hAnsi="Garamond" w:cs="Times New Roman"/>
                <w:szCs w:val="20"/>
              </w:rPr>
              <w:br/>
            </w:r>
            <w:r w:rsidRPr="00611F84">
              <w:rPr>
                <w:rFonts w:ascii="Garamond" w:hAnsi="Garamond" w:cs="Times New Roman"/>
                <w:szCs w:val="20"/>
              </w:rPr>
              <w:t>other L1</w:t>
            </w:r>
          </w:p>
        </w:tc>
        <w:tc>
          <w:tcPr>
            <w:tcW w:w="1080" w:type="dxa"/>
            <w:tcBorders>
              <w:top w:val="nil"/>
              <w:left w:val="nil"/>
              <w:bottom w:val="single" w:sz="4" w:space="0" w:color="auto"/>
              <w:right w:val="single" w:sz="4" w:space="0" w:color="auto"/>
            </w:tcBorders>
            <w:shd w:val="clear" w:color="auto" w:fill="auto"/>
            <w:hideMark/>
          </w:tcPr>
          <w:p w14:paraId="6B177EC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7F68242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Spivey’s discourse synthesis</w:t>
            </w:r>
          </w:p>
        </w:tc>
        <w:tc>
          <w:tcPr>
            <w:tcW w:w="990" w:type="dxa"/>
            <w:tcBorders>
              <w:top w:val="nil"/>
              <w:left w:val="nil"/>
              <w:bottom w:val="single" w:sz="4" w:space="0" w:color="auto"/>
              <w:right w:val="single" w:sz="4" w:space="0" w:color="auto"/>
            </w:tcBorders>
            <w:shd w:val="clear" w:color="auto" w:fill="auto"/>
            <w:hideMark/>
          </w:tcPr>
          <w:p w14:paraId="594020D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0C37EFB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An integrated reading</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listening</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writing task and a strategy inventory</w:t>
            </w:r>
          </w:p>
        </w:tc>
        <w:tc>
          <w:tcPr>
            <w:tcW w:w="1440" w:type="dxa"/>
            <w:tcBorders>
              <w:top w:val="nil"/>
              <w:left w:val="nil"/>
              <w:bottom w:val="single" w:sz="4" w:space="0" w:color="auto"/>
              <w:right w:val="single" w:sz="4" w:space="0" w:color="auto"/>
            </w:tcBorders>
            <w:shd w:val="clear" w:color="auto" w:fill="auto"/>
            <w:hideMark/>
          </w:tcPr>
          <w:p w14:paraId="58F4B1C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20 min for writing</w:t>
            </w:r>
          </w:p>
        </w:tc>
      </w:tr>
      <w:tr w:rsidR="00611F84" w:rsidRPr="00611F84" w14:paraId="1E565CA4"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7C17B7C1" w14:textId="77777777" w:rsidR="00616096" w:rsidRPr="00611F84" w:rsidRDefault="00616096" w:rsidP="00924822">
            <w:pPr>
              <w:rPr>
                <w:rFonts w:ascii="Garamond" w:hAnsi="Garamond" w:cs="Times New Roman"/>
                <w:szCs w:val="20"/>
              </w:rPr>
            </w:pPr>
            <w:r w:rsidRPr="00611F84">
              <w:rPr>
                <w:rFonts w:ascii="Garamond" w:eastAsia="Times New Roman" w:hAnsi="Garamond" w:cs="Times New Roman"/>
                <w:szCs w:val="20"/>
              </w:rPr>
              <w:lastRenderedPageBreak/>
              <w:t>L. Yang (2014)</w:t>
            </w:r>
          </w:p>
        </w:tc>
        <w:tc>
          <w:tcPr>
            <w:tcW w:w="1980" w:type="dxa"/>
            <w:tcBorders>
              <w:top w:val="nil"/>
              <w:left w:val="nil"/>
              <w:bottom w:val="single" w:sz="4" w:space="0" w:color="auto"/>
              <w:right w:val="single" w:sz="4" w:space="0" w:color="auto"/>
            </w:tcBorders>
            <w:shd w:val="clear" w:color="auto" w:fill="auto"/>
            <w:hideMark/>
          </w:tcPr>
          <w:p w14:paraId="34F156D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Collaborative writing</w:t>
            </w:r>
          </w:p>
        </w:tc>
        <w:tc>
          <w:tcPr>
            <w:tcW w:w="2160" w:type="dxa"/>
            <w:tcBorders>
              <w:top w:val="nil"/>
              <w:left w:val="nil"/>
              <w:bottom w:val="single" w:sz="4" w:space="0" w:color="auto"/>
              <w:right w:val="single" w:sz="4" w:space="0" w:color="auto"/>
            </w:tcBorders>
            <w:shd w:val="clear" w:color="auto" w:fill="auto"/>
            <w:hideMark/>
          </w:tcPr>
          <w:p w14:paraId="299CFCA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Collaborative writing was greatly influenced by each member’s L1 background, L2 proficiency, and shared group rules.</w:t>
            </w:r>
          </w:p>
        </w:tc>
        <w:tc>
          <w:tcPr>
            <w:tcW w:w="1530" w:type="dxa"/>
            <w:tcBorders>
              <w:top w:val="nil"/>
              <w:left w:val="nil"/>
              <w:bottom w:val="single" w:sz="4" w:space="0" w:color="auto"/>
              <w:right w:val="single" w:sz="4" w:space="0" w:color="auto"/>
            </w:tcBorders>
            <w:shd w:val="clear" w:color="auto" w:fill="auto"/>
            <w:hideMark/>
          </w:tcPr>
          <w:p w14:paraId="0694586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13 under-grads </w:t>
            </w:r>
          </w:p>
        </w:tc>
        <w:tc>
          <w:tcPr>
            <w:tcW w:w="1530" w:type="dxa"/>
            <w:tcBorders>
              <w:top w:val="nil"/>
              <w:left w:val="nil"/>
              <w:bottom w:val="single" w:sz="4" w:space="0" w:color="auto"/>
              <w:right w:val="single" w:sz="4" w:space="0" w:color="auto"/>
            </w:tcBorders>
            <w:shd w:val="clear" w:color="auto" w:fill="auto"/>
            <w:hideMark/>
          </w:tcPr>
          <w:p w14:paraId="0410057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Vietnamese L1</w:t>
            </w:r>
          </w:p>
        </w:tc>
        <w:tc>
          <w:tcPr>
            <w:tcW w:w="1080" w:type="dxa"/>
            <w:tcBorders>
              <w:top w:val="nil"/>
              <w:left w:val="nil"/>
              <w:bottom w:val="single" w:sz="4" w:space="0" w:color="auto"/>
              <w:right w:val="single" w:sz="4" w:space="0" w:color="auto"/>
            </w:tcBorders>
            <w:shd w:val="clear" w:color="auto" w:fill="auto"/>
            <w:hideMark/>
          </w:tcPr>
          <w:p w14:paraId="75AE79D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(Canada)</w:t>
            </w:r>
          </w:p>
        </w:tc>
        <w:tc>
          <w:tcPr>
            <w:tcW w:w="1440" w:type="dxa"/>
            <w:tcBorders>
              <w:top w:val="nil"/>
              <w:left w:val="nil"/>
              <w:bottom w:val="single" w:sz="4" w:space="0" w:color="auto"/>
              <w:right w:val="single" w:sz="4" w:space="0" w:color="auto"/>
            </w:tcBorders>
            <w:shd w:val="clear" w:color="auto" w:fill="auto"/>
            <w:hideMark/>
          </w:tcPr>
          <w:p w14:paraId="41856EF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Activity theory</w:t>
            </w:r>
          </w:p>
        </w:tc>
        <w:tc>
          <w:tcPr>
            <w:tcW w:w="990" w:type="dxa"/>
            <w:tcBorders>
              <w:top w:val="nil"/>
              <w:left w:val="nil"/>
              <w:bottom w:val="single" w:sz="4" w:space="0" w:color="auto"/>
              <w:right w:val="single" w:sz="4" w:space="0" w:color="auto"/>
            </w:tcBorders>
            <w:shd w:val="clear" w:color="auto" w:fill="auto"/>
            <w:hideMark/>
          </w:tcPr>
          <w:p w14:paraId="36FE102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4BBEAAF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Writing assignments, classroom observations, interviews, and group discussion</w:t>
            </w:r>
          </w:p>
        </w:tc>
        <w:tc>
          <w:tcPr>
            <w:tcW w:w="1440" w:type="dxa"/>
            <w:tcBorders>
              <w:top w:val="nil"/>
              <w:left w:val="nil"/>
              <w:bottom w:val="single" w:sz="4" w:space="0" w:color="auto"/>
              <w:right w:val="single" w:sz="4" w:space="0" w:color="auto"/>
            </w:tcBorders>
            <w:shd w:val="clear" w:color="auto" w:fill="auto"/>
            <w:hideMark/>
          </w:tcPr>
          <w:p w14:paraId="6CB2B1A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semesters</w:t>
            </w:r>
          </w:p>
        </w:tc>
      </w:tr>
      <w:tr w:rsidR="00611F84" w:rsidRPr="00611F84" w14:paraId="37EEA680"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hideMark/>
          </w:tcPr>
          <w:p w14:paraId="722CB48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M. Yang (2023)</w:t>
            </w:r>
          </w:p>
        </w:tc>
        <w:tc>
          <w:tcPr>
            <w:tcW w:w="1980" w:type="dxa"/>
            <w:tcBorders>
              <w:top w:val="nil"/>
              <w:left w:val="nil"/>
              <w:bottom w:val="single" w:sz="4" w:space="0" w:color="auto"/>
              <w:right w:val="single" w:sz="4" w:space="0" w:color="auto"/>
            </w:tcBorders>
            <w:shd w:val="clear" w:color="auto" w:fill="auto"/>
            <w:hideMark/>
          </w:tcPr>
          <w:p w14:paraId="38176F2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Feedback, student</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teacher negotiations</w:t>
            </w:r>
          </w:p>
        </w:tc>
        <w:tc>
          <w:tcPr>
            <w:tcW w:w="2160" w:type="dxa"/>
            <w:tcBorders>
              <w:top w:val="nil"/>
              <w:left w:val="nil"/>
              <w:bottom w:val="single" w:sz="4" w:space="0" w:color="auto"/>
              <w:right w:val="single" w:sz="4" w:space="0" w:color="auto"/>
            </w:tcBorders>
            <w:shd w:val="clear" w:color="auto" w:fill="auto"/>
            <w:hideMark/>
          </w:tcPr>
          <w:p w14:paraId="7610BEA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Supervisor</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student interactions helped the students develop essential cognitive skills for research writing. Reflections on feedback were critical to improving the student’s academic writing.</w:t>
            </w:r>
          </w:p>
        </w:tc>
        <w:tc>
          <w:tcPr>
            <w:tcW w:w="1530" w:type="dxa"/>
            <w:tcBorders>
              <w:top w:val="nil"/>
              <w:left w:val="nil"/>
              <w:bottom w:val="single" w:sz="4" w:space="0" w:color="auto"/>
              <w:right w:val="single" w:sz="4" w:space="0" w:color="auto"/>
            </w:tcBorders>
            <w:shd w:val="clear" w:color="auto" w:fill="auto"/>
            <w:hideMark/>
          </w:tcPr>
          <w:p w14:paraId="7B6FEEE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grad student and 1 professor</w:t>
            </w:r>
          </w:p>
        </w:tc>
        <w:tc>
          <w:tcPr>
            <w:tcW w:w="1530" w:type="dxa"/>
            <w:tcBorders>
              <w:top w:val="nil"/>
              <w:left w:val="nil"/>
              <w:bottom w:val="single" w:sz="4" w:space="0" w:color="auto"/>
              <w:right w:val="single" w:sz="4" w:space="0" w:color="auto"/>
            </w:tcBorders>
            <w:shd w:val="clear" w:color="auto" w:fill="auto"/>
            <w:hideMark/>
          </w:tcPr>
          <w:p w14:paraId="102DF28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4DBD3B2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(HK)</w:t>
            </w:r>
          </w:p>
        </w:tc>
        <w:tc>
          <w:tcPr>
            <w:tcW w:w="1440" w:type="dxa"/>
            <w:tcBorders>
              <w:top w:val="nil"/>
              <w:left w:val="nil"/>
              <w:bottom w:val="single" w:sz="4" w:space="0" w:color="auto"/>
              <w:right w:val="single" w:sz="4" w:space="0" w:color="auto"/>
            </w:tcBorders>
            <w:shd w:val="clear" w:color="auto" w:fill="auto"/>
            <w:hideMark/>
          </w:tcPr>
          <w:p w14:paraId="6F93C79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Academic discourse socialization</w:t>
            </w:r>
          </w:p>
        </w:tc>
        <w:tc>
          <w:tcPr>
            <w:tcW w:w="990" w:type="dxa"/>
            <w:tcBorders>
              <w:top w:val="nil"/>
              <w:left w:val="nil"/>
              <w:bottom w:val="single" w:sz="4" w:space="0" w:color="auto"/>
              <w:right w:val="single" w:sz="4" w:space="0" w:color="auto"/>
            </w:tcBorders>
            <w:shd w:val="clear" w:color="auto" w:fill="auto"/>
            <w:hideMark/>
          </w:tcPr>
          <w:p w14:paraId="135C1BE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4FA7747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Drafts of a research article, supervisory feedback, student reflections, interviews, and observations</w:t>
            </w:r>
          </w:p>
        </w:tc>
        <w:tc>
          <w:tcPr>
            <w:tcW w:w="1440" w:type="dxa"/>
            <w:tcBorders>
              <w:top w:val="nil"/>
              <w:left w:val="nil"/>
              <w:bottom w:val="single" w:sz="4" w:space="0" w:color="auto"/>
              <w:right w:val="single" w:sz="4" w:space="0" w:color="auto"/>
            </w:tcBorders>
            <w:shd w:val="clear" w:color="auto" w:fill="auto"/>
            <w:hideMark/>
          </w:tcPr>
          <w:p w14:paraId="662BC34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1.5 years</w:t>
            </w:r>
          </w:p>
        </w:tc>
      </w:tr>
      <w:tr w:rsidR="00611F84" w:rsidRPr="00611F84" w14:paraId="3C48BF6F" w14:textId="77777777" w:rsidTr="00611F84">
        <w:trPr>
          <w:trHeight w:val="1997"/>
        </w:trPr>
        <w:tc>
          <w:tcPr>
            <w:tcW w:w="1620" w:type="dxa"/>
            <w:tcBorders>
              <w:top w:val="nil"/>
              <w:left w:val="single" w:sz="4" w:space="0" w:color="auto"/>
              <w:bottom w:val="single" w:sz="4" w:space="0" w:color="auto"/>
              <w:right w:val="single" w:sz="4" w:space="0" w:color="auto"/>
            </w:tcBorders>
            <w:shd w:val="clear" w:color="auto" w:fill="auto"/>
            <w:hideMark/>
          </w:tcPr>
          <w:p w14:paraId="5976491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Yoon &amp; Abdi Tabari (2023)</w:t>
            </w:r>
          </w:p>
        </w:tc>
        <w:tc>
          <w:tcPr>
            <w:tcW w:w="1980" w:type="dxa"/>
            <w:tcBorders>
              <w:top w:val="nil"/>
              <w:left w:val="nil"/>
              <w:bottom w:val="single" w:sz="4" w:space="0" w:color="auto"/>
              <w:right w:val="single" w:sz="4" w:space="0" w:color="auto"/>
            </w:tcBorders>
            <w:shd w:val="clear" w:color="auto" w:fill="auto"/>
            <w:hideMark/>
          </w:tcPr>
          <w:p w14:paraId="29DE502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use and integration</w:t>
            </w:r>
            <w:r w:rsidRPr="00611F84">
              <w:rPr>
                <w:rFonts w:ascii="Garamond" w:eastAsia="Times New Roman" w:hAnsi="Garamond" w:cs="Times New Roman"/>
                <w:szCs w:val="20"/>
              </w:rPr>
              <w:br/>
              <w:t>• Authorial voice</w:t>
            </w:r>
          </w:p>
        </w:tc>
        <w:tc>
          <w:tcPr>
            <w:tcW w:w="2160" w:type="dxa"/>
            <w:tcBorders>
              <w:top w:val="nil"/>
              <w:left w:val="nil"/>
              <w:bottom w:val="single" w:sz="4" w:space="0" w:color="auto"/>
              <w:right w:val="single" w:sz="4" w:space="0" w:color="auto"/>
            </w:tcBorders>
            <w:shd w:val="clear" w:color="auto" w:fill="auto"/>
            <w:hideMark/>
          </w:tcPr>
          <w:p w14:paraId="50B65B8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Overall, a greater use of textual voices was found in opinion-based writing. More competent writers employed a wider range of hedges in the synthesis section of source-based writing.</w:t>
            </w:r>
          </w:p>
        </w:tc>
        <w:tc>
          <w:tcPr>
            <w:tcW w:w="1530" w:type="dxa"/>
            <w:tcBorders>
              <w:top w:val="nil"/>
              <w:left w:val="nil"/>
              <w:bottom w:val="single" w:sz="4" w:space="0" w:color="auto"/>
              <w:right w:val="single" w:sz="4" w:space="0" w:color="auto"/>
            </w:tcBorders>
            <w:shd w:val="clear" w:color="auto" w:fill="auto"/>
            <w:hideMark/>
          </w:tcPr>
          <w:p w14:paraId="7EE26F6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55 under-grads </w:t>
            </w:r>
          </w:p>
        </w:tc>
        <w:tc>
          <w:tcPr>
            <w:tcW w:w="1530" w:type="dxa"/>
            <w:tcBorders>
              <w:top w:val="nil"/>
              <w:left w:val="nil"/>
              <w:bottom w:val="single" w:sz="4" w:space="0" w:color="auto"/>
              <w:right w:val="single" w:sz="4" w:space="0" w:color="auto"/>
            </w:tcBorders>
            <w:shd w:val="clear" w:color="auto" w:fill="auto"/>
            <w:hideMark/>
          </w:tcPr>
          <w:p w14:paraId="4FD8E46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Spanish L1</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Portuguese L1</w:t>
            </w:r>
            <w:r w:rsidRPr="00611F84">
              <w:rPr>
                <w:rFonts w:ascii="Garamond" w:eastAsia="Times New Roman" w:hAnsi="Garamond" w:cs="Times New Roman"/>
                <w:szCs w:val="20"/>
              </w:rPr>
              <w:br/>
              <w:t>Dutch L1</w:t>
            </w:r>
            <w:r w:rsidRPr="00611F84">
              <w:rPr>
                <w:rFonts w:ascii="Garamond" w:eastAsia="Times New Roman" w:hAnsi="Garamond" w:cs="Times New Roman"/>
                <w:szCs w:val="20"/>
              </w:rPr>
              <w:br/>
            </w:r>
            <w:r w:rsidRPr="00611F84">
              <w:rPr>
                <w:rFonts w:ascii="Garamond" w:hAnsi="Garamond" w:cs="Times New Roman"/>
                <w:szCs w:val="20"/>
              </w:rPr>
              <w:t>other L1</w:t>
            </w:r>
          </w:p>
        </w:tc>
        <w:tc>
          <w:tcPr>
            <w:tcW w:w="1080" w:type="dxa"/>
            <w:tcBorders>
              <w:top w:val="nil"/>
              <w:left w:val="nil"/>
              <w:bottom w:val="single" w:sz="4" w:space="0" w:color="auto"/>
              <w:right w:val="single" w:sz="4" w:space="0" w:color="auto"/>
            </w:tcBorders>
            <w:shd w:val="clear" w:color="auto" w:fill="auto"/>
            <w:hideMark/>
          </w:tcPr>
          <w:p w14:paraId="4EBF851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24624B6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Hyland’s interactional model of voice</w:t>
            </w:r>
            <w:r w:rsidRPr="00611F84">
              <w:rPr>
                <w:rFonts w:ascii="Garamond" w:eastAsia="Times New Roman" w:hAnsi="Garamond" w:cs="Times New Roman"/>
                <w:szCs w:val="20"/>
              </w:rPr>
              <w:br/>
              <w:t>and Toulmin’s model of argumentation</w:t>
            </w:r>
          </w:p>
        </w:tc>
        <w:tc>
          <w:tcPr>
            <w:tcW w:w="990" w:type="dxa"/>
            <w:tcBorders>
              <w:top w:val="nil"/>
              <w:left w:val="nil"/>
              <w:bottom w:val="single" w:sz="4" w:space="0" w:color="auto"/>
              <w:right w:val="single" w:sz="4" w:space="0" w:color="auto"/>
            </w:tcBorders>
            <w:shd w:val="clear" w:color="auto" w:fill="auto"/>
            <w:hideMark/>
          </w:tcPr>
          <w:p w14:paraId="69F38C27"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3F5496E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Source-based essays and opinion-based essays</w:t>
            </w:r>
          </w:p>
        </w:tc>
        <w:tc>
          <w:tcPr>
            <w:tcW w:w="1440" w:type="dxa"/>
            <w:tcBorders>
              <w:top w:val="nil"/>
              <w:left w:val="nil"/>
              <w:bottom w:val="single" w:sz="4" w:space="0" w:color="auto"/>
              <w:right w:val="single" w:sz="4" w:space="0" w:color="auto"/>
            </w:tcBorders>
            <w:shd w:val="clear" w:color="auto" w:fill="auto"/>
            <w:hideMark/>
          </w:tcPr>
          <w:p w14:paraId="2B2EC50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4 weeks</w:t>
            </w:r>
          </w:p>
        </w:tc>
      </w:tr>
      <w:tr w:rsidR="00611F84" w:rsidRPr="00611F84" w14:paraId="0FD6A8A0"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hideMark/>
          </w:tcPr>
          <w:p w14:paraId="4DE4D9C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Yu &amp; Poehner (2023)</w:t>
            </w:r>
          </w:p>
        </w:tc>
        <w:tc>
          <w:tcPr>
            <w:tcW w:w="1980" w:type="dxa"/>
            <w:tcBorders>
              <w:top w:val="nil"/>
              <w:left w:val="nil"/>
              <w:bottom w:val="single" w:sz="4" w:space="0" w:color="auto"/>
              <w:right w:val="single" w:sz="4" w:space="0" w:color="auto"/>
            </w:tcBorders>
            <w:shd w:val="clear" w:color="auto" w:fill="auto"/>
            <w:hideMark/>
          </w:tcPr>
          <w:p w14:paraId="5F83293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Instruction and intervention</w:t>
            </w:r>
          </w:p>
        </w:tc>
        <w:tc>
          <w:tcPr>
            <w:tcW w:w="2160" w:type="dxa"/>
            <w:tcBorders>
              <w:top w:val="nil"/>
              <w:left w:val="nil"/>
              <w:bottom w:val="single" w:sz="4" w:space="0" w:color="auto"/>
              <w:right w:val="single" w:sz="4" w:space="0" w:color="auto"/>
            </w:tcBorders>
            <w:shd w:val="clear" w:color="auto" w:fill="auto"/>
            <w:hideMark/>
          </w:tcPr>
          <w:p w14:paraId="45D1FEB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experimental group (receiving dynamic assessment-informed enrichment) surpassed the control group in their writing performance on the posttest, indicating its pedagogical potential.</w:t>
            </w:r>
          </w:p>
        </w:tc>
        <w:tc>
          <w:tcPr>
            <w:tcW w:w="1530" w:type="dxa"/>
            <w:tcBorders>
              <w:top w:val="nil"/>
              <w:left w:val="nil"/>
              <w:bottom w:val="single" w:sz="4" w:space="0" w:color="auto"/>
              <w:right w:val="single" w:sz="4" w:space="0" w:color="auto"/>
            </w:tcBorders>
            <w:shd w:val="clear" w:color="auto" w:fill="auto"/>
            <w:hideMark/>
          </w:tcPr>
          <w:p w14:paraId="2425D8D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13 students (aged 18</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30)</w:t>
            </w:r>
          </w:p>
        </w:tc>
        <w:tc>
          <w:tcPr>
            <w:tcW w:w="1530" w:type="dxa"/>
            <w:tcBorders>
              <w:top w:val="nil"/>
              <w:left w:val="nil"/>
              <w:bottom w:val="single" w:sz="4" w:space="0" w:color="auto"/>
              <w:right w:val="single" w:sz="4" w:space="0" w:color="auto"/>
            </w:tcBorders>
            <w:shd w:val="clear" w:color="auto" w:fill="auto"/>
            <w:hideMark/>
          </w:tcPr>
          <w:p w14:paraId="5AFBD36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Japanese L1</w:t>
            </w:r>
            <w:r w:rsidRPr="00611F84">
              <w:rPr>
                <w:rFonts w:ascii="Garamond" w:eastAsia="Times New Roman" w:hAnsi="Garamond" w:cs="Times New Roman"/>
                <w:szCs w:val="20"/>
              </w:rPr>
              <w:br/>
              <w:t>Vietnamese L1</w:t>
            </w:r>
          </w:p>
        </w:tc>
        <w:tc>
          <w:tcPr>
            <w:tcW w:w="1080" w:type="dxa"/>
            <w:tcBorders>
              <w:top w:val="nil"/>
              <w:left w:val="nil"/>
              <w:bottom w:val="single" w:sz="4" w:space="0" w:color="auto"/>
              <w:right w:val="single" w:sz="4" w:space="0" w:color="auto"/>
            </w:tcBorders>
            <w:shd w:val="clear" w:color="auto" w:fill="auto"/>
            <w:hideMark/>
          </w:tcPr>
          <w:p w14:paraId="09EA95A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077AE83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Vygotsky’s sociocultural theory </w:t>
            </w:r>
          </w:p>
        </w:tc>
        <w:tc>
          <w:tcPr>
            <w:tcW w:w="990" w:type="dxa"/>
            <w:tcBorders>
              <w:top w:val="nil"/>
              <w:left w:val="nil"/>
              <w:bottom w:val="single" w:sz="4" w:space="0" w:color="auto"/>
              <w:right w:val="single" w:sz="4" w:space="0" w:color="auto"/>
            </w:tcBorders>
            <w:shd w:val="clear" w:color="auto" w:fill="auto"/>
            <w:hideMark/>
          </w:tcPr>
          <w:p w14:paraId="112BCF6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58BFEC6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Two integrated reading</w:t>
            </w:r>
            <w:r w:rsidRPr="00611F84">
              <w:rPr>
                <w:rFonts w:ascii="Times New Roman" w:eastAsia="Times New Roman" w:hAnsi="Times New Roman" w:cs="Times New Roman"/>
                <w:szCs w:val="20"/>
              </w:rPr>
              <w:t>‒</w:t>
            </w:r>
            <w:r w:rsidRPr="00611F84">
              <w:rPr>
                <w:rFonts w:ascii="Garamond" w:eastAsia="Times New Roman" w:hAnsi="Garamond" w:cs="Times New Roman"/>
                <w:szCs w:val="20"/>
              </w:rPr>
              <w:t>writing tasks</w:t>
            </w:r>
          </w:p>
        </w:tc>
        <w:tc>
          <w:tcPr>
            <w:tcW w:w="1440" w:type="dxa"/>
            <w:tcBorders>
              <w:top w:val="nil"/>
              <w:left w:val="nil"/>
              <w:bottom w:val="single" w:sz="4" w:space="0" w:color="auto"/>
              <w:right w:val="single" w:sz="4" w:space="0" w:color="auto"/>
            </w:tcBorders>
            <w:shd w:val="clear" w:color="auto" w:fill="auto"/>
            <w:hideMark/>
          </w:tcPr>
          <w:p w14:paraId="55DCB9F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5 weeks</w:t>
            </w:r>
          </w:p>
        </w:tc>
      </w:tr>
      <w:tr w:rsidR="00611F84" w:rsidRPr="00611F84" w14:paraId="747B91D5"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390FB39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C. Zhang (2013)</w:t>
            </w:r>
          </w:p>
        </w:tc>
        <w:tc>
          <w:tcPr>
            <w:tcW w:w="1980" w:type="dxa"/>
            <w:tcBorders>
              <w:top w:val="nil"/>
              <w:left w:val="nil"/>
              <w:bottom w:val="single" w:sz="4" w:space="0" w:color="auto"/>
              <w:right w:val="single" w:sz="4" w:space="0" w:color="auto"/>
            </w:tcBorders>
            <w:shd w:val="clear" w:color="auto" w:fill="auto"/>
            <w:hideMark/>
          </w:tcPr>
          <w:p w14:paraId="2A690A1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Instruction and intervention</w:t>
            </w:r>
          </w:p>
        </w:tc>
        <w:tc>
          <w:tcPr>
            <w:tcW w:w="2160" w:type="dxa"/>
            <w:tcBorders>
              <w:top w:val="nil"/>
              <w:left w:val="nil"/>
              <w:bottom w:val="single" w:sz="4" w:space="0" w:color="auto"/>
              <w:right w:val="single" w:sz="4" w:space="0" w:color="auto"/>
            </w:tcBorders>
            <w:shd w:val="clear" w:color="auto" w:fill="auto"/>
            <w:hideMark/>
          </w:tcPr>
          <w:p w14:paraId="1AB5A9B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The experimental group that received discourse synthesis instruction outperformed the control group, demonstrating the instructional effect.</w:t>
            </w:r>
          </w:p>
        </w:tc>
        <w:tc>
          <w:tcPr>
            <w:tcW w:w="1530" w:type="dxa"/>
            <w:tcBorders>
              <w:top w:val="nil"/>
              <w:left w:val="nil"/>
              <w:bottom w:val="single" w:sz="4" w:space="0" w:color="auto"/>
              <w:right w:val="single" w:sz="4" w:space="0" w:color="auto"/>
            </w:tcBorders>
            <w:shd w:val="clear" w:color="auto" w:fill="auto"/>
            <w:hideMark/>
          </w:tcPr>
          <w:p w14:paraId="463DA22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29 under-grads </w:t>
            </w:r>
          </w:p>
        </w:tc>
        <w:tc>
          <w:tcPr>
            <w:tcW w:w="1530" w:type="dxa"/>
            <w:tcBorders>
              <w:top w:val="nil"/>
              <w:left w:val="nil"/>
              <w:bottom w:val="single" w:sz="4" w:space="0" w:color="auto"/>
              <w:right w:val="single" w:sz="4" w:space="0" w:color="auto"/>
            </w:tcBorders>
            <w:shd w:val="clear" w:color="auto" w:fill="auto"/>
            <w:hideMark/>
          </w:tcPr>
          <w:p w14:paraId="4581D07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Arabic L1</w:t>
            </w:r>
            <w:r w:rsidRPr="00611F84">
              <w:rPr>
                <w:rFonts w:ascii="Garamond" w:eastAsia="Times New Roman" w:hAnsi="Garamond" w:cs="Times New Roman"/>
                <w:szCs w:val="20"/>
              </w:rPr>
              <w:br/>
              <w:t>Chinese L1</w:t>
            </w:r>
            <w:r w:rsidRPr="00611F84">
              <w:rPr>
                <w:rFonts w:ascii="Garamond" w:eastAsia="Times New Roman" w:hAnsi="Garamond" w:cs="Times New Roman"/>
                <w:szCs w:val="20"/>
              </w:rPr>
              <w:br/>
              <w:t>Japanese L1</w:t>
            </w:r>
            <w:r w:rsidRPr="00611F84">
              <w:rPr>
                <w:rFonts w:ascii="Garamond" w:eastAsia="Times New Roman" w:hAnsi="Garamond" w:cs="Times New Roman"/>
                <w:szCs w:val="20"/>
              </w:rPr>
              <w:br/>
              <w:t>Spanish L1</w:t>
            </w:r>
          </w:p>
        </w:tc>
        <w:tc>
          <w:tcPr>
            <w:tcW w:w="1080" w:type="dxa"/>
            <w:tcBorders>
              <w:top w:val="nil"/>
              <w:left w:val="nil"/>
              <w:bottom w:val="single" w:sz="4" w:space="0" w:color="auto"/>
              <w:right w:val="single" w:sz="4" w:space="0" w:color="auto"/>
            </w:tcBorders>
            <w:shd w:val="clear" w:color="auto" w:fill="auto"/>
            <w:hideMark/>
          </w:tcPr>
          <w:p w14:paraId="20271E1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17BAA01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Spivey’s discourse synthesis</w:t>
            </w:r>
          </w:p>
        </w:tc>
        <w:tc>
          <w:tcPr>
            <w:tcW w:w="990" w:type="dxa"/>
            <w:tcBorders>
              <w:top w:val="nil"/>
              <w:left w:val="nil"/>
              <w:bottom w:val="single" w:sz="4" w:space="0" w:color="auto"/>
              <w:right w:val="single" w:sz="4" w:space="0" w:color="auto"/>
            </w:tcBorders>
            <w:shd w:val="clear" w:color="auto" w:fill="auto"/>
            <w:hideMark/>
          </w:tcPr>
          <w:p w14:paraId="6D9D5C1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QT</w:t>
            </w:r>
          </w:p>
        </w:tc>
        <w:tc>
          <w:tcPr>
            <w:tcW w:w="1440" w:type="dxa"/>
            <w:tcBorders>
              <w:top w:val="nil"/>
              <w:left w:val="nil"/>
              <w:bottom w:val="single" w:sz="4" w:space="0" w:color="auto"/>
              <w:right w:val="single" w:sz="4" w:space="0" w:color="auto"/>
            </w:tcBorders>
            <w:shd w:val="clear" w:color="auto" w:fill="auto"/>
            <w:hideMark/>
          </w:tcPr>
          <w:p w14:paraId="48E3ADB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 and posttests and instructional materials</w:t>
            </w:r>
          </w:p>
        </w:tc>
        <w:tc>
          <w:tcPr>
            <w:tcW w:w="1440" w:type="dxa"/>
            <w:tcBorders>
              <w:top w:val="nil"/>
              <w:left w:val="nil"/>
              <w:bottom w:val="single" w:sz="4" w:space="0" w:color="auto"/>
              <w:right w:val="single" w:sz="4" w:space="0" w:color="auto"/>
            </w:tcBorders>
            <w:shd w:val="clear" w:color="auto" w:fill="auto"/>
            <w:hideMark/>
          </w:tcPr>
          <w:p w14:paraId="618CE00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semester</w:t>
            </w:r>
          </w:p>
        </w:tc>
      </w:tr>
      <w:tr w:rsidR="00611F84" w:rsidRPr="00611F84" w14:paraId="42B0B75B" w14:textId="77777777" w:rsidTr="00611F84">
        <w:trPr>
          <w:trHeight w:val="2861"/>
        </w:trPr>
        <w:tc>
          <w:tcPr>
            <w:tcW w:w="1620" w:type="dxa"/>
            <w:tcBorders>
              <w:top w:val="nil"/>
              <w:left w:val="single" w:sz="4" w:space="0" w:color="auto"/>
              <w:bottom w:val="single" w:sz="4" w:space="0" w:color="auto"/>
              <w:right w:val="single" w:sz="4" w:space="0" w:color="auto"/>
            </w:tcBorders>
            <w:shd w:val="clear" w:color="auto" w:fill="auto"/>
            <w:hideMark/>
          </w:tcPr>
          <w:p w14:paraId="43968D0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Y. O. Zhang (2023)</w:t>
            </w:r>
          </w:p>
        </w:tc>
        <w:tc>
          <w:tcPr>
            <w:tcW w:w="1980" w:type="dxa"/>
            <w:tcBorders>
              <w:top w:val="nil"/>
              <w:left w:val="nil"/>
              <w:bottom w:val="single" w:sz="4" w:space="0" w:color="auto"/>
              <w:right w:val="single" w:sz="4" w:space="0" w:color="auto"/>
            </w:tcBorders>
            <w:shd w:val="clear" w:color="auto" w:fill="auto"/>
            <w:hideMark/>
          </w:tcPr>
          <w:p w14:paraId="01ADB1C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Feedback</w:t>
            </w:r>
            <w:r w:rsidRPr="00611F84">
              <w:rPr>
                <w:rFonts w:ascii="Garamond" w:eastAsia="Times New Roman" w:hAnsi="Garamond" w:cs="Times New Roman"/>
                <w:szCs w:val="20"/>
              </w:rPr>
              <w:br/>
              <w:t>• Supervisory feedback</w:t>
            </w:r>
          </w:p>
        </w:tc>
        <w:tc>
          <w:tcPr>
            <w:tcW w:w="2160" w:type="dxa"/>
            <w:tcBorders>
              <w:top w:val="nil"/>
              <w:left w:val="nil"/>
              <w:bottom w:val="single" w:sz="4" w:space="0" w:color="auto"/>
              <w:right w:val="single" w:sz="4" w:space="0" w:color="auto"/>
            </w:tcBorders>
            <w:shd w:val="clear" w:color="auto" w:fill="auto"/>
            <w:hideMark/>
          </w:tcPr>
          <w:p w14:paraId="7F8A879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Supervisory feedback greatly shaped how students revised their texts. For example, feedback encouraging them to consider reader perspectives was achieved by providing more meaningful elaborations for their claims.</w:t>
            </w:r>
          </w:p>
        </w:tc>
        <w:tc>
          <w:tcPr>
            <w:tcW w:w="1530" w:type="dxa"/>
            <w:tcBorders>
              <w:top w:val="nil"/>
              <w:left w:val="nil"/>
              <w:bottom w:val="single" w:sz="4" w:space="0" w:color="auto"/>
              <w:right w:val="single" w:sz="4" w:space="0" w:color="auto"/>
            </w:tcBorders>
            <w:shd w:val="clear" w:color="auto" w:fill="auto"/>
            <w:hideMark/>
          </w:tcPr>
          <w:p w14:paraId="007FC92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2 grad students</w:t>
            </w:r>
          </w:p>
        </w:tc>
        <w:tc>
          <w:tcPr>
            <w:tcW w:w="1530" w:type="dxa"/>
            <w:tcBorders>
              <w:top w:val="nil"/>
              <w:left w:val="nil"/>
              <w:bottom w:val="single" w:sz="4" w:space="0" w:color="auto"/>
              <w:right w:val="single" w:sz="4" w:space="0" w:color="auto"/>
            </w:tcBorders>
            <w:shd w:val="clear" w:color="auto" w:fill="auto"/>
            <w:hideMark/>
          </w:tcPr>
          <w:p w14:paraId="4155ABB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0EA9B30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(HK)</w:t>
            </w:r>
          </w:p>
        </w:tc>
        <w:tc>
          <w:tcPr>
            <w:tcW w:w="1440" w:type="dxa"/>
            <w:tcBorders>
              <w:top w:val="nil"/>
              <w:left w:val="nil"/>
              <w:bottom w:val="single" w:sz="4" w:space="0" w:color="auto"/>
              <w:right w:val="single" w:sz="4" w:space="0" w:color="auto"/>
            </w:tcBorders>
            <w:shd w:val="clear" w:color="auto" w:fill="auto"/>
            <w:hideMark/>
          </w:tcPr>
          <w:p w14:paraId="1F45B1D1" w14:textId="77777777" w:rsidR="00616096" w:rsidRPr="00611F84" w:rsidRDefault="00616096" w:rsidP="00924822">
            <w:pPr>
              <w:rPr>
                <w:rFonts w:ascii="Garamond" w:eastAsia="Times New Roman" w:hAnsi="Garamond" w:cs="Times New Roman"/>
                <w:szCs w:val="20"/>
              </w:rPr>
            </w:pPr>
            <w:proofErr w:type="spellStart"/>
            <w:r w:rsidRPr="00611F84">
              <w:rPr>
                <w:rFonts w:ascii="Garamond" w:eastAsia="Times New Roman" w:hAnsi="Garamond" w:cs="Times New Roman"/>
                <w:szCs w:val="20"/>
              </w:rPr>
              <w:t>Sociohistoric</w:t>
            </w:r>
            <w:proofErr w:type="spellEnd"/>
            <w:r w:rsidRPr="00611F84">
              <w:rPr>
                <w:rFonts w:ascii="Garamond" w:eastAsia="Times New Roman" w:hAnsi="Garamond" w:cs="Times New Roman"/>
                <w:szCs w:val="20"/>
              </w:rPr>
              <w:t xml:space="preserve"> perspectives</w:t>
            </w:r>
          </w:p>
        </w:tc>
        <w:tc>
          <w:tcPr>
            <w:tcW w:w="990" w:type="dxa"/>
            <w:tcBorders>
              <w:top w:val="nil"/>
              <w:left w:val="nil"/>
              <w:bottom w:val="single" w:sz="4" w:space="0" w:color="auto"/>
              <w:right w:val="single" w:sz="4" w:space="0" w:color="auto"/>
            </w:tcBorders>
            <w:shd w:val="clear" w:color="auto" w:fill="auto"/>
            <w:hideMark/>
          </w:tcPr>
          <w:p w14:paraId="4FC3611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QL+qt</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157071B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literature review chapter of a master’s thesis, supervisory feedback, learning notes, and interviews</w:t>
            </w:r>
          </w:p>
        </w:tc>
        <w:tc>
          <w:tcPr>
            <w:tcW w:w="1440" w:type="dxa"/>
            <w:tcBorders>
              <w:top w:val="nil"/>
              <w:left w:val="nil"/>
              <w:bottom w:val="single" w:sz="4" w:space="0" w:color="auto"/>
              <w:right w:val="single" w:sz="4" w:space="0" w:color="auto"/>
            </w:tcBorders>
            <w:shd w:val="clear" w:color="auto" w:fill="auto"/>
            <w:hideMark/>
          </w:tcPr>
          <w:p w14:paraId="15C85D5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year</w:t>
            </w:r>
          </w:p>
        </w:tc>
      </w:tr>
      <w:tr w:rsidR="00611F84" w:rsidRPr="00611F84" w14:paraId="7866510A" w14:textId="77777777" w:rsidTr="00611F84">
        <w:trPr>
          <w:trHeight w:val="2289"/>
        </w:trPr>
        <w:tc>
          <w:tcPr>
            <w:tcW w:w="1620" w:type="dxa"/>
            <w:tcBorders>
              <w:top w:val="nil"/>
              <w:left w:val="single" w:sz="4" w:space="0" w:color="auto"/>
              <w:bottom w:val="single" w:sz="4" w:space="0" w:color="auto"/>
              <w:right w:val="single" w:sz="4" w:space="0" w:color="auto"/>
            </w:tcBorders>
            <w:shd w:val="clear" w:color="auto" w:fill="auto"/>
            <w:hideMark/>
          </w:tcPr>
          <w:p w14:paraId="1076EA1D"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Zhao &amp; Hirvela (2015)</w:t>
            </w:r>
          </w:p>
        </w:tc>
        <w:tc>
          <w:tcPr>
            <w:tcW w:w="1980" w:type="dxa"/>
            <w:tcBorders>
              <w:top w:val="nil"/>
              <w:left w:val="nil"/>
              <w:bottom w:val="single" w:sz="4" w:space="0" w:color="auto"/>
              <w:right w:val="single" w:sz="4" w:space="0" w:color="auto"/>
            </w:tcBorders>
            <w:shd w:val="clear" w:color="auto" w:fill="auto"/>
            <w:hideMark/>
          </w:tcPr>
          <w:p w14:paraId="3D001C0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Task representations,</w:t>
            </w:r>
            <w:r w:rsidRPr="00611F84">
              <w:rPr>
                <w:rFonts w:ascii="Garamond" w:eastAsia="Times New Roman" w:hAnsi="Garamond" w:cs="Times New Roman"/>
                <w:szCs w:val="20"/>
              </w:rPr>
              <w:br/>
              <w:t>composing processes</w:t>
            </w:r>
          </w:p>
        </w:tc>
        <w:tc>
          <w:tcPr>
            <w:tcW w:w="2160" w:type="dxa"/>
            <w:tcBorders>
              <w:top w:val="nil"/>
              <w:left w:val="nil"/>
              <w:bottom w:val="single" w:sz="4" w:space="0" w:color="auto"/>
              <w:right w:val="single" w:sz="4" w:space="0" w:color="auto"/>
            </w:tcBorders>
            <w:shd w:val="clear" w:color="auto" w:fill="auto"/>
            <w:hideMark/>
          </w:tcPr>
          <w:p w14:paraId="483FE29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task representations of synthesis writing greatly shaped their reading and writing processes, especially how they integrated source information into their writing.</w:t>
            </w:r>
          </w:p>
        </w:tc>
        <w:tc>
          <w:tcPr>
            <w:tcW w:w="1530" w:type="dxa"/>
            <w:tcBorders>
              <w:top w:val="nil"/>
              <w:left w:val="nil"/>
              <w:bottom w:val="single" w:sz="4" w:space="0" w:color="auto"/>
              <w:right w:val="single" w:sz="4" w:space="0" w:color="auto"/>
            </w:tcBorders>
            <w:shd w:val="clear" w:color="auto" w:fill="auto"/>
            <w:hideMark/>
          </w:tcPr>
          <w:p w14:paraId="55E41DC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2 under-grads </w:t>
            </w:r>
          </w:p>
        </w:tc>
        <w:tc>
          <w:tcPr>
            <w:tcW w:w="1530" w:type="dxa"/>
            <w:tcBorders>
              <w:top w:val="nil"/>
              <w:left w:val="nil"/>
              <w:bottom w:val="single" w:sz="4" w:space="0" w:color="auto"/>
              <w:right w:val="single" w:sz="4" w:space="0" w:color="auto"/>
            </w:tcBorders>
            <w:shd w:val="clear" w:color="auto" w:fill="auto"/>
            <w:hideMark/>
          </w:tcPr>
          <w:p w14:paraId="2B576F9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5460462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0C70014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Spivey’s discourse synthesis</w:t>
            </w:r>
          </w:p>
        </w:tc>
        <w:tc>
          <w:tcPr>
            <w:tcW w:w="990" w:type="dxa"/>
            <w:tcBorders>
              <w:top w:val="nil"/>
              <w:left w:val="nil"/>
              <w:bottom w:val="single" w:sz="4" w:space="0" w:color="auto"/>
              <w:right w:val="single" w:sz="4" w:space="0" w:color="auto"/>
            </w:tcBorders>
            <w:shd w:val="clear" w:color="auto" w:fill="auto"/>
            <w:hideMark/>
          </w:tcPr>
          <w:p w14:paraId="3FEE336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3037914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A short and long synthesis paper,</w:t>
            </w:r>
            <w:r w:rsidRPr="00611F84">
              <w:rPr>
                <w:rFonts w:ascii="Garamond" w:eastAsia="Times New Roman" w:hAnsi="Garamond" w:cs="Times New Roman"/>
                <w:szCs w:val="20"/>
              </w:rPr>
              <w:br/>
              <w:t xml:space="preserve">think </w:t>
            </w:r>
            <w:proofErr w:type="spellStart"/>
            <w:r w:rsidRPr="00611F84">
              <w:rPr>
                <w:rFonts w:ascii="Garamond" w:eastAsia="Times New Roman" w:hAnsi="Garamond" w:cs="Times New Roman"/>
                <w:szCs w:val="20"/>
              </w:rPr>
              <w:t>alouds</w:t>
            </w:r>
            <w:proofErr w:type="spellEnd"/>
            <w:r w:rsidRPr="00611F84">
              <w:rPr>
                <w:rFonts w:ascii="Garamond" w:eastAsia="Times New Roman" w:hAnsi="Garamond" w:cs="Times New Roman"/>
                <w:szCs w:val="20"/>
              </w:rPr>
              <w:t>,</w:t>
            </w:r>
            <w:r w:rsidRPr="00611F84">
              <w:rPr>
                <w:rFonts w:ascii="Garamond" w:eastAsia="Times New Roman" w:hAnsi="Garamond" w:cs="Times New Roman"/>
                <w:szCs w:val="20"/>
              </w:rPr>
              <w:br/>
              <w:t>stimulated recalls,</w:t>
            </w:r>
            <w:r w:rsidRPr="00611F84">
              <w:rPr>
                <w:rFonts w:ascii="Garamond" w:eastAsia="Times New Roman" w:hAnsi="Garamond" w:cs="Times New Roman"/>
                <w:szCs w:val="20"/>
              </w:rPr>
              <w:br/>
              <w:t>interviews, and classroom observations</w:t>
            </w:r>
          </w:p>
        </w:tc>
        <w:tc>
          <w:tcPr>
            <w:tcW w:w="1440" w:type="dxa"/>
            <w:tcBorders>
              <w:top w:val="nil"/>
              <w:left w:val="nil"/>
              <w:bottom w:val="single" w:sz="4" w:space="0" w:color="auto"/>
              <w:right w:val="single" w:sz="4" w:space="0" w:color="auto"/>
            </w:tcBorders>
            <w:shd w:val="clear" w:color="auto" w:fill="auto"/>
            <w:hideMark/>
          </w:tcPr>
          <w:p w14:paraId="5ECCF881"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semester</w:t>
            </w:r>
          </w:p>
        </w:tc>
      </w:tr>
      <w:tr w:rsidR="00611F84" w:rsidRPr="00611F84" w14:paraId="77F8C6E8"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083FE73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Zheng &amp; </w:t>
            </w:r>
            <w:proofErr w:type="spellStart"/>
            <w:r w:rsidRPr="00611F84">
              <w:rPr>
                <w:rFonts w:ascii="Garamond" w:eastAsia="Times New Roman" w:hAnsi="Garamond" w:cs="Times New Roman"/>
                <w:szCs w:val="20"/>
              </w:rPr>
              <w:t>Drybrough</w:t>
            </w:r>
            <w:proofErr w:type="spellEnd"/>
            <w:r w:rsidRPr="00611F84">
              <w:rPr>
                <w:rFonts w:ascii="Garamond" w:eastAsia="Times New Roman" w:hAnsi="Garamond" w:cs="Times New Roman"/>
                <w:szCs w:val="20"/>
              </w:rPr>
              <w:t xml:space="preserve"> (2023)</w:t>
            </w:r>
          </w:p>
        </w:tc>
        <w:tc>
          <w:tcPr>
            <w:tcW w:w="1980" w:type="dxa"/>
            <w:tcBorders>
              <w:top w:val="nil"/>
              <w:left w:val="nil"/>
              <w:bottom w:val="single" w:sz="4" w:space="0" w:color="auto"/>
              <w:right w:val="single" w:sz="4" w:space="0" w:color="auto"/>
            </w:tcBorders>
            <w:shd w:val="clear" w:color="auto" w:fill="auto"/>
            <w:hideMark/>
          </w:tcPr>
          <w:p w14:paraId="1696091E"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Translingual composing</w:t>
            </w:r>
          </w:p>
        </w:tc>
        <w:tc>
          <w:tcPr>
            <w:tcW w:w="2160" w:type="dxa"/>
            <w:tcBorders>
              <w:top w:val="nil"/>
              <w:left w:val="nil"/>
              <w:bottom w:val="single" w:sz="4" w:space="0" w:color="auto"/>
              <w:right w:val="single" w:sz="4" w:space="0" w:color="auto"/>
            </w:tcBorders>
            <w:shd w:val="clear" w:color="auto" w:fill="auto"/>
            <w:hideMark/>
          </w:tcPr>
          <w:p w14:paraId="14E8791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Students’ translanguaging practices facilitated their ability to self-regulate their thesis writing process to reach their desired goals.</w:t>
            </w:r>
          </w:p>
        </w:tc>
        <w:tc>
          <w:tcPr>
            <w:tcW w:w="1530" w:type="dxa"/>
            <w:tcBorders>
              <w:top w:val="nil"/>
              <w:left w:val="nil"/>
              <w:bottom w:val="single" w:sz="4" w:space="0" w:color="auto"/>
              <w:right w:val="single" w:sz="4" w:space="0" w:color="auto"/>
            </w:tcBorders>
            <w:shd w:val="clear" w:color="auto" w:fill="auto"/>
            <w:hideMark/>
          </w:tcPr>
          <w:p w14:paraId="357A8C9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5 grad students</w:t>
            </w:r>
          </w:p>
        </w:tc>
        <w:tc>
          <w:tcPr>
            <w:tcW w:w="1530" w:type="dxa"/>
            <w:tcBorders>
              <w:top w:val="nil"/>
              <w:left w:val="nil"/>
              <w:bottom w:val="single" w:sz="4" w:space="0" w:color="auto"/>
              <w:right w:val="single" w:sz="4" w:space="0" w:color="auto"/>
            </w:tcBorders>
            <w:shd w:val="clear" w:color="auto" w:fill="auto"/>
            <w:hideMark/>
          </w:tcPr>
          <w:p w14:paraId="396FAAB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0BF5C52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(UK)</w:t>
            </w:r>
          </w:p>
        </w:tc>
        <w:tc>
          <w:tcPr>
            <w:tcW w:w="1440" w:type="dxa"/>
            <w:tcBorders>
              <w:top w:val="nil"/>
              <w:left w:val="nil"/>
              <w:bottom w:val="single" w:sz="4" w:space="0" w:color="auto"/>
              <w:right w:val="single" w:sz="4" w:space="0" w:color="auto"/>
            </w:tcBorders>
            <w:shd w:val="clear" w:color="auto" w:fill="auto"/>
            <w:hideMark/>
          </w:tcPr>
          <w:p w14:paraId="6E98BD8F"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Translanguaging</w:t>
            </w:r>
          </w:p>
        </w:tc>
        <w:tc>
          <w:tcPr>
            <w:tcW w:w="990" w:type="dxa"/>
            <w:tcBorders>
              <w:top w:val="nil"/>
              <w:left w:val="nil"/>
              <w:bottom w:val="single" w:sz="4" w:space="0" w:color="auto"/>
              <w:right w:val="single" w:sz="4" w:space="0" w:color="auto"/>
            </w:tcBorders>
            <w:shd w:val="clear" w:color="auto" w:fill="auto"/>
            <w:hideMark/>
          </w:tcPr>
          <w:p w14:paraId="74ACFBB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2B41F44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Drafts of a master’s thesis, outlines, reading notes, and</w:t>
            </w:r>
            <w:r w:rsidRPr="00611F84">
              <w:rPr>
                <w:rFonts w:ascii="Garamond" w:eastAsia="Times New Roman" w:hAnsi="Garamond" w:cs="Times New Roman"/>
                <w:szCs w:val="20"/>
              </w:rPr>
              <w:br/>
              <w:t>interviews</w:t>
            </w:r>
          </w:p>
        </w:tc>
        <w:tc>
          <w:tcPr>
            <w:tcW w:w="1440" w:type="dxa"/>
            <w:tcBorders>
              <w:top w:val="nil"/>
              <w:left w:val="nil"/>
              <w:bottom w:val="single" w:sz="4" w:space="0" w:color="auto"/>
              <w:right w:val="single" w:sz="4" w:space="0" w:color="auto"/>
            </w:tcBorders>
            <w:shd w:val="clear" w:color="auto" w:fill="auto"/>
            <w:hideMark/>
          </w:tcPr>
          <w:p w14:paraId="1C44017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r>
      <w:tr w:rsidR="00611F84" w:rsidRPr="00611F84" w14:paraId="2322A497" w14:textId="77777777" w:rsidTr="00611F84">
        <w:trPr>
          <w:trHeight w:val="1431"/>
        </w:trPr>
        <w:tc>
          <w:tcPr>
            <w:tcW w:w="1620" w:type="dxa"/>
            <w:tcBorders>
              <w:top w:val="nil"/>
              <w:left w:val="single" w:sz="4" w:space="0" w:color="auto"/>
              <w:bottom w:val="single" w:sz="4" w:space="0" w:color="auto"/>
              <w:right w:val="single" w:sz="4" w:space="0" w:color="auto"/>
            </w:tcBorders>
            <w:shd w:val="clear" w:color="auto" w:fill="auto"/>
            <w:hideMark/>
          </w:tcPr>
          <w:p w14:paraId="1DF3B795"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W. Zhu (2005)</w:t>
            </w:r>
          </w:p>
        </w:tc>
        <w:tc>
          <w:tcPr>
            <w:tcW w:w="1980" w:type="dxa"/>
            <w:tcBorders>
              <w:top w:val="nil"/>
              <w:left w:val="nil"/>
              <w:bottom w:val="single" w:sz="4" w:space="0" w:color="auto"/>
              <w:right w:val="single" w:sz="4" w:space="0" w:color="auto"/>
            </w:tcBorders>
            <w:shd w:val="clear" w:color="auto" w:fill="auto"/>
            <w:hideMark/>
          </w:tcPr>
          <w:p w14:paraId="29D6880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Task representations</w:t>
            </w:r>
          </w:p>
        </w:tc>
        <w:tc>
          <w:tcPr>
            <w:tcW w:w="2160" w:type="dxa"/>
            <w:tcBorders>
              <w:top w:val="nil"/>
              <w:left w:val="nil"/>
              <w:bottom w:val="single" w:sz="4" w:space="0" w:color="auto"/>
              <w:right w:val="single" w:sz="4" w:space="0" w:color="auto"/>
            </w:tcBorders>
            <w:shd w:val="clear" w:color="auto" w:fill="auto"/>
            <w:hideMark/>
          </w:tcPr>
          <w:p w14:paraId="262C3CAC"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Source materials helped the student develop his task representation, which was further shaped by his beliefs and goals.</w:t>
            </w:r>
          </w:p>
        </w:tc>
        <w:tc>
          <w:tcPr>
            <w:tcW w:w="1530" w:type="dxa"/>
            <w:tcBorders>
              <w:top w:val="nil"/>
              <w:left w:val="nil"/>
              <w:bottom w:val="single" w:sz="4" w:space="0" w:color="auto"/>
              <w:right w:val="single" w:sz="4" w:space="0" w:color="auto"/>
            </w:tcBorders>
            <w:shd w:val="clear" w:color="auto" w:fill="auto"/>
            <w:hideMark/>
          </w:tcPr>
          <w:p w14:paraId="0A204FB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 grad student</w:t>
            </w:r>
          </w:p>
        </w:tc>
        <w:tc>
          <w:tcPr>
            <w:tcW w:w="1530" w:type="dxa"/>
            <w:tcBorders>
              <w:top w:val="nil"/>
              <w:left w:val="nil"/>
              <w:bottom w:val="single" w:sz="4" w:space="0" w:color="auto"/>
              <w:right w:val="single" w:sz="4" w:space="0" w:color="auto"/>
            </w:tcBorders>
            <w:shd w:val="clear" w:color="auto" w:fill="auto"/>
            <w:hideMark/>
          </w:tcPr>
          <w:p w14:paraId="149E6F3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1D1DDED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ESL (USA)</w:t>
            </w:r>
          </w:p>
        </w:tc>
        <w:tc>
          <w:tcPr>
            <w:tcW w:w="1440" w:type="dxa"/>
            <w:tcBorders>
              <w:top w:val="nil"/>
              <w:left w:val="nil"/>
              <w:bottom w:val="single" w:sz="4" w:space="0" w:color="auto"/>
              <w:right w:val="single" w:sz="4" w:space="0" w:color="auto"/>
            </w:tcBorders>
            <w:shd w:val="clear" w:color="auto" w:fill="auto"/>
            <w:hideMark/>
          </w:tcPr>
          <w:p w14:paraId="1DF983C4"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No explicit mention</w:t>
            </w:r>
          </w:p>
        </w:tc>
        <w:tc>
          <w:tcPr>
            <w:tcW w:w="990" w:type="dxa"/>
            <w:tcBorders>
              <w:top w:val="nil"/>
              <w:left w:val="nil"/>
              <w:bottom w:val="single" w:sz="4" w:space="0" w:color="auto"/>
              <w:right w:val="single" w:sz="4" w:space="0" w:color="auto"/>
            </w:tcBorders>
            <w:shd w:val="clear" w:color="auto" w:fill="auto"/>
            <w:hideMark/>
          </w:tcPr>
          <w:p w14:paraId="0840C48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QL</w:t>
            </w:r>
          </w:p>
        </w:tc>
        <w:tc>
          <w:tcPr>
            <w:tcW w:w="1440" w:type="dxa"/>
            <w:tcBorders>
              <w:top w:val="nil"/>
              <w:left w:val="nil"/>
              <w:bottom w:val="single" w:sz="4" w:space="0" w:color="auto"/>
              <w:right w:val="single" w:sz="4" w:space="0" w:color="auto"/>
            </w:tcBorders>
            <w:shd w:val="clear" w:color="auto" w:fill="auto"/>
            <w:hideMark/>
          </w:tcPr>
          <w:p w14:paraId="37BF5B96"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6 library research papers, interviews, reading notes,</w:t>
            </w:r>
            <w:r w:rsidRPr="00611F84">
              <w:rPr>
                <w:rFonts w:ascii="Garamond" w:eastAsia="Times New Roman" w:hAnsi="Garamond" w:cs="Times New Roman"/>
                <w:szCs w:val="20"/>
              </w:rPr>
              <w:br/>
              <w:t>and coursework materials</w:t>
            </w:r>
          </w:p>
        </w:tc>
        <w:tc>
          <w:tcPr>
            <w:tcW w:w="1440" w:type="dxa"/>
            <w:tcBorders>
              <w:top w:val="nil"/>
              <w:left w:val="nil"/>
              <w:bottom w:val="single" w:sz="4" w:space="0" w:color="auto"/>
              <w:right w:val="single" w:sz="4" w:space="0" w:color="auto"/>
            </w:tcBorders>
            <w:shd w:val="clear" w:color="auto" w:fill="auto"/>
            <w:hideMark/>
          </w:tcPr>
          <w:p w14:paraId="4329515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3 semesters</w:t>
            </w:r>
          </w:p>
        </w:tc>
      </w:tr>
      <w:tr w:rsidR="00611F84" w:rsidRPr="00611F84" w14:paraId="347B60AB" w14:textId="77777777" w:rsidTr="00611F84">
        <w:trPr>
          <w:trHeight w:val="1717"/>
        </w:trPr>
        <w:tc>
          <w:tcPr>
            <w:tcW w:w="1620" w:type="dxa"/>
            <w:tcBorders>
              <w:top w:val="nil"/>
              <w:left w:val="single" w:sz="4" w:space="0" w:color="auto"/>
              <w:bottom w:val="single" w:sz="4" w:space="0" w:color="auto"/>
              <w:right w:val="single" w:sz="4" w:space="0" w:color="auto"/>
            </w:tcBorders>
            <w:shd w:val="clear" w:color="auto" w:fill="auto"/>
            <w:hideMark/>
          </w:tcPr>
          <w:p w14:paraId="031105DB"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X. Zhu et al. (2021)</w:t>
            </w:r>
          </w:p>
        </w:tc>
        <w:tc>
          <w:tcPr>
            <w:tcW w:w="1980" w:type="dxa"/>
            <w:tcBorders>
              <w:top w:val="nil"/>
              <w:left w:val="nil"/>
              <w:bottom w:val="single" w:sz="4" w:space="0" w:color="auto"/>
              <w:right w:val="single" w:sz="4" w:space="0" w:color="auto"/>
            </w:tcBorders>
            <w:shd w:val="clear" w:color="auto" w:fill="auto"/>
            <w:hideMark/>
          </w:tcPr>
          <w:p w14:paraId="3F1A639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Predictors of writing scores</w:t>
            </w:r>
          </w:p>
        </w:tc>
        <w:tc>
          <w:tcPr>
            <w:tcW w:w="2160" w:type="dxa"/>
            <w:tcBorders>
              <w:top w:val="nil"/>
              <w:left w:val="nil"/>
              <w:bottom w:val="single" w:sz="4" w:space="0" w:color="auto"/>
              <w:right w:val="single" w:sz="4" w:space="0" w:color="auto"/>
            </w:tcBorders>
            <w:shd w:val="clear" w:color="auto" w:fill="auto"/>
            <w:hideMark/>
          </w:tcPr>
          <w:p w14:paraId="726BB18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Three discourse synthesis skills predicted the writing performance of both Chinese and English integrated writing tasks.</w:t>
            </w:r>
          </w:p>
        </w:tc>
        <w:tc>
          <w:tcPr>
            <w:tcW w:w="1530" w:type="dxa"/>
            <w:tcBorders>
              <w:top w:val="nil"/>
              <w:left w:val="nil"/>
              <w:bottom w:val="single" w:sz="4" w:space="0" w:color="auto"/>
              <w:right w:val="single" w:sz="4" w:space="0" w:color="auto"/>
            </w:tcBorders>
            <w:shd w:val="clear" w:color="auto" w:fill="auto"/>
            <w:hideMark/>
          </w:tcPr>
          <w:p w14:paraId="2886B428"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145 high school students</w:t>
            </w:r>
          </w:p>
        </w:tc>
        <w:tc>
          <w:tcPr>
            <w:tcW w:w="1530" w:type="dxa"/>
            <w:tcBorders>
              <w:top w:val="nil"/>
              <w:left w:val="nil"/>
              <w:bottom w:val="single" w:sz="4" w:space="0" w:color="auto"/>
              <w:right w:val="single" w:sz="4" w:space="0" w:color="auto"/>
            </w:tcBorders>
            <w:shd w:val="clear" w:color="auto" w:fill="auto"/>
            <w:hideMark/>
          </w:tcPr>
          <w:p w14:paraId="52BA1ED9"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English L2</w:t>
            </w:r>
            <w:r w:rsidRPr="00611F84">
              <w:rPr>
                <w:rFonts w:ascii="Garamond" w:eastAsia="Times New Roman" w:hAnsi="Garamond" w:cs="Times New Roman"/>
                <w:szCs w:val="20"/>
              </w:rPr>
              <w:br/>
              <w:t>Chinese L1</w:t>
            </w:r>
          </w:p>
        </w:tc>
        <w:tc>
          <w:tcPr>
            <w:tcW w:w="1080" w:type="dxa"/>
            <w:tcBorders>
              <w:top w:val="nil"/>
              <w:left w:val="nil"/>
              <w:bottom w:val="single" w:sz="4" w:space="0" w:color="auto"/>
              <w:right w:val="single" w:sz="4" w:space="0" w:color="auto"/>
            </w:tcBorders>
            <w:shd w:val="clear" w:color="auto" w:fill="auto"/>
            <w:hideMark/>
          </w:tcPr>
          <w:p w14:paraId="493E4D23"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EFL (HK)</w:t>
            </w:r>
          </w:p>
        </w:tc>
        <w:tc>
          <w:tcPr>
            <w:tcW w:w="1440" w:type="dxa"/>
            <w:tcBorders>
              <w:top w:val="nil"/>
              <w:left w:val="nil"/>
              <w:bottom w:val="single" w:sz="4" w:space="0" w:color="auto"/>
              <w:right w:val="single" w:sz="4" w:space="0" w:color="auto"/>
            </w:tcBorders>
            <w:shd w:val="clear" w:color="auto" w:fill="auto"/>
            <w:hideMark/>
          </w:tcPr>
          <w:p w14:paraId="76221D8A"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Spivey’s discourse synthesis</w:t>
            </w:r>
          </w:p>
        </w:tc>
        <w:tc>
          <w:tcPr>
            <w:tcW w:w="990" w:type="dxa"/>
            <w:tcBorders>
              <w:top w:val="nil"/>
              <w:left w:val="nil"/>
              <w:bottom w:val="single" w:sz="4" w:space="0" w:color="auto"/>
              <w:right w:val="single" w:sz="4" w:space="0" w:color="auto"/>
            </w:tcBorders>
            <w:shd w:val="clear" w:color="auto" w:fill="auto"/>
            <w:hideMark/>
          </w:tcPr>
          <w:p w14:paraId="15D43192"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E (</w:t>
            </w:r>
            <w:proofErr w:type="spellStart"/>
            <w:r w:rsidRPr="00611F84">
              <w:rPr>
                <w:rFonts w:ascii="Garamond" w:eastAsia="Times New Roman" w:hAnsi="Garamond" w:cs="Times New Roman"/>
                <w:szCs w:val="20"/>
              </w:rPr>
              <w:t>QT+ql</w:t>
            </w:r>
            <w:proofErr w:type="spellEnd"/>
            <w:r w:rsidRPr="00611F84">
              <w:rPr>
                <w:rFonts w:ascii="Garamond" w:eastAsia="Times New Roman" w:hAnsi="Garamond" w:cs="Times New Roman"/>
                <w:szCs w:val="20"/>
              </w:rPr>
              <w:t>)</w:t>
            </w:r>
          </w:p>
        </w:tc>
        <w:tc>
          <w:tcPr>
            <w:tcW w:w="1440" w:type="dxa"/>
            <w:tcBorders>
              <w:top w:val="nil"/>
              <w:left w:val="nil"/>
              <w:bottom w:val="single" w:sz="4" w:space="0" w:color="auto"/>
              <w:right w:val="single" w:sz="4" w:space="0" w:color="auto"/>
            </w:tcBorders>
            <w:shd w:val="clear" w:color="auto" w:fill="auto"/>
            <w:hideMark/>
          </w:tcPr>
          <w:p w14:paraId="087E59E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t xml:space="preserve">Chinese integrated writing, English integrated writing, eye-tracking recordings, </w:t>
            </w:r>
            <w:r w:rsidRPr="00611F84">
              <w:rPr>
                <w:rFonts w:ascii="Garamond" w:eastAsia="Times New Roman" w:hAnsi="Garamond" w:cs="Times New Roman"/>
                <w:szCs w:val="20"/>
              </w:rPr>
              <w:lastRenderedPageBreak/>
              <w:t>and stimulated recalls</w:t>
            </w:r>
          </w:p>
        </w:tc>
        <w:tc>
          <w:tcPr>
            <w:tcW w:w="1440" w:type="dxa"/>
            <w:tcBorders>
              <w:top w:val="nil"/>
              <w:left w:val="nil"/>
              <w:bottom w:val="single" w:sz="4" w:space="0" w:color="auto"/>
              <w:right w:val="single" w:sz="4" w:space="0" w:color="auto"/>
            </w:tcBorders>
            <w:shd w:val="clear" w:color="auto" w:fill="auto"/>
            <w:hideMark/>
          </w:tcPr>
          <w:p w14:paraId="724AA3D0" w14:textId="77777777" w:rsidR="00616096" w:rsidRPr="00611F84" w:rsidRDefault="00616096" w:rsidP="00924822">
            <w:pPr>
              <w:rPr>
                <w:rFonts w:ascii="Garamond" w:eastAsia="Times New Roman" w:hAnsi="Garamond" w:cs="Times New Roman"/>
                <w:szCs w:val="20"/>
              </w:rPr>
            </w:pPr>
            <w:r w:rsidRPr="00611F84">
              <w:rPr>
                <w:rFonts w:ascii="Garamond" w:eastAsia="Times New Roman" w:hAnsi="Garamond" w:cs="Times New Roman"/>
                <w:szCs w:val="20"/>
              </w:rPr>
              <w:lastRenderedPageBreak/>
              <w:t xml:space="preserve">Approx. 1.5 </w:t>
            </w:r>
            <w:proofErr w:type="spellStart"/>
            <w:r w:rsidRPr="00611F84">
              <w:rPr>
                <w:rFonts w:ascii="Garamond" w:eastAsia="Times New Roman" w:hAnsi="Garamond" w:cs="Times New Roman"/>
                <w:szCs w:val="20"/>
              </w:rPr>
              <w:t>hr</w:t>
            </w:r>
            <w:proofErr w:type="spellEnd"/>
          </w:p>
        </w:tc>
      </w:tr>
    </w:tbl>
    <w:p w14:paraId="7C384E91" w14:textId="77777777" w:rsidR="00616096" w:rsidRPr="00611F84" w:rsidRDefault="00616096" w:rsidP="00616096">
      <w:pPr>
        <w:spacing w:line="480" w:lineRule="auto"/>
        <w:rPr>
          <w:rFonts w:ascii="Garamond" w:eastAsia="Malgun Gothic" w:hAnsi="Garamond" w:cs="Times New Roman"/>
          <w:szCs w:val="20"/>
          <w:lang w:val="es-ES"/>
        </w:rPr>
      </w:pPr>
    </w:p>
    <w:p w14:paraId="172B17B3" w14:textId="77777777" w:rsidR="00616096" w:rsidRPr="00611F84" w:rsidRDefault="00616096" w:rsidP="00F233C1">
      <w:pPr>
        <w:pStyle w:val="L2Jtablenote"/>
      </w:pPr>
      <w:r w:rsidRPr="00611F84">
        <w:t>Note: E (</w:t>
      </w:r>
      <w:proofErr w:type="spellStart"/>
      <w:r w:rsidRPr="00611F84">
        <w:t>QT+ql</w:t>
      </w:r>
      <w:proofErr w:type="spellEnd"/>
      <w:r w:rsidRPr="00611F84">
        <w:t>) = eclectic approach with more dominance in quantitative methods/analysis than qualitative; E (</w:t>
      </w:r>
      <w:proofErr w:type="spellStart"/>
      <w:r w:rsidRPr="00611F84">
        <w:t>QL+qt</w:t>
      </w:r>
      <w:proofErr w:type="spellEnd"/>
      <w:r w:rsidRPr="00611F84">
        <w:t xml:space="preserve">) = eclectic approach with more dominance in qualitative methods/analysis than quantitative; MM = </w:t>
      </w:r>
      <w:proofErr w:type="gramStart"/>
      <w:r w:rsidRPr="00611F84">
        <w:t>mixed-method</w:t>
      </w:r>
      <w:proofErr w:type="gramEnd"/>
      <w:r w:rsidRPr="00611F84">
        <w:t>; QL = purely qualitative; QT = purely quantitative</w:t>
      </w:r>
    </w:p>
    <w:p w14:paraId="18F119A5" w14:textId="77777777" w:rsidR="00616096" w:rsidRPr="00BB2458" w:rsidRDefault="00616096" w:rsidP="00626EB6">
      <w:pPr>
        <w:pStyle w:val="L2JReferences"/>
      </w:pPr>
    </w:p>
    <w:sectPr w:rsidR="00616096" w:rsidRPr="00BB2458" w:rsidSect="00611F84">
      <w:pgSz w:w="15840" w:h="12240" w:orient="landscape"/>
      <w:pgMar w:top="1800" w:right="1440" w:bottom="1800" w:left="1440" w:header="706" w:footer="706"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63CB22" w14:textId="77777777" w:rsidR="00F34102" w:rsidRDefault="00F34102">
      <w:r>
        <w:separator/>
      </w:r>
    </w:p>
  </w:endnote>
  <w:endnote w:type="continuationSeparator" w:id="0">
    <w:p w14:paraId="130B0DED" w14:textId="77777777" w:rsidR="00F34102" w:rsidRDefault="00F34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6F5759D-2F07-9842-8CB3-8DD714A029A4}"/>
    <w:embedBold r:id="rId2" w:fontKey="{672DF1C8-AC85-3343-8E8B-5CD4D53F6956}"/>
    <w:embedItalic r:id="rId3" w:fontKey="{2FA104DE-D579-F14A-AFDD-3EF329EFF831}"/>
    <w:embedBoldItalic r:id="rId4" w:fontKey="{096DEC5E-135A-8545-A3DF-FDDDB41ADDB9}"/>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embedRegular r:id="rId5" w:fontKey="{7027EA30-5048-064F-924E-60F63C5DD5A7}"/>
  </w:font>
  <w:font w:name="Wingdings">
    <w:panose1 w:val="05000000000000000000"/>
    <w:charset w:val="4D"/>
    <w:family w:val="decorative"/>
    <w:pitch w:val="variable"/>
    <w:sig w:usb0="00000003" w:usb1="00000000" w:usb2="00000000" w:usb3="00000000" w:csb0="80000001" w:csb1="00000000"/>
    <w:embedRegular r:id="rId6" w:fontKey="{5B530A65-DDCA-704B-98BE-EA041CB07536}"/>
  </w:font>
  <w:font w:name="Symbol">
    <w:panose1 w:val="05050102010706020507"/>
    <w:charset w:val="02"/>
    <w:family w:val="decorative"/>
    <w:pitch w:val="variable"/>
    <w:sig w:usb0="00000003" w:usb1="10000000" w:usb2="00000000" w:usb3="00000000" w:csb0="80000001" w:csb1="00000000"/>
    <w:embedRegular r:id="rId7" w:fontKey="{5767F7FB-81A9-D041-971E-BC2B0AD82DC5}"/>
  </w:font>
  <w:font w:name="Garamond">
    <w:panose1 w:val="02020404030301010803"/>
    <w:charset w:val="00"/>
    <w:family w:val="roman"/>
    <w:pitch w:val="variable"/>
    <w:sig w:usb0="00000287" w:usb1="00000002" w:usb2="00000000" w:usb3="00000000" w:csb0="0000009F" w:csb1="00000000"/>
    <w:embedRegular r:id="rId8" w:fontKey="{3865B2BF-5279-E943-869C-942274DA59E1}"/>
    <w:embedBold r:id="rId9" w:fontKey="{3656AF12-1CE1-ED49-A48F-4CC74EB0DAB0}"/>
    <w:embedItalic r:id="rId10" w:fontKey="{3A2B7A9E-A24A-7640-A89B-436D23E9BFCE}"/>
    <w:embedBoldItalic r:id="rId11" w:fontKey="{DAE2C6CA-1804-E04B-8820-D506F7B8CBB5}"/>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12" w:fontKey="{AFF7398C-B7AB-8446-9022-647DAEFD9D77}"/>
    <w:embedBold r:id="rId13" w:fontKey="{BB071A32-AA8C-A94F-AF6C-2D06A4DD0979}"/>
    <w:embedItalic r:id="rId14" w:fontKey="{7FA7D9A2-5DA0-5142-8240-685DB2822629}"/>
    <w:embedBoldItalic r:id="rId15" w:fontKey="{59B35A14-23BC-EF4C-95F8-F3B5DEFE6157}"/>
  </w:font>
  <w:font w:name="Calibri Light">
    <w:panose1 w:val="020F0302020204030204"/>
    <w:charset w:val="00"/>
    <w:family w:val="swiss"/>
    <w:pitch w:val="variable"/>
    <w:sig w:usb0="E0002AFF" w:usb1="C000247B" w:usb2="00000009" w:usb3="00000000" w:csb0="000001FF" w:csb1="00000000"/>
    <w:embedRegular r:id="rId16" w:fontKey="{BF0CF563-3071-364F-A11A-3A241D1E0AB5}"/>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embedRegular r:id="rId17" w:fontKey="{5DFA6F88-90AB-0A43-A640-45C877DF55C6}"/>
    <w:embedBold r:id="rId18" w:fontKey="{2BC92C84-3EB5-9C4F-99DF-80D3FAFC9731}"/>
    <w:embedBoldItalic r:id="rId19" w:fontKey="{A360618A-9C65-6A46-A151-21DCDD52A762}"/>
  </w:font>
  <w:font w:name="Cambria">
    <w:panose1 w:val="02040503050406030204"/>
    <w:charset w:val="00"/>
    <w:family w:val="roman"/>
    <w:pitch w:val="variable"/>
    <w:sig w:usb0="E00006FF" w:usb1="420024FF" w:usb2="02000000" w:usb3="00000000" w:csb0="0000019F" w:csb1="00000000"/>
    <w:embedRegular r:id="rId20" w:fontKey="{4F6114A2-120F-244E-AF3D-31A9A4BEEA4D}"/>
  </w:font>
  <w:font w:name="Georgia">
    <w:panose1 w:val="02040502050405020303"/>
    <w:charset w:val="00"/>
    <w:family w:val="roman"/>
    <w:pitch w:val="variable"/>
    <w:sig w:usb0="00000287" w:usb1="00000000" w:usb2="00000000" w:usb3="00000000" w:csb0="0000009F" w:csb1="00000000"/>
    <w:embedRegular r:id="rId21" w:fontKey="{D42CD86F-E5D6-4F49-B858-B6E3107954EF}"/>
    <w:embedItalic r:id="rId22" w:fontKey="{F91BA7B9-3079-2A4F-8878-49D232F97D9D}"/>
  </w:font>
  <w:font w:name="Segoe UI">
    <w:panose1 w:val="020B0502040204020203"/>
    <w:charset w:val="00"/>
    <w:family w:val="swiss"/>
    <w:pitch w:val="variable"/>
    <w:sig w:usb0="E4002EFF" w:usb1="C000E47F" w:usb2="00000009" w:usb3="00000000" w:csb0="000001FF" w:csb1="00000000"/>
    <w:embedRegular r:id="rId23" w:fontKey="{E8B89085-DAB0-1F41-A521-3B790D2605F8}"/>
  </w:font>
  <w:font w:name="New York">
    <w:altName w:val="Times New Roman"/>
    <w:panose1 w:val="020B0604020202020204"/>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25" w:fontKey="{C8B32127-2090-2447-BF68-E5FB8EDAC629}"/>
  </w:font>
  <w:font w:name="Times">
    <w:altName w:val="Times New Roman"/>
    <w:panose1 w:val="020B0604020202020204"/>
    <w:charset w:val="00"/>
    <w:family w:val="auto"/>
    <w:pitch w:val="variable"/>
    <w:sig w:usb0="E00002FF" w:usb1="5000205A" w:usb2="00000000" w:usb3="00000000" w:csb0="0000019F" w:csb1="00000000"/>
  </w:font>
  <w:font w:name="Aptos Narrow">
    <w:panose1 w:val="020B0004020202020204"/>
    <w:charset w:val="00"/>
    <w:family w:val="swiss"/>
    <w:pitch w:val="variable"/>
    <w:sig w:usb0="20000287" w:usb1="00000003" w:usb2="00000000" w:usb3="00000000" w:csb0="0000019F" w:csb1="00000000"/>
    <w:embedRegular r:id="rId27" w:fontKey="{D261B1BA-F4B7-4146-84A8-A48B60EAE618}"/>
    <w:embedBold r:id="rId28" w:fontKey="{4A98ADDD-184F-6640-877F-07AB4EFBFA2A}"/>
  </w:font>
  <w:font w:name="Cambria Math">
    <w:panose1 w:val="02040503050406030204"/>
    <w:charset w:val="00"/>
    <w:family w:val="roman"/>
    <w:pitch w:val="variable"/>
    <w:sig w:usb0="E00002FF" w:usb1="420024FF" w:usb2="00000000" w:usb3="00000000" w:csb0="0000019F" w:csb1="00000000"/>
    <w:embedRegular r:id="rId29" w:fontKey="{10FEDA95-BAB3-D643-AB0C-CC85E376D3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6" w14:textId="77777777" w:rsidR="006F0F70"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107" w14:textId="77777777" w:rsidR="006F0F70" w:rsidRDefault="006F0F70">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4B289E60" w:rsidR="006F0F70" w:rsidRDefault="00000000">
    <w:pPr>
      <w:pBdr>
        <w:top w:val="nil"/>
        <w:left w:val="nil"/>
        <w:bottom w:val="nil"/>
        <w:right w:val="nil"/>
        <w:between w:val="nil"/>
      </w:pBdr>
      <w:tabs>
        <w:tab w:val="center" w:pos="4680"/>
        <w:tab w:val="right" w:pos="9360"/>
      </w:tabs>
      <w:jc w:val="right"/>
      <w:rPr>
        <w:color w:val="000000"/>
        <w:sz w:val="18"/>
        <w:szCs w:val="18"/>
      </w:rPr>
    </w:pPr>
    <w:r>
      <w:rPr>
        <w:rFonts w:ascii="Garamond" w:eastAsia="Garamond" w:hAnsi="Garamond" w:cs="Garamond"/>
        <w:color w:val="000000"/>
        <w:sz w:val="18"/>
        <w:szCs w:val="18"/>
      </w:rPr>
      <w:fldChar w:fldCharType="begin"/>
    </w:r>
    <w:r>
      <w:rPr>
        <w:rFonts w:ascii="Garamond" w:eastAsia="Garamond" w:hAnsi="Garamond" w:cs="Garamond"/>
        <w:color w:val="000000"/>
        <w:sz w:val="18"/>
        <w:szCs w:val="18"/>
      </w:rPr>
      <w:instrText>PAGE</w:instrText>
    </w:r>
    <w:r>
      <w:rPr>
        <w:rFonts w:ascii="Garamond" w:eastAsia="Garamond" w:hAnsi="Garamond" w:cs="Garamond"/>
        <w:color w:val="000000"/>
        <w:sz w:val="18"/>
        <w:szCs w:val="18"/>
      </w:rPr>
      <w:fldChar w:fldCharType="separate"/>
    </w:r>
    <w:r w:rsidR="00C328AD">
      <w:rPr>
        <w:rFonts w:ascii="Garamond" w:eastAsia="Garamond" w:hAnsi="Garamond" w:cs="Garamond"/>
        <w:noProof/>
        <w:color w:val="000000"/>
        <w:sz w:val="18"/>
        <w:szCs w:val="18"/>
      </w:rPr>
      <w:t>2</w:t>
    </w:r>
    <w:r>
      <w:rPr>
        <w:rFonts w:ascii="Garamond" w:eastAsia="Garamond" w:hAnsi="Garamond" w:cs="Garamond"/>
        <w:color w:val="000000"/>
        <w:sz w:val="18"/>
        <w:szCs w:val="18"/>
      </w:rPr>
      <w:fldChar w:fldCharType="end"/>
    </w:r>
  </w:p>
  <w:p w14:paraId="00000109" w14:textId="03E16568" w:rsidR="006F0F70" w:rsidRDefault="00000000">
    <w:pPr>
      <w:pBdr>
        <w:top w:val="nil"/>
        <w:left w:val="nil"/>
        <w:bottom w:val="nil"/>
        <w:right w:val="nil"/>
        <w:between w:val="nil"/>
      </w:pBdr>
      <w:tabs>
        <w:tab w:val="center" w:pos="4680"/>
        <w:tab w:val="right" w:pos="9360"/>
      </w:tabs>
      <w:ind w:right="360"/>
      <w:rPr>
        <w:color w:val="000000"/>
      </w:rPr>
    </w:pPr>
    <w:r>
      <w:rPr>
        <w:rFonts w:ascii="Garamond" w:eastAsia="Garamond" w:hAnsi="Garamond" w:cs="Garamond"/>
        <w:i/>
        <w:color w:val="000000"/>
        <w:sz w:val="18"/>
        <w:szCs w:val="18"/>
      </w:rPr>
      <w:t>L2 Journal</w:t>
    </w:r>
    <w:r>
      <w:rPr>
        <w:rFonts w:ascii="Garamond" w:eastAsia="Garamond" w:hAnsi="Garamond" w:cs="Garamond"/>
        <w:color w:val="000000"/>
        <w:sz w:val="18"/>
        <w:szCs w:val="18"/>
      </w:rPr>
      <w:t xml:space="preserve"> Vol. 1</w:t>
    </w:r>
    <w:r w:rsidR="006B65B4">
      <w:rPr>
        <w:rFonts w:ascii="Garamond" w:eastAsia="Garamond" w:hAnsi="Garamond" w:cs="Garamond"/>
        <w:color w:val="000000"/>
        <w:sz w:val="18"/>
        <w:szCs w:val="18"/>
      </w:rPr>
      <w:t>7</w:t>
    </w:r>
    <w:r>
      <w:rPr>
        <w:rFonts w:ascii="Garamond" w:eastAsia="Garamond" w:hAnsi="Garamond" w:cs="Garamond"/>
        <w:color w:val="000000"/>
        <w:sz w:val="18"/>
        <w:szCs w:val="18"/>
      </w:rPr>
      <w:t xml:space="preserve"> Issue 1 (202</w:t>
    </w:r>
    <w:r w:rsidR="006B65B4">
      <w:rPr>
        <w:rFonts w:ascii="Garamond" w:eastAsia="Garamond" w:hAnsi="Garamond" w:cs="Garamond"/>
        <w:color w:val="000000"/>
        <w:sz w:val="18"/>
        <w:szCs w:val="18"/>
      </w:rPr>
      <w:t>5</w:t>
    </w:r>
    <w:r>
      <w:rPr>
        <w:rFonts w:ascii="Garamond" w:eastAsia="Garamond" w:hAnsi="Garamond" w:cs="Garamond"/>
        <w:color w:val="000000"/>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CC58C" w14:textId="77777777" w:rsidR="00F34102" w:rsidRDefault="00F34102">
      <w:r>
        <w:separator/>
      </w:r>
    </w:p>
  </w:footnote>
  <w:footnote w:type="continuationSeparator" w:id="0">
    <w:p w14:paraId="643CEBE3" w14:textId="77777777" w:rsidR="00F34102" w:rsidRDefault="00F34102">
      <w:r>
        <w:continuationSeparator/>
      </w:r>
    </w:p>
  </w:footnote>
  <w:footnote w:id="1">
    <w:p w14:paraId="0DEEB6BE" w14:textId="77777777" w:rsidR="00626EB6" w:rsidRPr="009140DD" w:rsidRDefault="00626EB6" w:rsidP="00626EB6">
      <w:pPr>
        <w:pStyle w:val="L2Jfootnote"/>
      </w:pPr>
      <w:r w:rsidRPr="00B7644F">
        <w:rPr>
          <w:rStyle w:val="FootnoteReference"/>
        </w:rPr>
        <w:footnoteRef/>
      </w:r>
      <w:r w:rsidRPr="00E56619">
        <w:rPr>
          <w:rFonts w:ascii="Times New Roman" w:hAnsi="Times New Roman" w:cs="Times New Roman"/>
        </w:rPr>
        <w:t xml:space="preserve">  </w:t>
      </w:r>
      <w:r w:rsidRPr="009140DD">
        <w:t xml:space="preserve">References tagged with an asterisk refer to the studies that were included </w:t>
      </w:r>
      <w:r>
        <w:t>in</w:t>
      </w:r>
      <w:r w:rsidRPr="009140DD">
        <w:t xml:space="preserve"> the review process.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0AA191B3" w:rsidR="006F0F70" w:rsidRPr="003256D0" w:rsidRDefault="00362839" w:rsidP="003256D0">
    <w:pPr>
      <w:pStyle w:val="L2Jheaderfooter"/>
    </w:pPr>
    <w:r>
      <w:t>Yoo</w:t>
    </w:r>
    <w:r>
      <w:tab/>
      <w:t xml:space="preserve">                                                                                      A Systematic Review of Second Language Writing Synthesis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3200103D" w:rsidR="006F0F70" w:rsidRPr="003256D0" w:rsidRDefault="00000000">
    <w:pPr>
      <w:pBdr>
        <w:top w:val="nil"/>
        <w:left w:val="nil"/>
        <w:bottom w:val="nil"/>
        <w:right w:val="nil"/>
        <w:between w:val="nil"/>
      </w:pBdr>
      <w:tabs>
        <w:tab w:val="center" w:pos="4680"/>
        <w:tab w:val="right" w:pos="9360"/>
      </w:tabs>
      <w:rPr>
        <w:color w:val="000000"/>
        <w:sz w:val="18"/>
        <w:szCs w:val="18"/>
      </w:rPr>
    </w:pPr>
    <w:r w:rsidRPr="003256D0">
      <w:rPr>
        <w:rFonts w:ascii="Garamond" w:eastAsia="Garamond" w:hAnsi="Garamond" w:cs="Garamond"/>
        <w:i/>
        <w:color w:val="000000"/>
        <w:sz w:val="18"/>
        <w:szCs w:val="18"/>
      </w:rPr>
      <w:t>L2 Journal</w:t>
    </w:r>
    <w:r w:rsidRPr="003256D0">
      <w:rPr>
        <w:rFonts w:ascii="Garamond" w:eastAsia="Garamond" w:hAnsi="Garamond" w:cs="Garamond"/>
        <w:color w:val="000000"/>
        <w:sz w:val="18"/>
        <w:szCs w:val="18"/>
      </w:rPr>
      <w:t>, Volume 1</w:t>
    </w:r>
    <w:r w:rsidR="006B65B4" w:rsidRPr="003256D0">
      <w:rPr>
        <w:rFonts w:ascii="Garamond" w:eastAsia="Garamond" w:hAnsi="Garamond" w:cs="Garamond"/>
        <w:color w:val="000000"/>
        <w:sz w:val="18"/>
        <w:szCs w:val="18"/>
      </w:rPr>
      <w:t>7</w:t>
    </w:r>
    <w:r w:rsidRPr="003256D0">
      <w:rPr>
        <w:rFonts w:ascii="Garamond" w:eastAsia="Garamond" w:hAnsi="Garamond" w:cs="Garamond"/>
        <w:color w:val="000000"/>
        <w:sz w:val="18"/>
        <w:szCs w:val="18"/>
      </w:rPr>
      <w:t xml:space="preserve"> Issue 1 (202</w:t>
    </w:r>
    <w:r w:rsidR="006B65B4" w:rsidRPr="003256D0">
      <w:rPr>
        <w:rFonts w:ascii="Garamond" w:eastAsia="Garamond" w:hAnsi="Garamond" w:cs="Garamond"/>
        <w:color w:val="000000"/>
        <w:sz w:val="18"/>
        <w:szCs w:val="18"/>
      </w:rPr>
      <w:t>5</w:t>
    </w:r>
    <w:r w:rsidRPr="003256D0">
      <w:rPr>
        <w:rFonts w:ascii="Garamond" w:eastAsia="Garamond" w:hAnsi="Garamond" w:cs="Garamond"/>
        <w:color w:val="000000"/>
        <w:sz w:val="18"/>
        <w:szCs w:val="18"/>
      </w:rPr>
      <w:t xml:space="preserve">), </w:t>
    </w:r>
    <w:r w:rsidRPr="003256D0">
      <w:rPr>
        <w:rFonts w:ascii="Garamond" w:hAnsi="Garamond"/>
        <w:sz w:val="18"/>
        <w:szCs w:val="18"/>
      </w:rPr>
      <w:t xml:space="preserve">pp. </w:t>
    </w:r>
    <w:r w:rsidR="007E0A49" w:rsidRPr="003256D0">
      <w:rPr>
        <w:rFonts w:ascii="Garamond" w:hAnsi="Garamond"/>
        <w:sz w:val="18"/>
        <w:szCs w:val="18"/>
      </w:rPr>
      <w:t>1-</w:t>
    </w:r>
    <w:r w:rsidR="00AA61F3">
      <w:rPr>
        <w:rFonts w:ascii="Garamond" w:hAnsi="Garamond"/>
        <w:sz w:val="18"/>
        <w:szCs w:val="18"/>
      </w:rPr>
      <w:t>56</w:t>
    </w:r>
    <w:r w:rsidRPr="003256D0">
      <w:rPr>
        <w:rFonts w:ascii="Garamond" w:hAnsi="Garamond"/>
        <w:sz w:val="18"/>
        <w:szCs w:val="18"/>
      </w:rPr>
      <w:tab/>
    </w:r>
    <w:r w:rsidRPr="003256D0">
      <w:rPr>
        <w:rFonts w:ascii="Garamond" w:eastAsia="Garamond" w:hAnsi="Garamond" w:cs="Garamond"/>
        <w:color w:val="000000"/>
        <w:sz w:val="18"/>
        <w:szCs w:val="18"/>
      </w:rPr>
      <w:tab/>
      <w:t xml:space="preserve">Produced by </w:t>
    </w:r>
    <w:proofErr w:type="spellStart"/>
    <w:r w:rsidRPr="003256D0">
      <w:rPr>
        <w:rFonts w:ascii="Garamond" w:eastAsia="Garamond" w:hAnsi="Garamond" w:cs="Garamond"/>
        <w:color w:val="000000"/>
        <w:sz w:val="18"/>
        <w:szCs w:val="18"/>
      </w:rPr>
      <w:t>eScholarship</w:t>
    </w:r>
    <w:proofErr w:type="spellEnd"/>
    <w:r w:rsidRPr="003256D0">
      <w:rPr>
        <w:rFonts w:ascii="Garamond" w:eastAsia="Garamond" w:hAnsi="Garamond" w:cs="Garamond"/>
        <w:color w:val="000000"/>
        <w:sz w:val="18"/>
        <w:szCs w:val="18"/>
      </w:rPr>
      <w:t>, 202</w:t>
    </w:r>
    <w:r w:rsidR="006B65B4" w:rsidRPr="003256D0">
      <w:rPr>
        <w:rFonts w:ascii="Garamond" w:eastAsia="Garamond" w:hAnsi="Garamond" w:cs="Garamond"/>
        <w:color w:val="000000"/>
        <w:sz w:val="18"/>
        <w:szCs w:val="18"/>
      </w:rPr>
      <w:t>5</w:t>
    </w:r>
  </w:p>
  <w:p w14:paraId="00000105" w14:textId="77777777" w:rsidR="006F0F70" w:rsidRDefault="006F0F7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0FEA"/>
    <w:multiLevelType w:val="hybridMultilevel"/>
    <w:tmpl w:val="60CE5B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33C38CB"/>
    <w:multiLevelType w:val="hybridMultilevel"/>
    <w:tmpl w:val="17DEE0B0"/>
    <w:lvl w:ilvl="0" w:tplc="E31C23FA">
      <w:start w:val="6"/>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7552F9"/>
    <w:multiLevelType w:val="hybridMultilevel"/>
    <w:tmpl w:val="D54450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85F4B79"/>
    <w:multiLevelType w:val="hybridMultilevel"/>
    <w:tmpl w:val="25A6AFCC"/>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4" w15:restartNumberingAfterBreak="0">
    <w:nsid w:val="0C2B72E0"/>
    <w:multiLevelType w:val="hybridMultilevel"/>
    <w:tmpl w:val="D12AEE56"/>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C4D0A14"/>
    <w:multiLevelType w:val="hybridMultilevel"/>
    <w:tmpl w:val="DD102FBC"/>
    <w:lvl w:ilvl="0" w:tplc="D65885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67B77"/>
    <w:multiLevelType w:val="hybridMultilevel"/>
    <w:tmpl w:val="BDBC6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0A70AB2"/>
    <w:multiLevelType w:val="hybridMultilevel"/>
    <w:tmpl w:val="18A60698"/>
    <w:lvl w:ilvl="0" w:tplc="42DC44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E7344A"/>
    <w:multiLevelType w:val="hybridMultilevel"/>
    <w:tmpl w:val="D1F2B468"/>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14A23CFF"/>
    <w:multiLevelType w:val="multilevel"/>
    <w:tmpl w:val="6C44E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70727C2"/>
    <w:multiLevelType w:val="multilevel"/>
    <w:tmpl w:val="0F6AB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80531E1"/>
    <w:multiLevelType w:val="hybridMultilevel"/>
    <w:tmpl w:val="A7EA5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0423C76"/>
    <w:multiLevelType w:val="hybridMultilevel"/>
    <w:tmpl w:val="5E344D6C"/>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0F4652B"/>
    <w:multiLevelType w:val="multilevel"/>
    <w:tmpl w:val="DE2016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17251A"/>
    <w:multiLevelType w:val="multilevel"/>
    <w:tmpl w:val="00341E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17A06C2"/>
    <w:multiLevelType w:val="multilevel"/>
    <w:tmpl w:val="05B2E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D04E82"/>
    <w:multiLevelType w:val="multilevel"/>
    <w:tmpl w:val="0E624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4EE0110"/>
    <w:multiLevelType w:val="multilevel"/>
    <w:tmpl w:val="C0645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655547C"/>
    <w:multiLevelType w:val="hybridMultilevel"/>
    <w:tmpl w:val="FBEC4BF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28CB2C41"/>
    <w:multiLevelType w:val="multilevel"/>
    <w:tmpl w:val="09BE1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EF23C17"/>
    <w:multiLevelType w:val="multilevel"/>
    <w:tmpl w:val="00E81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F062FA5"/>
    <w:multiLevelType w:val="hybridMultilevel"/>
    <w:tmpl w:val="371CA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4B0188"/>
    <w:multiLevelType w:val="hybridMultilevel"/>
    <w:tmpl w:val="D512BB1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1BB1750"/>
    <w:multiLevelType w:val="multilevel"/>
    <w:tmpl w:val="F62EF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23D090F"/>
    <w:multiLevelType w:val="multilevel"/>
    <w:tmpl w:val="8A160E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F02711"/>
    <w:multiLevelType w:val="hybridMultilevel"/>
    <w:tmpl w:val="A63E0A12"/>
    <w:lvl w:ilvl="0" w:tplc="0409000F">
      <w:start w:val="1"/>
      <w:numFmt w:val="decimal"/>
      <w:lvlText w:val="%1."/>
      <w:lvlJc w:val="left"/>
      <w:pPr>
        <w:ind w:left="1080" w:hanging="360"/>
      </w:pPr>
    </w:lvl>
    <w:lvl w:ilvl="1" w:tplc="C71AABEC">
      <w:start w:val="1"/>
      <w:numFmt w:val="decimal"/>
      <w:lvlText w:val="%2."/>
      <w:lvlJc w:val="left"/>
      <w:pPr>
        <w:ind w:left="1800" w:hanging="360"/>
      </w:pPr>
      <w:rPr>
        <w:rFonts w:ascii="Garamond" w:eastAsia="Garamond" w:hAnsi="Garamond" w:cs="Garamond"/>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7AF0608"/>
    <w:multiLevelType w:val="hybridMultilevel"/>
    <w:tmpl w:val="FFEC98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5B32C6"/>
    <w:multiLevelType w:val="multilevel"/>
    <w:tmpl w:val="1AA45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14A778B"/>
    <w:multiLevelType w:val="hybridMultilevel"/>
    <w:tmpl w:val="CD8290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4E82B9C"/>
    <w:multiLevelType w:val="hybridMultilevel"/>
    <w:tmpl w:val="569895F0"/>
    <w:lvl w:ilvl="0" w:tplc="E31C23FA">
      <w:start w:val="6"/>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004D59"/>
    <w:multiLevelType w:val="multilevel"/>
    <w:tmpl w:val="34C00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7E432AD"/>
    <w:multiLevelType w:val="multilevel"/>
    <w:tmpl w:val="AF92E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8E53ED7"/>
    <w:multiLevelType w:val="hybridMultilevel"/>
    <w:tmpl w:val="492C8C64"/>
    <w:lvl w:ilvl="0" w:tplc="D65885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AEB5C7C"/>
    <w:multiLevelType w:val="hybridMultilevel"/>
    <w:tmpl w:val="7902D58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AFD0138"/>
    <w:multiLevelType w:val="hybridMultilevel"/>
    <w:tmpl w:val="F250AE6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FD84E6F"/>
    <w:multiLevelType w:val="multilevel"/>
    <w:tmpl w:val="8F3ED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1685150"/>
    <w:multiLevelType w:val="multilevel"/>
    <w:tmpl w:val="8564B9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36356F"/>
    <w:multiLevelType w:val="hybridMultilevel"/>
    <w:tmpl w:val="58A63ED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56E1E4F"/>
    <w:multiLevelType w:val="multilevel"/>
    <w:tmpl w:val="C6A412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5851367"/>
    <w:multiLevelType w:val="hybridMultilevel"/>
    <w:tmpl w:val="0682F1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85B726D"/>
    <w:multiLevelType w:val="hybridMultilevel"/>
    <w:tmpl w:val="017663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5D0673C2"/>
    <w:multiLevelType w:val="multilevel"/>
    <w:tmpl w:val="493274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FAB633A"/>
    <w:multiLevelType w:val="hybridMultilevel"/>
    <w:tmpl w:val="D6B21522"/>
    <w:lvl w:ilvl="0" w:tplc="04090001">
      <w:start w:val="1"/>
      <w:numFmt w:val="bullet"/>
      <w:lvlText w:val=""/>
      <w:lvlJc w:val="left"/>
      <w:pPr>
        <w:ind w:left="781"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612D43AF"/>
    <w:multiLevelType w:val="multilevel"/>
    <w:tmpl w:val="C2BC6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25D5938"/>
    <w:multiLevelType w:val="multilevel"/>
    <w:tmpl w:val="DF7654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2A93BE0"/>
    <w:multiLevelType w:val="multilevel"/>
    <w:tmpl w:val="95B022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3F44C6C"/>
    <w:multiLevelType w:val="hybridMultilevel"/>
    <w:tmpl w:val="55CA8650"/>
    <w:lvl w:ilvl="0" w:tplc="3B72E8C4">
      <w:start w:val="1"/>
      <w:numFmt w:val="decimal"/>
      <w:lvlText w:val="%1."/>
      <w:lvlJc w:val="left"/>
      <w:pPr>
        <w:ind w:left="720" w:hanging="360"/>
      </w:pPr>
      <w:rPr>
        <w:rFonts w:ascii="Times New Roman" w:eastAsiaTheme="minorEastAsia" w:hAnsi="Times New Roman" w:cstheme="minorBidi"/>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8025067"/>
    <w:multiLevelType w:val="multilevel"/>
    <w:tmpl w:val="6D221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80715A5"/>
    <w:multiLevelType w:val="hybridMultilevel"/>
    <w:tmpl w:val="404C1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EA7BAF"/>
    <w:multiLevelType w:val="hybridMultilevel"/>
    <w:tmpl w:val="6CF2E7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A8E1730"/>
    <w:multiLevelType w:val="hybridMultilevel"/>
    <w:tmpl w:val="A4EC944C"/>
    <w:lvl w:ilvl="0" w:tplc="D65885F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594C96"/>
    <w:multiLevelType w:val="hybridMultilevel"/>
    <w:tmpl w:val="CBE230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03863F1"/>
    <w:multiLevelType w:val="hybridMultilevel"/>
    <w:tmpl w:val="A63855E2"/>
    <w:lvl w:ilvl="0" w:tplc="49DAC820">
      <w:start w:val="1"/>
      <w:numFmt w:val="decimal"/>
      <w:lvlText w:val="RQ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3DE5330"/>
    <w:multiLevelType w:val="hybridMultilevel"/>
    <w:tmpl w:val="4D3A02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3E67FC8"/>
    <w:multiLevelType w:val="multilevel"/>
    <w:tmpl w:val="BE988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4F2428B"/>
    <w:multiLevelType w:val="multilevel"/>
    <w:tmpl w:val="09C8A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5627811"/>
    <w:multiLevelType w:val="multilevel"/>
    <w:tmpl w:val="10920E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8FB00D1"/>
    <w:multiLevelType w:val="hybridMultilevel"/>
    <w:tmpl w:val="3B5C935E"/>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8" w15:restartNumberingAfterBreak="0">
    <w:nsid w:val="79F86B8C"/>
    <w:multiLevelType w:val="hybridMultilevel"/>
    <w:tmpl w:val="74FA3FC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AC82A31"/>
    <w:multiLevelType w:val="hybridMultilevel"/>
    <w:tmpl w:val="E21AC472"/>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0" w15:restartNumberingAfterBreak="0">
    <w:nsid w:val="7DE520F5"/>
    <w:multiLevelType w:val="multilevel"/>
    <w:tmpl w:val="224AE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95596947">
    <w:abstractNumId w:val="16"/>
  </w:num>
  <w:num w:numId="2" w16cid:durableId="423843706">
    <w:abstractNumId w:val="27"/>
  </w:num>
  <w:num w:numId="3" w16cid:durableId="1904214767">
    <w:abstractNumId w:val="34"/>
  </w:num>
  <w:num w:numId="4" w16cid:durableId="1446340768">
    <w:abstractNumId w:val="7"/>
  </w:num>
  <w:num w:numId="5" w16cid:durableId="562639925">
    <w:abstractNumId w:val="3"/>
  </w:num>
  <w:num w:numId="6" w16cid:durableId="1758092921">
    <w:abstractNumId w:val="11"/>
  </w:num>
  <w:num w:numId="7" w16cid:durableId="1289817126">
    <w:abstractNumId w:val="12"/>
  </w:num>
  <w:num w:numId="8" w16cid:durableId="1841969064">
    <w:abstractNumId w:val="49"/>
  </w:num>
  <w:num w:numId="9" w16cid:durableId="1343164529">
    <w:abstractNumId w:val="59"/>
  </w:num>
  <w:num w:numId="10" w16cid:durableId="690716185">
    <w:abstractNumId w:val="39"/>
  </w:num>
  <w:num w:numId="11" w16cid:durableId="606620726">
    <w:abstractNumId w:val="53"/>
  </w:num>
  <w:num w:numId="12" w16cid:durableId="172649517">
    <w:abstractNumId w:val="26"/>
  </w:num>
  <w:num w:numId="13" w16cid:durableId="986084194">
    <w:abstractNumId w:val="25"/>
  </w:num>
  <w:num w:numId="14" w16cid:durableId="1192887541">
    <w:abstractNumId w:val="4"/>
  </w:num>
  <w:num w:numId="15" w16cid:durableId="838083898">
    <w:abstractNumId w:val="33"/>
  </w:num>
  <w:num w:numId="16" w16cid:durableId="1727874122">
    <w:abstractNumId w:val="18"/>
  </w:num>
  <w:num w:numId="17" w16cid:durableId="1172644255">
    <w:abstractNumId w:val="0"/>
  </w:num>
  <w:num w:numId="18" w16cid:durableId="393088268">
    <w:abstractNumId w:val="22"/>
  </w:num>
  <w:num w:numId="19" w16cid:durableId="1050423511">
    <w:abstractNumId w:val="37"/>
  </w:num>
  <w:num w:numId="20" w16cid:durableId="2042246664">
    <w:abstractNumId w:val="57"/>
  </w:num>
  <w:num w:numId="21" w16cid:durableId="1887256255">
    <w:abstractNumId w:val="51"/>
  </w:num>
  <w:num w:numId="22" w16cid:durableId="902330438">
    <w:abstractNumId w:val="8"/>
  </w:num>
  <w:num w:numId="23" w16cid:durableId="2070030165">
    <w:abstractNumId w:val="21"/>
  </w:num>
  <w:num w:numId="24" w16cid:durableId="55200565">
    <w:abstractNumId w:val="42"/>
  </w:num>
  <w:num w:numId="25" w16cid:durableId="353305564">
    <w:abstractNumId w:val="28"/>
  </w:num>
  <w:num w:numId="26" w16cid:durableId="1552380865">
    <w:abstractNumId w:val="2"/>
  </w:num>
  <w:num w:numId="27" w16cid:durableId="944926594">
    <w:abstractNumId w:val="6"/>
  </w:num>
  <w:num w:numId="28" w16cid:durableId="296449143">
    <w:abstractNumId w:val="60"/>
  </w:num>
  <w:num w:numId="29" w16cid:durableId="499930286">
    <w:abstractNumId w:val="40"/>
  </w:num>
  <w:num w:numId="30" w16cid:durableId="2053536187">
    <w:abstractNumId w:val="13"/>
  </w:num>
  <w:num w:numId="31" w16cid:durableId="974796180">
    <w:abstractNumId w:val="45"/>
  </w:num>
  <w:num w:numId="32" w16cid:durableId="1696006332">
    <w:abstractNumId w:val="48"/>
  </w:num>
  <w:num w:numId="33" w16cid:durableId="245842173">
    <w:abstractNumId w:val="19"/>
  </w:num>
  <w:num w:numId="34" w16cid:durableId="241069923">
    <w:abstractNumId w:val="43"/>
  </w:num>
  <w:num w:numId="35" w16cid:durableId="147522094">
    <w:abstractNumId w:val="31"/>
  </w:num>
  <w:num w:numId="36" w16cid:durableId="1310131779">
    <w:abstractNumId w:val="17"/>
  </w:num>
  <w:num w:numId="37" w16cid:durableId="37321887">
    <w:abstractNumId w:val="15"/>
  </w:num>
  <w:num w:numId="38" w16cid:durableId="1682389622">
    <w:abstractNumId w:val="20"/>
  </w:num>
  <w:num w:numId="39" w16cid:durableId="991446943">
    <w:abstractNumId w:val="38"/>
  </w:num>
  <w:num w:numId="40" w16cid:durableId="2135516350">
    <w:abstractNumId w:val="41"/>
  </w:num>
  <w:num w:numId="41" w16cid:durableId="1929534683">
    <w:abstractNumId w:val="23"/>
  </w:num>
  <w:num w:numId="42" w16cid:durableId="1093629590">
    <w:abstractNumId w:val="54"/>
  </w:num>
  <w:num w:numId="43" w16cid:durableId="1880624624">
    <w:abstractNumId w:val="9"/>
  </w:num>
  <w:num w:numId="44" w16cid:durableId="1296325962">
    <w:abstractNumId w:val="36"/>
  </w:num>
  <w:num w:numId="45" w16cid:durableId="664435223">
    <w:abstractNumId w:val="55"/>
  </w:num>
  <w:num w:numId="46" w16cid:durableId="765612734">
    <w:abstractNumId w:val="35"/>
  </w:num>
  <w:num w:numId="47" w16cid:durableId="1262760718">
    <w:abstractNumId w:val="44"/>
  </w:num>
  <w:num w:numId="48" w16cid:durableId="2062097154">
    <w:abstractNumId w:val="14"/>
  </w:num>
  <w:num w:numId="49" w16cid:durableId="1811904018">
    <w:abstractNumId w:val="30"/>
  </w:num>
  <w:num w:numId="50" w16cid:durableId="1234050358">
    <w:abstractNumId w:val="10"/>
  </w:num>
  <w:num w:numId="51" w16cid:durableId="321083943">
    <w:abstractNumId w:val="24"/>
  </w:num>
  <w:num w:numId="52" w16cid:durableId="2035114226">
    <w:abstractNumId w:val="56"/>
  </w:num>
  <w:num w:numId="53" w16cid:durableId="567226445">
    <w:abstractNumId w:val="47"/>
  </w:num>
  <w:num w:numId="54" w16cid:durableId="638609857">
    <w:abstractNumId w:val="32"/>
  </w:num>
  <w:num w:numId="55" w16cid:durableId="773788966">
    <w:abstractNumId w:val="5"/>
  </w:num>
  <w:num w:numId="56" w16cid:durableId="297271955">
    <w:abstractNumId w:val="50"/>
  </w:num>
  <w:num w:numId="57" w16cid:durableId="545259956">
    <w:abstractNumId w:val="1"/>
  </w:num>
  <w:num w:numId="58" w16cid:durableId="575895222">
    <w:abstractNumId w:val="52"/>
  </w:num>
  <w:num w:numId="59" w16cid:durableId="279840773">
    <w:abstractNumId w:val="46"/>
  </w:num>
  <w:num w:numId="60" w16cid:durableId="1755125136">
    <w:abstractNumId w:val="58"/>
  </w:num>
  <w:num w:numId="61" w16cid:durableId="132477195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F70"/>
    <w:rsid w:val="00002F5E"/>
    <w:rsid w:val="000414BA"/>
    <w:rsid w:val="000444B0"/>
    <w:rsid w:val="0006404E"/>
    <w:rsid w:val="00087BB8"/>
    <w:rsid w:val="000D3A8C"/>
    <w:rsid w:val="000D44CE"/>
    <w:rsid w:val="000F53D4"/>
    <w:rsid w:val="00122411"/>
    <w:rsid w:val="001318C8"/>
    <w:rsid w:val="001546B2"/>
    <w:rsid w:val="00163945"/>
    <w:rsid w:val="001B0651"/>
    <w:rsid w:val="001C5F06"/>
    <w:rsid w:val="001E16E3"/>
    <w:rsid w:val="001F793B"/>
    <w:rsid w:val="0022238F"/>
    <w:rsid w:val="00255E6E"/>
    <w:rsid w:val="002654AF"/>
    <w:rsid w:val="002A1561"/>
    <w:rsid w:val="002A662C"/>
    <w:rsid w:val="002B24F0"/>
    <w:rsid w:val="002C6C5A"/>
    <w:rsid w:val="002D2C56"/>
    <w:rsid w:val="002F1B2C"/>
    <w:rsid w:val="00302D1C"/>
    <w:rsid w:val="003142AC"/>
    <w:rsid w:val="003256D0"/>
    <w:rsid w:val="00330862"/>
    <w:rsid w:val="00362839"/>
    <w:rsid w:val="00370A12"/>
    <w:rsid w:val="00380DDD"/>
    <w:rsid w:val="00397AED"/>
    <w:rsid w:val="003A0E48"/>
    <w:rsid w:val="003A7D36"/>
    <w:rsid w:val="003B6DC4"/>
    <w:rsid w:val="00404D4A"/>
    <w:rsid w:val="00425F78"/>
    <w:rsid w:val="004316C5"/>
    <w:rsid w:val="00440A2D"/>
    <w:rsid w:val="00441348"/>
    <w:rsid w:val="00443931"/>
    <w:rsid w:val="00451FC1"/>
    <w:rsid w:val="00471452"/>
    <w:rsid w:val="00480CD0"/>
    <w:rsid w:val="004B11F5"/>
    <w:rsid w:val="004B5CE9"/>
    <w:rsid w:val="004C4A1A"/>
    <w:rsid w:val="004F25FB"/>
    <w:rsid w:val="00523655"/>
    <w:rsid w:val="00523A2C"/>
    <w:rsid w:val="00536D62"/>
    <w:rsid w:val="00542A9F"/>
    <w:rsid w:val="00544B6C"/>
    <w:rsid w:val="0055608F"/>
    <w:rsid w:val="00577F3C"/>
    <w:rsid w:val="00585E9A"/>
    <w:rsid w:val="00587842"/>
    <w:rsid w:val="005C00AC"/>
    <w:rsid w:val="005C461E"/>
    <w:rsid w:val="005F2694"/>
    <w:rsid w:val="00610BCD"/>
    <w:rsid w:val="00611F84"/>
    <w:rsid w:val="00616096"/>
    <w:rsid w:val="00617D2D"/>
    <w:rsid w:val="00626147"/>
    <w:rsid w:val="00626EB6"/>
    <w:rsid w:val="006B65B4"/>
    <w:rsid w:val="006E1967"/>
    <w:rsid w:val="006F0F70"/>
    <w:rsid w:val="007009FE"/>
    <w:rsid w:val="00720BC6"/>
    <w:rsid w:val="007400F4"/>
    <w:rsid w:val="00772BF6"/>
    <w:rsid w:val="007840BE"/>
    <w:rsid w:val="00785E2F"/>
    <w:rsid w:val="007A610F"/>
    <w:rsid w:val="007E0A49"/>
    <w:rsid w:val="007E2239"/>
    <w:rsid w:val="007E5667"/>
    <w:rsid w:val="008037B2"/>
    <w:rsid w:val="0083454F"/>
    <w:rsid w:val="00834FC2"/>
    <w:rsid w:val="00893A7C"/>
    <w:rsid w:val="008948B1"/>
    <w:rsid w:val="008B566B"/>
    <w:rsid w:val="008D416D"/>
    <w:rsid w:val="008F083B"/>
    <w:rsid w:val="00903438"/>
    <w:rsid w:val="00906F80"/>
    <w:rsid w:val="009460E0"/>
    <w:rsid w:val="00967B53"/>
    <w:rsid w:val="00971125"/>
    <w:rsid w:val="00995307"/>
    <w:rsid w:val="009B19A9"/>
    <w:rsid w:val="009C45E7"/>
    <w:rsid w:val="009F1277"/>
    <w:rsid w:val="00A0191A"/>
    <w:rsid w:val="00A26ED4"/>
    <w:rsid w:val="00A511B0"/>
    <w:rsid w:val="00A55B5C"/>
    <w:rsid w:val="00A7585D"/>
    <w:rsid w:val="00A83B77"/>
    <w:rsid w:val="00AA29E3"/>
    <w:rsid w:val="00AA314E"/>
    <w:rsid w:val="00AA61F3"/>
    <w:rsid w:val="00AB37FE"/>
    <w:rsid w:val="00B033EF"/>
    <w:rsid w:val="00B268B0"/>
    <w:rsid w:val="00B349B8"/>
    <w:rsid w:val="00B35FCA"/>
    <w:rsid w:val="00B4322C"/>
    <w:rsid w:val="00B566BD"/>
    <w:rsid w:val="00B6041E"/>
    <w:rsid w:val="00B87AC7"/>
    <w:rsid w:val="00BB5576"/>
    <w:rsid w:val="00BC0376"/>
    <w:rsid w:val="00BF5155"/>
    <w:rsid w:val="00C328AD"/>
    <w:rsid w:val="00C53F16"/>
    <w:rsid w:val="00C74115"/>
    <w:rsid w:val="00C75D53"/>
    <w:rsid w:val="00C82BA2"/>
    <w:rsid w:val="00C85087"/>
    <w:rsid w:val="00CB2BE5"/>
    <w:rsid w:val="00CC0284"/>
    <w:rsid w:val="00CD3FBE"/>
    <w:rsid w:val="00CE5FEA"/>
    <w:rsid w:val="00D045E2"/>
    <w:rsid w:val="00D158D1"/>
    <w:rsid w:val="00D161E2"/>
    <w:rsid w:val="00D50A02"/>
    <w:rsid w:val="00D531AD"/>
    <w:rsid w:val="00D65933"/>
    <w:rsid w:val="00D71EAE"/>
    <w:rsid w:val="00D7514D"/>
    <w:rsid w:val="00DA553B"/>
    <w:rsid w:val="00DE1A5D"/>
    <w:rsid w:val="00DE1EA4"/>
    <w:rsid w:val="00E027AC"/>
    <w:rsid w:val="00E03AE8"/>
    <w:rsid w:val="00E66441"/>
    <w:rsid w:val="00E70CD7"/>
    <w:rsid w:val="00E753F2"/>
    <w:rsid w:val="00EA4253"/>
    <w:rsid w:val="00F233C1"/>
    <w:rsid w:val="00F27D80"/>
    <w:rsid w:val="00F34102"/>
    <w:rsid w:val="00F7669B"/>
    <w:rsid w:val="00F840CA"/>
    <w:rsid w:val="00FA0151"/>
    <w:rsid w:val="00FA42C6"/>
    <w:rsid w:val="00FA6442"/>
    <w:rsid w:val="00FD2F6F"/>
    <w:rsid w:val="00FD6AAC"/>
    <w:rsid w:val="00FE61B1"/>
    <w:rsid w:val="00FE65C1"/>
    <w:rsid w:val="00FF1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EABF4"/>
  <w15:docId w15:val="{E576D256-117E-9C42-860B-960101B1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80"/>
  </w:style>
  <w:style w:type="paragraph" w:styleId="Heading1">
    <w:name w:val="heading 1"/>
    <w:basedOn w:val="Normal"/>
    <w:next w:val="Normal"/>
    <w:link w:val="Heading1Char"/>
    <w:uiPriority w:val="9"/>
    <w:qFormat/>
    <w:rsid w:val="00F800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CFF"/>
    <w:pPr>
      <w:keepNext/>
      <w:spacing w:before="360" w:after="60" w:line="360" w:lineRule="auto"/>
      <w:ind w:right="567"/>
      <w:contextualSpacing/>
      <w:outlineLvl w:val="1"/>
    </w:pPr>
    <w:rPr>
      <w:rFonts w:ascii="Times New Roman" w:eastAsia="Times New Roman" w:hAnsi="Times New Roman" w:cs="Arial"/>
      <w:b/>
      <w:bCs/>
      <w:i/>
      <w:iCs/>
      <w:sz w:val="24"/>
      <w:szCs w:val="28"/>
      <w:lang w:val="en-GB" w:eastAsia="en-GB"/>
    </w:rPr>
  </w:style>
  <w:style w:type="paragraph" w:styleId="Heading3">
    <w:name w:val="heading 3"/>
    <w:basedOn w:val="Normal"/>
    <w:next w:val="Normal"/>
    <w:link w:val="Heading3Char"/>
    <w:uiPriority w:val="9"/>
    <w:unhideWhenUsed/>
    <w:qFormat/>
    <w:rsid w:val="003465F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BE4"/>
    <w:pPr>
      <w:keepNext/>
      <w:keepLines/>
      <w:spacing w:before="40" w:line="259" w:lineRule="auto"/>
      <w:ind w:left="720"/>
      <w:outlineLvl w:val="3"/>
    </w:pPr>
    <w:rPr>
      <w:rFonts w:eastAsiaTheme="majorEastAsia" w:cstheme="majorBidi"/>
      <w:b/>
      <w:iCs/>
      <w:color w:val="000000" w:themeColor="text1"/>
    </w:rPr>
  </w:style>
  <w:style w:type="paragraph" w:styleId="Heading5">
    <w:name w:val="heading 5"/>
    <w:basedOn w:val="Normal"/>
    <w:next w:val="Normal"/>
    <w:link w:val="Heading5Char"/>
    <w:uiPriority w:val="9"/>
    <w:semiHidden/>
    <w:unhideWhenUsed/>
    <w:qFormat/>
    <w:rsid w:val="00C777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E027AC"/>
    <w:pPr>
      <w:keepNext/>
      <w:keepLines/>
      <w:widowControl w:val="0"/>
      <w:wordWrap w:val="0"/>
      <w:autoSpaceDE w:val="0"/>
      <w:autoSpaceDN w:val="0"/>
      <w:spacing w:before="40" w:line="276" w:lineRule="auto"/>
      <w:jc w:val="both"/>
      <w:outlineLvl w:val="6"/>
    </w:pPr>
    <w:rPr>
      <w:rFonts w:asciiTheme="minorHAnsi" w:eastAsiaTheme="majorEastAsia" w:hAnsiTheme="minorHAnsi" w:cstheme="majorBidi"/>
      <w:color w:val="595959" w:themeColor="text1" w:themeTint="A6"/>
      <w:kern w:val="2"/>
      <w:sz w:val="20"/>
      <w:lang w:eastAsia="ko-KR"/>
      <w14:ligatures w14:val="standardContextual"/>
    </w:rPr>
  </w:style>
  <w:style w:type="paragraph" w:styleId="Heading8">
    <w:name w:val="heading 8"/>
    <w:basedOn w:val="Normal"/>
    <w:next w:val="Normal"/>
    <w:link w:val="Heading8Char"/>
    <w:uiPriority w:val="9"/>
    <w:semiHidden/>
    <w:unhideWhenUsed/>
    <w:qFormat/>
    <w:rsid w:val="00E027AC"/>
    <w:pPr>
      <w:keepNext/>
      <w:keepLines/>
      <w:widowControl w:val="0"/>
      <w:wordWrap w:val="0"/>
      <w:autoSpaceDE w:val="0"/>
      <w:autoSpaceDN w:val="0"/>
      <w:spacing w:line="276" w:lineRule="auto"/>
      <w:jc w:val="both"/>
      <w:outlineLvl w:val="7"/>
    </w:pPr>
    <w:rPr>
      <w:rFonts w:asciiTheme="minorHAnsi" w:eastAsiaTheme="majorEastAsia" w:hAnsiTheme="minorHAnsi" w:cstheme="majorBidi"/>
      <w:i/>
      <w:iCs/>
      <w:color w:val="272727" w:themeColor="text1" w:themeTint="D8"/>
      <w:kern w:val="2"/>
      <w:sz w:val="20"/>
      <w:lang w:eastAsia="ko-KR"/>
      <w14:ligatures w14:val="standardContextual"/>
    </w:rPr>
  </w:style>
  <w:style w:type="paragraph" w:styleId="Heading9">
    <w:name w:val="heading 9"/>
    <w:basedOn w:val="Normal"/>
    <w:next w:val="Normal"/>
    <w:link w:val="Heading9Char"/>
    <w:uiPriority w:val="9"/>
    <w:semiHidden/>
    <w:unhideWhenUsed/>
    <w:qFormat/>
    <w:rsid w:val="00E027AC"/>
    <w:pPr>
      <w:keepNext/>
      <w:keepLines/>
      <w:widowControl w:val="0"/>
      <w:wordWrap w:val="0"/>
      <w:autoSpaceDE w:val="0"/>
      <w:autoSpaceDN w:val="0"/>
      <w:spacing w:line="276" w:lineRule="auto"/>
      <w:jc w:val="both"/>
      <w:outlineLvl w:val="8"/>
    </w:pPr>
    <w:rPr>
      <w:rFonts w:asciiTheme="minorHAnsi" w:eastAsiaTheme="majorEastAsia" w:hAnsiTheme="minorHAnsi" w:cstheme="majorBidi"/>
      <w:color w:val="272727" w:themeColor="text1" w:themeTint="D8"/>
      <w:kern w:val="2"/>
      <w:sz w:val="20"/>
      <w:lang w:eastAsia="ko-KR"/>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4Char">
    <w:name w:val="Heading 4 Char"/>
    <w:basedOn w:val="DefaultParagraphFont"/>
    <w:link w:val="Heading4"/>
    <w:uiPriority w:val="9"/>
    <w:rsid w:val="00674BE4"/>
    <w:rPr>
      <w:rFonts w:ascii="Times New Roman" w:eastAsiaTheme="majorEastAsia" w:hAnsi="Times New Roman" w:cstheme="majorBidi"/>
      <w:b/>
      <w:iCs/>
      <w:color w:val="000000" w:themeColor="text1"/>
    </w:rPr>
  </w:style>
  <w:style w:type="paragraph" w:styleId="ListParagraph">
    <w:name w:val="List Paragraph"/>
    <w:basedOn w:val="Normal"/>
    <w:uiPriority w:val="34"/>
    <w:qFormat/>
    <w:rsid w:val="006058C4"/>
    <w:pPr>
      <w:ind w:left="720"/>
      <w:contextualSpacing/>
    </w:pPr>
    <w:rPr>
      <w:rFonts w:asciiTheme="minorHAnsi" w:hAnsiTheme="minorHAnsi" w:cstheme="minorBidi"/>
    </w:rPr>
  </w:style>
  <w:style w:type="character" w:customStyle="1" w:styleId="Heading5Char">
    <w:name w:val="Heading 5 Char"/>
    <w:basedOn w:val="DefaultParagraphFont"/>
    <w:link w:val="Heading5"/>
    <w:uiPriority w:val="9"/>
    <w:rsid w:val="00C777B6"/>
    <w:rPr>
      <w:rFonts w:asciiTheme="majorHAnsi" w:eastAsiaTheme="majorEastAsia" w:hAnsiTheme="majorHAnsi" w:cstheme="majorBidi"/>
      <w:color w:val="2F5496" w:themeColor="accent1" w:themeShade="BF"/>
      <w:lang w:val="en-US"/>
    </w:rPr>
  </w:style>
  <w:style w:type="character" w:customStyle="1" w:styleId="normaltextrun">
    <w:name w:val="normaltextrun"/>
    <w:basedOn w:val="DefaultParagraphFont"/>
    <w:rsid w:val="001E32B9"/>
  </w:style>
  <w:style w:type="character" w:styleId="PlaceholderText">
    <w:name w:val="Placeholder Text"/>
    <w:basedOn w:val="DefaultParagraphFont"/>
    <w:uiPriority w:val="99"/>
    <w:semiHidden/>
    <w:rsid w:val="00C0573E"/>
    <w:rPr>
      <w:color w:val="808080"/>
    </w:rPr>
  </w:style>
  <w:style w:type="character" w:customStyle="1" w:styleId="eop">
    <w:name w:val="eop"/>
    <w:basedOn w:val="DefaultParagraphFont"/>
    <w:rsid w:val="00C43824"/>
  </w:style>
  <w:style w:type="table" w:styleId="TableGrid">
    <w:name w:val="Table Grid"/>
    <w:basedOn w:val="TableNormal"/>
    <w:uiPriority w:val="59"/>
    <w:rsid w:val="006204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pdfkit-6fq5ysqkmc2gc1fek9b659qfh8">
    <w:name w:val="pspdfkit-6fq5ysqkmc2gc1fek9b659qfh8"/>
    <w:basedOn w:val="DefaultParagraphFont"/>
    <w:rsid w:val="008D03B5"/>
  </w:style>
  <w:style w:type="paragraph" w:styleId="NormalWeb">
    <w:name w:val="Normal (Web)"/>
    <w:basedOn w:val="Normal"/>
    <w:uiPriority w:val="99"/>
    <w:unhideWhenUsed/>
    <w:rsid w:val="00CE3BE3"/>
    <w:pPr>
      <w:spacing w:before="100" w:beforeAutospacing="1" w:after="100" w:afterAutospacing="1"/>
    </w:pPr>
  </w:style>
  <w:style w:type="character" w:customStyle="1" w:styleId="highlight">
    <w:name w:val="highlight"/>
    <w:basedOn w:val="DefaultParagraphFont"/>
    <w:rsid w:val="00252ABA"/>
  </w:style>
  <w:style w:type="character" w:customStyle="1" w:styleId="Heading1Char">
    <w:name w:val="Heading 1 Char"/>
    <w:basedOn w:val="DefaultParagraphFont"/>
    <w:link w:val="Heading1"/>
    <w:uiPriority w:val="9"/>
    <w:rsid w:val="00F80080"/>
    <w:rPr>
      <w:rFonts w:asciiTheme="majorHAnsi" w:eastAsiaTheme="majorEastAsia" w:hAnsiTheme="majorHAnsi" w:cstheme="majorBidi"/>
      <w:color w:val="2F5496" w:themeColor="accent1" w:themeShade="BF"/>
      <w:sz w:val="32"/>
      <w:szCs w:val="32"/>
    </w:rPr>
  </w:style>
  <w:style w:type="character" w:customStyle="1" w:styleId="accordion-tabbedtab-mobile">
    <w:name w:val="accordion-tabbed__tab-mobile"/>
    <w:basedOn w:val="DefaultParagraphFont"/>
    <w:rsid w:val="00F80080"/>
  </w:style>
  <w:style w:type="character" w:styleId="Hyperlink">
    <w:name w:val="Hyperlink"/>
    <w:basedOn w:val="DefaultParagraphFont"/>
    <w:uiPriority w:val="99"/>
    <w:unhideWhenUsed/>
    <w:rsid w:val="00F80080"/>
    <w:rPr>
      <w:color w:val="0000FF"/>
      <w:u w:val="single"/>
    </w:rPr>
  </w:style>
  <w:style w:type="character" w:customStyle="1" w:styleId="comma-separator">
    <w:name w:val="comma-separator"/>
    <w:basedOn w:val="DefaultParagraphFont"/>
    <w:rsid w:val="00F80080"/>
  </w:style>
  <w:style w:type="paragraph" w:styleId="Header">
    <w:name w:val="header"/>
    <w:basedOn w:val="Normal"/>
    <w:link w:val="HeaderChar"/>
    <w:uiPriority w:val="99"/>
    <w:unhideWhenUsed/>
    <w:rsid w:val="00F334EF"/>
    <w:pPr>
      <w:tabs>
        <w:tab w:val="center" w:pos="4680"/>
        <w:tab w:val="right" w:pos="9360"/>
      </w:tabs>
    </w:pPr>
  </w:style>
  <w:style w:type="character" w:customStyle="1" w:styleId="HeaderChar">
    <w:name w:val="Header Char"/>
    <w:basedOn w:val="DefaultParagraphFont"/>
    <w:link w:val="Header"/>
    <w:uiPriority w:val="99"/>
    <w:rsid w:val="00F334EF"/>
  </w:style>
  <w:style w:type="paragraph" w:styleId="Footer">
    <w:name w:val="footer"/>
    <w:basedOn w:val="Normal"/>
    <w:link w:val="FooterChar"/>
    <w:uiPriority w:val="99"/>
    <w:unhideWhenUsed/>
    <w:rsid w:val="00F334EF"/>
    <w:pPr>
      <w:tabs>
        <w:tab w:val="center" w:pos="4680"/>
        <w:tab w:val="right" w:pos="9360"/>
      </w:tabs>
    </w:pPr>
  </w:style>
  <w:style w:type="character" w:customStyle="1" w:styleId="FooterChar">
    <w:name w:val="Footer Char"/>
    <w:basedOn w:val="DefaultParagraphFont"/>
    <w:link w:val="Footer"/>
    <w:uiPriority w:val="99"/>
    <w:rsid w:val="00F334EF"/>
  </w:style>
  <w:style w:type="paragraph" w:styleId="FootnoteText">
    <w:name w:val="footnote text"/>
    <w:basedOn w:val="Normal"/>
    <w:link w:val="FootnoteTextChar"/>
    <w:uiPriority w:val="99"/>
    <w:semiHidden/>
    <w:unhideWhenUsed/>
    <w:rsid w:val="00C35CF8"/>
    <w:rPr>
      <w:sz w:val="20"/>
      <w:szCs w:val="20"/>
    </w:rPr>
  </w:style>
  <w:style w:type="character" w:customStyle="1" w:styleId="FootnoteTextChar">
    <w:name w:val="Footnote Text Char"/>
    <w:basedOn w:val="DefaultParagraphFont"/>
    <w:link w:val="FootnoteText"/>
    <w:uiPriority w:val="99"/>
    <w:semiHidden/>
    <w:rsid w:val="00C35CF8"/>
    <w:rPr>
      <w:sz w:val="20"/>
      <w:szCs w:val="20"/>
    </w:rPr>
  </w:style>
  <w:style w:type="character" w:styleId="FootnoteReference">
    <w:name w:val="footnote reference"/>
    <w:basedOn w:val="DefaultParagraphFont"/>
    <w:uiPriority w:val="99"/>
    <w:semiHidden/>
    <w:unhideWhenUsed/>
    <w:rsid w:val="00C35CF8"/>
    <w:rPr>
      <w:vertAlign w:val="superscript"/>
    </w:rPr>
  </w:style>
  <w:style w:type="character" w:customStyle="1" w:styleId="Heading3Char">
    <w:name w:val="Heading 3 Char"/>
    <w:basedOn w:val="DefaultParagraphFont"/>
    <w:link w:val="Heading3"/>
    <w:uiPriority w:val="9"/>
    <w:rsid w:val="003465FA"/>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223740"/>
    <w:rPr>
      <w:color w:val="605E5C"/>
      <w:shd w:val="clear" w:color="auto" w:fill="E1DFDD"/>
    </w:rPr>
  </w:style>
  <w:style w:type="paragraph" w:customStyle="1" w:styleId="Articletitle">
    <w:name w:val="Article title"/>
    <w:basedOn w:val="Normal"/>
    <w:next w:val="Normal"/>
    <w:qFormat/>
    <w:rsid w:val="00223740"/>
    <w:pPr>
      <w:spacing w:after="120" w:line="360" w:lineRule="auto"/>
    </w:pPr>
    <w:rPr>
      <w:rFonts w:ascii="Times New Roman" w:eastAsia="Times New Roman" w:hAnsi="Times New Roman" w:cs="Times New Roman"/>
      <w:b/>
      <w:sz w:val="28"/>
      <w:szCs w:val="24"/>
      <w:lang w:val="en-GB" w:eastAsia="en-GB"/>
    </w:rPr>
  </w:style>
  <w:style w:type="paragraph" w:customStyle="1" w:styleId="Authornames">
    <w:name w:val="Author names"/>
    <w:basedOn w:val="Normal"/>
    <w:next w:val="Normal"/>
    <w:qFormat/>
    <w:rsid w:val="00223740"/>
    <w:pPr>
      <w:spacing w:before="240" w:line="360" w:lineRule="auto"/>
    </w:pPr>
    <w:rPr>
      <w:rFonts w:ascii="Times New Roman" w:eastAsia="Times New Roman" w:hAnsi="Times New Roman" w:cs="Times New Roman"/>
      <w:sz w:val="28"/>
      <w:szCs w:val="24"/>
      <w:lang w:val="en-GB" w:eastAsia="en-GB"/>
    </w:rPr>
  </w:style>
  <w:style w:type="paragraph" w:customStyle="1" w:styleId="Affiliation">
    <w:name w:val="Affiliation"/>
    <w:basedOn w:val="Normal"/>
    <w:qFormat/>
    <w:rsid w:val="00223740"/>
    <w:pPr>
      <w:spacing w:before="240" w:line="360" w:lineRule="auto"/>
    </w:pPr>
    <w:rPr>
      <w:rFonts w:ascii="Times New Roman" w:eastAsia="Times New Roman" w:hAnsi="Times New Roman" w:cs="Times New Roman"/>
      <w:i/>
      <w:sz w:val="24"/>
      <w:szCs w:val="24"/>
      <w:lang w:val="en-GB" w:eastAsia="en-GB"/>
    </w:rPr>
  </w:style>
  <w:style w:type="paragraph" w:customStyle="1" w:styleId="Correspondencedetails">
    <w:name w:val="Correspondence details"/>
    <w:basedOn w:val="Normal"/>
    <w:qFormat/>
    <w:rsid w:val="00223740"/>
    <w:pPr>
      <w:spacing w:before="240" w:line="360" w:lineRule="auto"/>
    </w:pPr>
    <w:rPr>
      <w:rFonts w:ascii="Times New Roman" w:eastAsia="Times New Roman" w:hAnsi="Times New Roman" w:cs="Times New Roman"/>
      <w:sz w:val="24"/>
      <w:szCs w:val="24"/>
      <w:lang w:val="en-GB" w:eastAsia="en-GB"/>
    </w:rPr>
  </w:style>
  <w:style w:type="paragraph" w:customStyle="1" w:styleId="Notesoncontributors">
    <w:name w:val="Notes on contributors"/>
    <w:basedOn w:val="Normal"/>
    <w:qFormat/>
    <w:rsid w:val="00223740"/>
    <w:pPr>
      <w:spacing w:before="240" w:line="360" w:lineRule="auto"/>
    </w:pPr>
    <w:rPr>
      <w:rFonts w:ascii="Times New Roman" w:eastAsia="Times New Roman" w:hAnsi="Times New Roman" w:cs="Times New Roman"/>
      <w:szCs w:val="24"/>
      <w:lang w:val="en-GB" w:eastAsia="en-GB"/>
    </w:rPr>
  </w:style>
  <w:style w:type="character" w:customStyle="1" w:styleId="Heading2Char">
    <w:name w:val="Heading 2 Char"/>
    <w:basedOn w:val="DefaultParagraphFont"/>
    <w:link w:val="Heading2"/>
    <w:uiPriority w:val="9"/>
    <w:rsid w:val="009E6CFF"/>
    <w:rPr>
      <w:rFonts w:ascii="Times New Roman" w:eastAsia="Times New Roman" w:hAnsi="Times New Roman" w:cs="Arial"/>
      <w:b/>
      <w:bCs/>
      <w:i/>
      <w:iCs/>
      <w:sz w:val="24"/>
      <w:szCs w:val="28"/>
      <w:lang w:val="en-GB" w:eastAsia="en-GB"/>
    </w:rPr>
  </w:style>
  <w:style w:type="paragraph" w:styleId="Revision">
    <w:name w:val="Revision"/>
    <w:hidden/>
    <w:uiPriority w:val="99"/>
    <w:semiHidden/>
    <w:rsid w:val="005747E8"/>
  </w:style>
  <w:style w:type="paragraph" w:styleId="Bibliography">
    <w:name w:val="Bibliography"/>
    <w:basedOn w:val="Normal"/>
    <w:next w:val="Normal"/>
    <w:uiPriority w:val="37"/>
    <w:unhideWhenUsed/>
    <w:rsid w:val="00E66E70"/>
  </w:style>
  <w:style w:type="character" w:styleId="CommentReference">
    <w:name w:val="annotation reference"/>
    <w:basedOn w:val="DefaultParagraphFont"/>
    <w:uiPriority w:val="99"/>
    <w:semiHidden/>
    <w:unhideWhenUsed/>
    <w:rsid w:val="00826B10"/>
    <w:rPr>
      <w:sz w:val="16"/>
      <w:szCs w:val="16"/>
    </w:rPr>
  </w:style>
  <w:style w:type="paragraph" w:styleId="CommentText">
    <w:name w:val="annotation text"/>
    <w:basedOn w:val="Normal"/>
    <w:link w:val="CommentTextChar"/>
    <w:uiPriority w:val="99"/>
    <w:unhideWhenUsed/>
    <w:rsid w:val="00826B10"/>
    <w:rPr>
      <w:sz w:val="20"/>
      <w:szCs w:val="20"/>
    </w:rPr>
  </w:style>
  <w:style w:type="character" w:customStyle="1" w:styleId="CommentTextChar">
    <w:name w:val="Comment Text Char"/>
    <w:basedOn w:val="DefaultParagraphFont"/>
    <w:link w:val="CommentText"/>
    <w:uiPriority w:val="99"/>
    <w:rsid w:val="00826B10"/>
    <w:rPr>
      <w:sz w:val="20"/>
      <w:szCs w:val="20"/>
    </w:rPr>
  </w:style>
  <w:style w:type="paragraph" w:styleId="CommentSubject">
    <w:name w:val="annotation subject"/>
    <w:basedOn w:val="CommentText"/>
    <w:next w:val="CommentText"/>
    <w:link w:val="CommentSubjectChar"/>
    <w:uiPriority w:val="99"/>
    <w:semiHidden/>
    <w:unhideWhenUsed/>
    <w:rsid w:val="00826B10"/>
    <w:rPr>
      <w:b/>
      <w:bCs/>
    </w:rPr>
  </w:style>
  <w:style w:type="character" w:customStyle="1" w:styleId="CommentSubjectChar">
    <w:name w:val="Comment Subject Char"/>
    <w:basedOn w:val="CommentTextChar"/>
    <w:link w:val="CommentSubject"/>
    <w:uiPriority w:val="99"/>
    <w:semiHidden/>
    <w:rsid w:val="00826B10"/>
    <w:rPr>
      <w:b/>
      <w:bCs/>
      <w:sz w:val="20"/>
      <w:szCs w:val="20"/>
    </w:rPr>
  </w:style>
  <w:style w:type="paragraph" w:customStyle="1" w:styleId="Body">
    <w:name w:val="Body"/>
    <w:rsid w:val="002E2BEE"/>
    <w:pPr>
      <w:pBdr>
        <w:top w:val="nil"/>
        <w:left w:val="nil"/>
        <w:bottom w:val="nil"/>
        <w:right w:val="nil"/>
        <w:between w:val="nil"/>
        <w:bar w:val="nil"/>
      </w:pBdr>
    </w:pPr>
    <w:rPr>
      <w:rFonts w:ascii="Cambria" w:eastAsia="Cambria" w:hAnsi="Cambria" w:cs="Cambria"/>
      <w:color w:val="000000"/>
      <w:sz w:val="24"/>
      <w:szCs w:val="24"/>
      <w:u w:color="000000"/>
      <w:bdr w:val="nil"/>
      <w:lang w:val="fr-FR"/>
    </w:rPr>
  </w:style>
  <w:style w:type="character" w:styleId="PageNumber">
    <w:name w:val="page number"/>
    <w:basedOn w:val="DefaultParagraphFont"/>
    <w:uiPriority w:val="99"/>
    <w:semiHidden/>
    <w:unhideWhenUsed/>
    <w:rsid w:val="002E2BEE"/>
  </w:style>
  <w:style w:type="character" w:styleId="FollowedHyperlink">
    <w:name w:val="FollowedHyperlink"/>
    <w:basedOn w:val="DefaultParagraphFont"/>
    <w:uiPriority w:val="99"/>
    <w:semiHidden/>
    <w:unhideWhenUsed/>
    <w:rsid w:val="00256688"/>
    <w:rPr>
      <w:color w:val="954F72" w:themeColor="followed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customStyle="1" w:styleId="current-selection">
    <w:name w:val="current-selection"/>
    <w:basedOn w:val="DefaultParagraphFont"/>
    <w:rsid w:val="00BA3DEC"/>
  </w:style>
  <w:style w:type="paragraph" w:styleId="BalloonText">
    <w:name w:val="Balloon Text"/>
    <w:basedOn w:val="Normal"/>
    <w:link w:val="BalloonTextChar"/>
    <w:uiPriority w:val="99"/>
    <w:semiHidden/>
    <w:unhideWhenUsed/>
    <w:rsid w:val="000C60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075"/>
    <w:rPr>
      <w:rFonts w:ascii="Segoe UI" w:hAnsi="Segoe UI" w:cs="Segoe UI"/>
      <w:sz w:val="18"/>
      <w:szCs w:val="18"/>
    </w:rPr>
  </w:style>
  <w:style w:type="paragraph" w:styleId="EndnoteText">
    <w:name w:val="endnote text"/>
    <w:basedOn w:val="Normal"/>
    <w:link w:val="EndnoteTextChar"/>
    <w:uiPriority w:val="99"/>
    <w:semiHidden/>
    <w:unhideWhenUsed/>
    <w:rsid w:val="001513B1"/>
    <w:rPr>
      <w:rFonts w:asciiTheme="minorHAnsi" w:eastAsiaTheme="minorHAnsi" w:hAnsiTheme="minorHAnsi" w:cstheme="minorBidi"/>
      <w:kern w:val="2"/>
      <w:sz w:val="20"/>
      <w:szCs w:val="20"/>
    </w:rPr>
  </w:style>
  <w:style w:type="character" w:customStyle="1" w:styleId="EndnoteTextChar">
    <w:name w:val="Endnote Text Char"/>
    <w:basedOn w:val="DefaultParagraphFont"/>
    <w:link w:val="EndnoteText"/>
    <w:uiPriority w:val="99"/>
    <w:semiHidden/>
    <w:rsid w:val="001513B1"/>
    <w:rPr>
      <w:rFonts w:asciiTheme="minorHAnsi" w:eastAsiaTheme="minorHAnsi" w:hAnsiTheme="minorHAnsi" w:cstheme="minorBidi"/>
      <w:kern w:val="2"/>
      <w:sz w:val="20"/>
      <w:szCs w:val="20"/>
      <w:lang w:eastAsia="en-US"/>
    </w:rPr>
  </w:style>
  <w:style w:type="character" w:styleId="EndnoteReference">
    <w:name w:val="endnote reference"/>
    <w:basedOn w:val="DefaultParagraphFont"/>
    <w:uiPriority w:val="99"/>
    <w:semiHidden/>
    <w:unhideWhenUsed/>
    <w:rsid w:val="001513B1"/>
    <w:rPr>
      <w:vertAlign w:val="superscript"/>
    </w:rPr>
  </w:style>
  <w:style w:type="character" w:customStyle="1" w:styleId="latn">
    <w:name w:val="latn"/>
    <w:basedOn w:val="DefaultParagraphFont"/>
    <w:rsid w:val="009E2F48"/>
  </w:style>
  <w:style w:type="paragraph" w:styleId="BodyText2">
    <w:name w:val="Body Text 2"/>
    <w:basedOn w:val="Normal"/>
    <w:link w:val="BodyText2Char"/>
    <w:rsid w:val="009E2F48"/>
    <w:pPr>
      <w:tabs>
        <w:tab w:val="left" w:pos="720"/>
        <w:tab w:val="left" w:pos="1440"/>
        <w:tab w:val="left" w:pos="2160"/>
        <w:tab w:val="right" w:pos="4320"/>
        <w:tab w:val="left" w:pos="5760"/>
        <w:tab w:val="decimal" w:pos="10440"/>
      </w:tabs>
      <w:ind w:right="-720"/>
      <w:jc w:val="both"/>
    </w:pPr>
    <w:rPr>
      <w:rFonts w:ascii="New York" w:eastAsia="Times New Roman" w:hAnsi="New York" w:cs="Times New Roman"/>
      <w:sz w:val="20"/>
      <w:szCs w:val="20"/>
    </w:rPr>
  </w:style>
  <w:style w:type="character" w:customStyle="1" w:styleId="BodyText2Char">
    <w:name w:val="Body Text 2 Char"/>
    <w:basedOn w:val="DefaultParagraphFont"/>
    <w:link w:val="BodyText2"/>
    <w:rsid w:val="009E2F48"/>
    <w:rPr>
      <w:rFonts w:ascii="New York" w:eastAsia="Times New Roman" w:hAnsi="New York" w:cs="Times New Roman"/>
      <w:sz w:val="20"/>
      <w:szCs w:val="20"/>
      <w:lang w:eastAsia="en-US"/>
    </w:rPr>
  </w:style>
  <w:style w:type="character" w:customStyle="1" w:styleId="hgkelc">
    <w:name w:val="hgkelc"/>
    <w:basedOn w:val="DefaultParagraphFont"/>
    <w:rsid w:val="009E2F48"/>
  </w:style>
  <w:style w:type="paragraph" w:customStyle="1" w:styleId="Default">
    <w:name w:val="Default"/>
    <w:rsid w:val="009E2F48"/>
    <w:pPr>
      <w:autoSpaceDE w:val="0"/>
      <w:autoSpaceDN w:val="0"/>
      <w:adjustRightInd w:val="0"/>
    </w:pPr>
    <w:rPr>
      <w:rFonts w:ascii="Century Schoolbook" w:eastAsiaTheme="minorEastAsia" w:hAnsi="Century Schoolbook" w:cs="Century Schoolbook"/>
      <w:color w:val="000000"/>
      <w:sz w:val="24"/>
      <w:szCs w:val="24"/>
      <w:lang w:eastAsia="ja-JP"/>
    </w:rPr>
  </w:style>
  <w:style w:type="character" w:styleId="Emphasis">
    <w:name w:val="Emphasis"/>
    <w:basedOn w:val="DefaultParagraphFont"/>
    <w:uiPriority w:val="20"/>
    <w:qFormat/>
    <w:rsid w:val="009E2F48"/>
    <w:rPr>
      <w:i/>
      <w:iCs/>
    </w:rPr>
  </w:style>
  <w:style w:type="table" w:customStyle="1" w:styleId="1">
    <w:name w:val="1"/>
    <w:basedOn w:val="TableNormal"/>
    <w:rsid w:val="00F36888"/>
    <w:pPr>
      <w:spacing w:line="276" w:lineRule="auto"/>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table" w:customStyle="1" w:styleId="a1">
    <w:basedOn w:val="TableNormal"/>
    <w:pPr>
      <w:spacing w:line="276" w:lineRule="auto"/>
    </w:pPr>
    <w:rPr>
      <w:rFonts w:ascii="Arial" w:eastAsia="Arial" w:hAnsi="Arial" w:cs="Arial"/>
    </w:rPr>
    <w:tblPr>
      <w:tblStyleRowBandSize w:val="1"/>
      <w:tblStyleColBandSize w:val="1"/>
      <w:tblCellMar>
        <w:top w:w="100" w:type="dxa"/>
        <w:left w:w="100" w:type="dxa"/>
        <w:bottom w:w="100" w:type="dxa"/>
        <w:right w:w="100" w:type="dxa"/>
      </w:tblCellMar>
    </w:tblPr>
  </w:style>
  <w:style w:type="paragraph" w:customStyle="1" w:styleId="L2JTitle">
    <w:name w:val="L2J Title"/>
    <w:next w:val="Title"/>
    <w:qFormat/>
    <w:rsid w:val="002F1B2C"/>
    <w:rPr>
      <w:rFonts w:ascii="Garamond" w:eastAsia="Garamond" w:hAnsi="Garamond" w:cs="Garamond"/>
      <w:color w:val="000000"/>
      <w:sz w:val="40"/>
      <w:szCs w:val="40"/>
    </w:rPr>
  </w:style>
  <w:style w:type="paragraph" w:customStyle="1" w:styleId="L2JH1">
    <w:name w:val="L2J H1"/>
    <w:basedOn w:val="Normal"/>
    <w:next w:val="Heading1"/>
    <w:qFormat/>
    <w:rsid w:val="00906F80"/>
    <w:pPr>
      <w:jc w:val="center"/>
    </w:pPr>
    <w:rPr>
      <w:rFonts w:ascii="Garamond" w:eastAsia="Garamond" w:hAnsi="Garamond" w:cs="Garamond"/>
      <w:b/>
      <w:color w:val="000000"/>
      <w:sz w:val="26"/>
      <w:szCs w:val="26"/>
    </w:rPr>
  </w:style>
  <w:style w:type="paragraph" w:customStyle="1" w:styleId="L2JH2">
    <w:name w:val="L2J H2"/>
    <w:basedOn w:val="Normal"/>
    <w:next w:val="Heading2"/>
    <w:qFormat/>
    <w:rsid w:val="002F1B2C"/>
    <w:rPr>
      <w:rFonts w:ascii="Garamond" w:eastAsia="Garamond" w:hAnsi="Garamond" w:cs="Garamond"/>
      <w:b/>
      <w:sz w:val="26"/>
      <w:szCs w:val="26"/>
    </w:rPr>
  </w:style>
  <w:style w:type="paragraph" w:customStyle="1" w:styleId="L2JBody">
    <w:name w:val="L2J Body"/>
    <w:basedOn w:val="Normal"/>
    <w:qFormat/>
    <w:rsid w:val="00906F80"/>
    <w:pPr>
      <w:ind w:firstLine="720"/>
      <w:jc w:val="both"/>
    </w:pPr>
    <w:rPr>
      <w:rFonts w:ascii="Garamond" w:eastAsia="Garamond" w:hAnsi="Garamond" w:cs="Garamond"/>
      <w:color w:val="000000" w:themeColor="text1"/>
      <w:sz w:val="24"/>
      <w:szCs w:val="24"/>
    </w:rPr>
  </w:style>
  <w:style w:type="paragraph" w:customStyle="1" w:styleId="L2JFigureCallOut">
    <w:name w:val="L2J Figure Call Out"/>
    <w:basedOn w:val="Normal"/>
    <w:qFormat/>
    <w:rsid w:val="00906F80"/>
    <w:rPr>
      <w:rFonts w:ascii="Garamond" w:eastAsia="Garamond" w:hAnsi="Garamond" w:cs="Garamond"/>
      <w:color w:val="000000" w:themeColor="text1"/>
      <w:sz w:val="24"/>
      <w:szCs w:val="24"/>
    </w:rPr>
  </w:style>
  <w:style w:type="paragraph" w:customStyle="1" w:styleId="L2JFigureTitle">
    <w:name w:val="L2J Figure Title"/>
    <w:basedOn w:val="Normal"/>
    <w:qFormat/>
    <w:rsid w:val="00906F80"/>
    <w:rPr>
      <w:rFonts w:ascii="Garamond" w:eastAsia="Garamond" w:hAnsi="Garamond" w:cs="Garamond"/>
      <w:i/>
      <w:iCs/>
      <w:color w:val="000000" w:themeColor="text1"/>
      <w:sz w:val="24"/>
      <w:szCs w:val="24"/>
    </w:rPr>
  </w:style>
  <w:style w:type="paragraph" w:customStyle="1" w:styleId="L2JBlockQuote">
    <w:name w:val="L2J Block Quote"/>
    <w:basedOn w:val="L2JBody"/>
    <w:qFormat/>
    <w:rsid w:val="00906F80"/>
    <w:pPr>
      <w:ind w:left="720" w:firstLine="0"/>
    </w:pPr>
    <w:rPr>
      <w:iCs/>
    </w:rPr>
  </w:style>
  <w:style w:type="paragraph" w:customStyle="1" w:styleId="L2JReferences">
    <w:name w:val="L2J References"/>
    <w:basedOn w:val="Normal"/>
    <w:qFormat/>
    <w:rsid w:val="004B11F5"/>
    <w:pPr>
      <w:autoSpaceDE w:val="0"/>
      <w:autoSpaceDN w:val="0"/>
      <w:adjustRightInd w:val="0"/>
      <w:ind w:left="720" w:hanging="720"/>
    </w:pPr>
    <w:rPr>
      <w:rFonts w:ascii="Garamond" w:hAnsi="Garamond"/>
      <w:sz w:val="20"/>
      <w:szCs w:val="20"/>
      <w:lang w:eastAsia="zh-CN"/>
    </w:rPr>
  </w:style>
  <w:style w:type="paragraph" w:customStyle="1" w:styleId="L2JSectionTitle">
    <w:name w:val="L2J Section Title"/>
    <w:basedOn w:val="Normal"/>
    <w:qFormat/>
    <w:rsid w:val="006B65B4"/>
    <w:pPr>
      <w:jc w:val="both"/>
    </w:pPr>
    <w:rPr>
      <w:rFonts w:ascii="Garamond" w:eastAsia="Garamond" w:hAnsi="Garamond" w:cs="Garamond"/>
      <w:b/>
      <w:color w:val="000000"/>
      <w:sz w:val="40"/>
      <w:szCs w:val="40"/>
    </w:rPr>
  </w:style>
  <w:style w:type="paragraph" w:customStyle="1" w:styleId="L2JAuthorByline">
    <w:name w:val="L2J Author Byline"/>
    <w:basedOn w:val="Normal"/>
    <w:qFormat/>
    <w:rsid w:val="006B65B4"/>
    <w:rPr>
      <w:rFonts w:ascii="Garamond" w:eastAsia="Garamond" w:hAnsi="Garamond" w:cs="Garamond"/>
      <w:color w:val="000000"/>
      <w:sz w:val="24"/>
      <w:szCs w:val="24"/>
    </w:rPr>
  </w:style>
  <w:style w:type="paragraph" w:customStyle="1" w:styleId="L2JAuthorAffiliation">
    <w:name w:val="L2J Author Affiliation"/>
    <w:basedOn w:val="Normal"/>
    <w:qFormat/>
    <w:rsid w:val="006B65B4"/>
    <w:rPr>
      <w:rFonts w:ascii="Garamond" w:eastAsia="Garamond" w:hAnsi="Garamond" w:cs="Garamond"/>
      <w:i/>
      <w:color w:val="000000"/>
      <w:sz w:val="24"/>
      <w:szCs w:val="24"/>
    </w:rPr>
  </w:style>
  <w:style w:type="paragraph" w:customStyle="1" w:styleId="L2JAbstract">
    <w:name w:val="L2J Abstract"/>
    <w:basedOn w:val="Normal"/>
    <w:qFormat/>
    <w:rsid w:val="006B65B4"/>
    <w:pPr>
      <w:shd w:val="clear" w:color="auto" w:fill="FFFFFF"/>
      <w:jc w:val="both"/>
    </w:pPr>
    <w:rPr>
      <w:rFonts w:ascii="Garamond" w:eastAsia="Garamond" w:hAnsi="Garamond" w:cs="Garamond"/>
      <w:color w:val="000000"/>
      <w:sz w:val="20"/>
      <w:szCs w:val="20"/>
    </w:rPr>
  </w:style>
  <w:style w:type="paragraph" w:customStyle="1" w:styleId="L2JH3">
    <w:name w:val="L2J H3"/>
    <w:basedOn w:val="Normal"/>
    <w:qFormat/>
    <w:rsid w:val="006B65B4"/>
    <w:pPr>
      <w:shd w:val="clear" w:color="auto" w:fill="FFFFFF"/>
    </w:pPr>
    <w:rPr>
      <w:rFonts w:ascii="Garamond" w:hAnsi="Garamond"/>
      <w:b/>
      <w:bCs/>
      <w:i/>
      <w:iCs/>
      <w:sz w:val="26"/>
      <w:szCs w:val="26"/>
    </w:rPr>
  </w:style>
  <w:style w:type="paragraph" w:customStyle="1" w:styleId="EndNoteBibliography">
    <w:name w:val="EndNote Bibliography"/>
    <w:basedOn w:val="Normal"/>
    <w:link w:val="EndNoteBibliographyChar"/>
    <w:rsid w:val="00542A9F"/>
    <w:rPr>
      <w:rFonts w:eastAsia="Times New Roman"/>
      <w:sz w:val="24"/>
      <w:szCs w:val="24"/>
    </w:rPr>
  </w:style>
  <w:style w:type="character" w:customStyle="1" w:styleId="EndNoteBibliographyChar">
    <w:name w:val="EndNote Bibliography Char"/>
    <w:basedOn w:val="DefaultParagraphFont"/>
    <w:link w:val="EndNoteBibliography"/>
    <w:rsid w:val="00542A9F"/>
    <w:rPr>
      <w:rFonts w:eastAsia="Times New Roman"/>
      <w:sz w:val="24"/>
      <w:szCs w:val="24"/>
    </w:rPr>
  </w:style>
  <w:style w:type="character" w:styleId="Strong">
    <w:name w:val="Strong"/>
    <w:basedOn w:val="DefaultParagraphFont"/>
    <w:uiPriority w:val="22"/>
    <w:qFormat/>
    <w:rsid w:val="005C461E"/>
    <w:rPr>
      <w:b/>
      <w:bCs/>
    </w:rPr>
  </w:style>
  <w:style w:type="paragraph" w:customStyle="1" w:styleId="CMSTextBody">
    <w:name w:val="CMS Text Body"/>
    <w:basedOn w:val="Normal"/>
    <w:qFormat/>
    <w:rsid w:val="001B0651"/>
    <w:pPr>
      <w:spacing w:after="200" w:line="300" w:lineRule="auto"/>
      <w:jc w:val="both"/>
    </w:pPr>
    <w:rPr>
      <w:rFonts w:ascii="Times" w:eastAsiaTheme="minorEastAsia" w:hAnsi="Times" w:cs="Times New Roman"/>
      <w:sz w:val="24"/>
      <w:szCs w:val="24"/>
      <w:shd w:val="clear" w:color="auto" w:fill="FFFFFF"/>
    </w:rPr>
  </w:style>
  <w:style w:type="paragraph" w:customStyle="1" w:styleId="L2Jheaderfooter">
    <w:name w:val="L2J header/footer"/>
    <w:basedOn w:val="Normal"/>
    <w:qFormat/>
    <w:rsid w:val="003256D0"/>
    <w:pPr>
      <w:pBdr>
        <w:top w:val="nil"/>
        <w:left w:val="nil"/>
        <w:bottom w:val="nil"/>
        <w:right w:val="nil"/>
        <w:between w:val="nil"/>
      </w:pBdr>
      <w:tabs>
        <w:tab w:val="center" w:pos="4680"/>
        <w:tab w:val="right" w:pos="9360"/>
      </w:tabs>
    </w:pPr>
    <w:rPr>
      <w:rFonts w:ascii="Garamond" w:eastAsia="Garamond" w:hAnsi="Garamond" w:cs="Garamond"/>
      <w:color w:val="000000" w:themeColor="text1"/>
      <w:sz w:val="18"/>
      <w:szCs w:val="18"/>
    </w:rPr>
  </w:style>
  <w:style w:type="paragraph" w:customStyle="1" w:styleId="L2Jfootnote">
    <w:name w:val="L2J footnote"/>
    <w:basedOn w:val="Normal"/>
    <w:qFormat/>
    <w:rsid w:val="00A0191A"/>
    <w:rPr>
      <w:rFonts w:ascii="Garamond" w:hAnsi="Garamond"/>
      <w:sz w:val="20"/>
      <w:szCs w:val="20"/>
    </w:rPr>
  </w:style>
  <w:style w:type="paragraph" w:customStyle="1" w:styleId="L2JArticleType">
    <w:name w:val="L2J Article Type"/>
    <w:basedOn w:val="Normal"/>
    <w:qFormat/>
    <w:rsid w:val="00DE1A5D"/>
    <w:pPr>
      <w:jc w:val="both"/>
    </w:pPr>
    <w:rPr>
      <w:rFonts w:ascii="Garamond" w:eastAsia="Garamond" w:hAnsi="Garamond" w:cs="Garamond"/>
      <w:b/>
      <w:color w:val="000000"/>
      <w:sz w:val="40"/>
      <w:szCs w:val="40"/>
    </w:rPr>
  </w:style>
  <w:style w:type="paragraph" w:customStyle="1" w:styleId="L2Jtablenote">
    <w:name w:val="L2J table note"/>
    <w:basedOn w:val="L2Jfootnote"/>
    <w:qFormat/>
    <w:rsid w:val="00362839"/>
    <w:rPr>
      <w:shd w:val="clear" w:color="auto" w:fill="FFFFFF"/>
    </w:rPr>
  </w:style>
  <w:style w:type="character" w:customStyle="1" w:styleId="Heading7Char">
    <w:name w:val="Heading 7 Char"/>
    <w:basedOn w:val="DefaultParagraphFont"/>
    <w:link w:val="Heading7"/>
    <w:uiPriority w:val="9"/>
    <w:semiHidden/>
    <w:rsid w:val="00E027AC"/>
    <w:rPr>
      <w:rFonts w:asciiTheme="minorHAnsi" w:eastAsiaTheme="majorEastAsia" w:hAnsiTheme="minorHAnsi" w:cstheme="majorBidi"/>
      <w:color w:val="595959" w:themeColor="text1" w:themeTint="A6"/>
      <w:kern w:val="2"/>
      <w:sz w:val="20"/>
      <w:lang w:eastAsia="ko-KR"/>
      <w14:ligatures w14:val="standardContextual"/>
    </w:rPr>
  </w:style>
  <w:style w:type="character" w:customStyle="1" w:styleId="Heading8Char">
    <w:name w:val="Heading 8 Char"/>
    <w:basedOn w:val="DefaultParagraphFont"/>
    <w:link w:val="Heading8"/>
    <w:uiPriority w:val="9"/>
    <w:semiHidden/>
    <w:rsid w:val="00E027AC"/>
    <w:rPr>
      <w:rFonts w:asciiTheme="minorHAnsi" w:eastAsiaTheme="majorEastAsia" w:hAnsiTheme="minorHAnsi" w:cstheme="majorBidi"/>
      <w:i/>
      <w:iCs/>
      <w:color w:val="272727" w:themeColor="text1" w:themeTint="D8"/>
      <w:kern w:val="2"/>
      <w:sz w:val="20"/>
      <w:lang w:eastAsia="ko-KR"/>
      <w14:ligatures w14:val="standardContextual"/>
    </w:rPr>
  </w:style>
  <w:style w:type="character" w:customStyle="1" w:styleId="Heading9Char">
    <w:name w:val="Heading 9 Char"/>
    <w:basedOn w:val="DefaultParagraphFont"/>
    <w:link w:val="Heading9"/>
    <w:uiPriority w:val="9"/>
    <w:semiHidden/>
    <w:rsid w:val="00E027AC"/>
    <w:rPr>
      <w:rFonts w:asciiTheme="minorHAnsi" w:eastAsiaTheme="majorEastAsia" w:hAnsiTheme="minorHAnsi" w:cstheme="majorBidi"/>
      <w:color w:val="272727" w:themeColor="text1" w:themeTint="D8"/>
      <w:kern w:val="2"/>
      <w:sz w:val="20"/>
      <w:lang w:eastAsia="ko-KR"/>
      <w14:ligatures w14:val="standardContextual"/>
    </w:rPr>
  </w:style>
  <w:style w:type="character" w:customStyle="1" w:styleId="Heading6Char">
    <w:name w:val="Heading 6 Char"/>
    <w:basedOn w:val="DefaultParagraphFont"/>
    <w:link w:val="Heading6"/>
    <w:uiPriority w:val="9"/>
    <w:semiHidden/>
    <w:rsid w:val="00E027AC"/>
    <w:rPr>
      <w:b/>
      <w:sz w:val="20"/>
      <w:szCs w:val="20"/>
    </w:rPr>
  </w:style>
  <w:style w:type="character" w:customStyle="1" w:styleId="TitleChar">
    <w:name w:val="Title Char"/>
    <w:basedOn w:val="DefaultParagraphFont"/>
    <w:link w:val="Title"/>
    <w:uiPriority w:val="10"/>
    <w:rsid w:val="00E027AC"/>
    <w:rPr>
      <w:b/>
      <w:sz w:val="72"/>
      <w:szCs w:val="72"/>
    </w:rPr>
  </w:style>
  <w:style w:type="character" w:customStyle="1" w:styleId="SubtitleChar">
    <w:name w:val="Subtitle Char"/>
    <w:basedOn w:val="DefaultParagraphFont"/>
    <w:link w:val="Subtitle"/>
    <w:uiPriority w:val="11"/>
    <w:rsid w:val="00E027AC"/>
    <w:rPr>
      <w:rFonts w:ascii="Georgia" w:eastAsia="Georgia" w:hAnsi="Georgia" w:cs="Georgia"/>
      <w:i/>
      <w:color w:val="666666"/>
      <w:sz w:val="48"/>
      <w:szCs w:val="48"/>
    </w:rPr>
  </w:style>
  <w:style w:type="paragraph" w:styleId="Quote">
    <w:name w:val="Quote"/>
    <w:basedOn w:val="Normal"/>
    <w:next w:val="Normal"/>
    <w:link w:val="QuoteChar"/>
    <w:uiPriority w:val="29"/>
    <w:qFormat/>
    <w:rsid w:val="00E027AC"/>
    <w:pPr>
      <w:widowControl w:val="0"/>
      <w:wordWrap w:val="0"/>
      <w:autoSpaceDE w:val="0"/>
      <w:autoSpaceDN w:val="0"/>
      <w:spacing w:before="160" w:after="200" w:line="276" w:lineRule="auto"/>
      <w:jc w:val="center"/>
    </w:pPr>
    <w:rPr>
      <w:rFonts w:asciiTheme="minorHAnsi" w:eastAsiaTheme="minorEastAsia" w:hAnsiTheme="minorHAnsi" w:cstheme="minorBidi"/>
      <w:i/>
      <w:iCs/>
      <w:color w:val="404040" w:themeColor="text1" w:themeTint="BF"/>
      <w:kern w:val="2"/>
      <w:sz w:val="20"/>
      <w:lang w:eastAsia="ko-KR"/>
      <w14:ligatures w14:val="standardContextual"/>
    </w:rPr>
  </w:style>
  <w:style w:type="character" w:customStyle="1" w:styleId="QuoteChar">
    <w:name w:val="Quote Char"/>
    <w:basedOn w:val="DefaultParagraphFont"/>
    <w:link w:val="Quote"/>
    <w:uiPriority w:val="29"/>
    <w:rsid w:val="00E027AC"/>
    <w:rPr>
      <w:rFonts w:asciiTheme="minorHAnsi" w:eastAsiaTheme="minorEastAsia" w:hAnsiTheme="minorHAnsi" w:cstheme="minorBidi"/>
      <w:i/>
      <w:iCs/>
      <w:color w:val="404040" w:themeColor="text1" w:themeTint="BF"/>
      <w:kern w:val="2"/>
      <w:sz w:val="20"/>
      <w:lang w:eastAsia="ko-KR"/>
      <w14:ligatures w14:val="standardContextual"/>
    </w:rPr>
  </w:style>
  <w:style w:type="character" w:styleId="IntenseEmphasis">
    <w:name w:val="Intense Emphasis"/>
    <w:basedOn w:val="DefaultParagraphFont"/>
    <w:uiPriority w:val="21"/>
    <w:qFormat/>
    <w:rsid w:val="00E027AC"/>
    <w:rPr>
      <w:i/>
      <w:iCs/>
      <w:color w:val="2F5496" w:themeColor="accent1" w:themeShade="BF"/>
    </w:rPr>
  </w:style>
  <w:style w:type="paragraph" w:styleId="IntenseQuote">
    <w:name w:val="Intense Quote"/>
    <w:basedOn w:val="Normal"/>
    <w:next w:val="Normal"/>
    <w:link w:val="IntenseQuoteChar"/>
    <w:uiPriority w:val="30"/>
    <w:qFormat/>
    <w:rsid w:val="00E027AC"/>
    <w:pPr>
      <w:widowControl w:val="0"/>
      <w:pBdr>
        <w:top w:val="single" w:sz="4" w:space="10" w:color="2F5496" w:themeColor="accent1" w:themeShade="BF"/>
        <w:bottom w:val="single" w:sz="4" w:space="10" w:color="2F5496" w:themeColor="accent1" w:themeShade="BF"/>
      </w:pBdr>
      <w:wordWrap w:val="0"/>
      <w:autoSpaceDE w:val="0"/>
      <w:autoSpaceDN w:val="0"/>
      <w:spacing w:before="360" w:after="360" w:line="276" w:lineRule="auto"/>
      <w:ind w:left="864" w:right="864"/>
      <w:jc w:val="center"/>
    </w:pPr>
    <w:rPr>
      <w:rFonts w:asciiTheme="minorHAnsi" w:eastAsiaTheme="minorEastAsia" w:hAnsiTheme="minorHAnsi" w:cstheme="minorBidi"/>
      <w:i/>
      <w:iCs/>
      <w:color w:val="2F5496" w:themeColor="accent1" w:themeShade="BF"/>
      <w:kern w:val="2"/>
      <w:sz w:val="20"/>
      <w:lang w:eastAsia="ko-KR"/>
      <w14:ligatures w14:val="standardContextual"/>
    </w:rPr>
  </w:style>
  <w:style w:type="character" w:customStyle="1" w:styleId="IntenseQuoteChar">
    <w:name w:val="Intense Quote Char"/>
    <w:basedOn w:val="DefaultParagraphFont"/>
    <w:link w:val="IntenseQuote"/>
    <w:uiPriority w:val="30"/>
    <w:rsid w:val="00E027AC"/>
    <w:rPr>
      <w:rFonts w:asciiTheme="minorHAnsi" w:eastAsiaTheme="minorEastAsia" w:hAnsiTheme="minorHAnsi" w:cstheme="minorBidi"/>
      <w:i/>
      <w:iCs/>
      <w:color w:val="2F5496" w:themeColor="accent1" w:themeShade="BF"/>
      <w:kern w:val="2"/>
      <w:sz w:val="20"/>
      <w:lang w:eastAsia="ko-KR"/>
      <w14:ligatures w14:val="standardContextual"/>
    </w:rPr>
  </w:style>
  <w:style w:type="character" w:styleId="IntenseReference">
    <w:name w:val="Intense Reference"/>
    <w:basedOn w:val="DefaultParagraphFont"/>
    <w:uiPriority w:val="32"/>
    <w:qFormat/>
    <w:rsid w:val="00E027AC"/>
    <w:rPr>
      <w:b/>
      <w:bCs/>
      <w:smallCaps/>
      <w:color w:val="2F5496" w:themeColor="accent1" w:themeShade="BF"/>
      <w:spacing w:val="5"/>
    </w:rPr>
  </w:style>
  <w:style w:type="paragraph" w:customStyle="1" w:styleId="pf0">
    <w:name w:val="pf0"/>
    <w:basedOn w:val="Normal"/>
    <w:rsid w:val="00E027AC"/>
    <w:pPr>
      <w:spacing w:before="100" w:beforeAutospacing="1" w:after="100" w:afterAutospacing="1"/>
    </w:pPr>
    <w:rPr>
      <w:rFonts w:ascii="Times New Roman" w:eastAsia="Times New Roman" w:hAnsi="Times New Roman" w:cs="Times New Roman"/>
      <w:sz w:val="24"/>
      <w:szCs w:val="24"/>
      <w:lang w:eastAsia="ko-KR"/>
      <w14:ligatures w14:val="standardContextual"/>
    </w:rPr>
  </w:style>
  <w:style w:type="paragraph" w:customStyle="1" w:styleId="msonormal0">
    <w:name w:val="msonormal"/>
    <w:basedOn w:val="Normal"/>
    <w:rsid w:val="00E027AC"/>
    <w:pPr>
      <w:spacing w:before="100" w:beforeAutospacing="1" w:after="100" w:afterAutospacing="1"/>
    </w:pPr>
    <w:rPr>
      <w:rFonts w:ascii="Times New Roman" w:eastAsia="Times New Roman" w:hAnsi="Times New Roman" w:cs="Times New Roman"/>
      <w:sz w:val="24"/>
      <w:szCs w:val="24"/>
      <w:lang w:eastAsia="ko-KR"/>
    </w:rPr>
  </w:style>
  <w:style w:type="paragraph" w:customStyle="1" w:styleId="font5">
    <w:name w:val="font5"/>
    <w:basedOn w:val="Normal"/>
    <w:rsid w:val="00E027AC"/>
    <w:pPr>
      <w:spacing w:before="100" w:beforeAutospacing="1" w:after="100" w:afterAutospacing="1"/>
    </w:pPr>
    <w:rPr>
      <w:rFonts w:ascii="Aptos Narrow" w:eastAsia="Times New Roman" w:hAnsi="Aptos Narrow" w:cs="Times New Roman"/>
      <w:b/>
      <w:bCs/>
      <w:color w:val="000000"/>
      <w:lang w:eastAsia="ko-KR"/>
    </w:rPr>
  </w:style>
  <w:style w:type="paragraph" w:customStyle="1" w:styleId="font6">
    <w:name w:val="font6"/>
    <w:basedOn w:val="Normal"/>
    <w:rsid w:val="00E027AC"/>
    <w:pPr>
      <w:spacing w:before="100" w:beforeAutospacing="1" w:after="100" w:afterAutospacing="1"/>
    </w:pPr>
    <w:rPr>
      <w:rFonts w:ascii="Aptos Narrow" w:eastAsia="Times New Roman" w:hAnsi="Aptos Narrow" w:cs="Times New Roman"/>
      <w:color w:val="000000"/>
      <w:u w:val="single"/>
      <w:lang w:eastAsia="ko-KR"/>
    </w:rPr>
  </w:style>
  <w:style w:type="paragraph" w:customStyle="1" w:styleId="font7">
    <w:name w:val="font7"/>
    <w:basedOn w:val="Normal"/>
    <w:rsid w:val="00E027AC"/>
    <w:pPr>
      <w:spacing w:before="100" w:beforeAutospacing="1" w:after="100" w:afterAutospacing="1"/>
    </w:pPr>
    <w:rPr>
      <w:rFonts w:ascii="Aptos Narrow" w:eastAsia="Times New Roman" w:hAnsi="Aptos Narrow" w:cs="Times New Roman"/>
      <w:color w:val="000000"/>
      <w:lang w:eastAsia="ko-KR"/>
    </w:rPr>
  </w:style>
  <w:style w:type="paragraph" w:customStyle="1" w:styleId="font8">
    <w:name w:val="font8"/>
    <w:basedOn w:val="Normal"/>
    <w:rsid w:val="00E027AC"/>
    <w:pPr>
      <w:spacing w:before="100" w:beforeAutospacing="1" w:after="100" w:afterAutospacing="1"/>
    </w:pPr>
    <w:rPr>
      <w:rFonts w:eastAsia="Times New Roman"/>
      <w:color w:val="000000"/>
      <w:lang w:eastAsia="ko-KR"/>
    </w:rPr>
  </w:style>
  <w:style w:type="paragraph" w:customStyle="1" w:styleId="font9">
    <w:name w:val="font9"/>
    <w:basedOn w:val="Normal"/>
    <w:rsid w:val="00E027AC"/>
    <w:pPr>
      <w:spacing w:before="100" w:beforeAutospacing="1" w:after="100" w:afterAutospacing="1"/>
    </w:pPr>
    <w:rPr>
      <w:rFonts w:eastAsia="Times New Roman"/>
      <w:color w:val="000000"/>
      <w:lang w:eastAsia="ko-KR"/>
    </w:rPr>
  </w:style>
  <w:style w:type="paragraph" w:customStyle="1" w:styleId="xl63">
    <w:name w:val="xl63"/>
    <w:basedOn w:val="Normal"/>
    <w:rsid w:val="00E027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ko-KR"/>
    </w:rPr>
  </w:style>
  <w:style w:type="paragraph" w:customStyle="1" w:styleId="xl64">
    <w:name w:val="xl64"/>
    <w:basedOn w:val="Normal"/>
    <w:rsid w:val="00E027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ko-KR"/>
    </w:rPr>
  </w:style>
  <w:style w:type="paragraph" w:customStyle="1" w:styleId="xl65">
    <w:name w:val="xl65"/>
    <w:basedOn w:val="Normal"/>
    <w:rsid w:val="00E027AC"/>
    <w:pPr>
      <w:pBdr>
        <w:top w:val="single" w:sz="4" w:space="0" w:color="auto"/>
        <w:left w:val="single" w:sz="4" w:space="0" w:color="auto"/>
        <w:bottom w:val="single" w:sz="4" w:space="0" w:color="auto"/>
        <w:right w:val="single" w:sz="4" w:space="0" w:color="auto"/>
      </w:pBdr>
      <w:shd w:val="clear" w:color="000000" w:fill="DAE9F8"/>
      <w:spacing w:before="100" w:beforeAutospacing="1" w:after="100" w:afterAutospacing="1"/>
      <w:jc w:val="center"/>
      <w:textAlignment w:val="top"/>
    </w:pPr>
    <w:rPr>
      <w:rFonts w:ascii="Times New Roman" w:eastAsia="Times New Roman" w:hAnsi="Times New Roman" w:cs="Times New Roman"/>
      <w:b/>
      <w:bCs/>
      <w:sz w:val="24"/>
      <w:szCs w:val="24"/>
      <w:lang w:eastAsia="ko-KR"/>
    </w:rPr>
  </w:style>
  <w:style w:type="paragraph" w:customStyle="1" w:styleId="xl66">
    <w:name w:val="xl66"/>
    <w:basedOn w:val="Normal"/>
    <w:rsid w:val="00E027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14"/>
      <w:szCs w:val="14"/>
      <w:lang w:eastAsia="ko-KR"/>
    </w:rPr>
  </w:style>
  <w:style w:type="paragraph" w:customStyle="1" w:styleId="xl67">
    <w:name w:val="xl67"/>
    <w:basedOn w:val="Normal"/>
    <w:rsid w:val="00E027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ko-KR"/>
    </w:rPr>
  </w:style>
  <w:style w:type="paragraph" w:customStyle="1" w:styleId="xl68">
    <w:name w:val="xl68"/>
    <w:basedOn w:val="Normal"/>
    <w:rsid w:val="00E027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ko-KR"/>
    </w:rPr>
  </w:style>
  <w:style w:type="paragraph" w:customStyle="1" w:styleId="xl69">
    <w:name w:val="xl69"/>
    <w:basedOn w:val="Normal"/>
    <w:rsid w:val="00E027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ko-KR"/>
    </w:rPr>
  </w:style>
  <w:style w:type="paragraph" w:customStyle="1" w:styleId="xl70">
    <w:name w:val="xl70"/>
    <w:basedOn w:val="Normal"/>
    <w:rsid w:val="00E027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16/j.jeap.2016.06.002" TargetMode="External"/><Relationship Id="rId117" Type="http://schemas.openxmlformats.org/officeDocument/2006/relationships/hyperlink" Target="https://doi.org/10.1007/s10639-023-12397-x" TargetMode="External"/><Relationship Id="rId21" Type="http://schemas.openxmlformats.org/officeDocument/2006/relationships/hyperlink" Target="https://doi.org/10.1558/wap.26864" TargetMode="External"/><Relationship Id="rId42" Type="http://schemas.openxmlformats.org/officeDocument/2006/relationships/hyperlink" Target="https://doi.org/10.3998/mpub.8122864" TargetMode="External"/><Relationship Id="rId47" Type="http://schemas.openxmlformats.org/officeDocument/2006/relationships/hyperlink" Target="https://doi.org/10.1016/j.compcom.2020.102542" TargetMode="External"/><Relationship Id="rId63" Type="http://schemas.openxmlformats.org/officeDocument/2006/relationships/hyperlink" Target="https://doi.org/10.17239/jowr-2015.07.02.03" TargetMode="External"/><Relationship Id="rId68" Type="http://schemas.openxmlformats.org/officeDocument/2006/relationships/hyperlink" Target="https://doi.org/10.1016/j.jeap.2020.100940" TargetMode="External"/><Relationship Id="rId84" Type="http://schemas.openxmlformats.org/officeDocument/2006/relationships/hyperlink" Target="https://doi.org/10.1016/j.asw.2019.03.003" TargetMode="External"/><Relationship Id="rId89" Type="http://schemas.openxmlformats.org/officeDocument/2006/relationships/hyperlink" Target="https://doi.org/10.1016/j.jslw.2023.101007" TargetMode="External"/><Relationship Id="rId112" Type="http://schemas.openxmlformats.org/officeDocument/2006/relationships/hyperlink" Target="https://doi.org/10.1016/j.jslw.2023.101013" TargetMode="External"/><Relationship Id="rId16" Type="http://schemas.openxmlformats.org/officeDocument/2006/relationships/hyperlink" Target="https://doi.org/10.1111/modl.12316" TargetMode="External"/><Relationship Id="rId107" Type="http://schemas.openxmlformats.org/officeDocument/2006/relationships/hyperlink" Target="https://doi.org/10.1080/15434303.2012.750661" TargetMode="External"/><Relationship Id="rId11" Type="http://schemas.openxmlformats.org/officeDocument/2006/relationships/hyperlink" Target="https://doi.org/10.1016/j.jeap.2020.100941" TargetMode="External"/><Relationship Id="rId32" Type="http://schemas.openxmlformats.org/officeDocument/2006/relationships/hyperlink" Target="https://doi.org/10.1016/j.jeap.2019.06.002" TargetMode="External"/><Relationship Id="rId37" Type="http://schemas.openxmlformats.org/officeDocument/2006/relationships/hyperlink" Target="https://doi.org/10.1177/0265532209340188" TargetMode="External"/><Relationship Id="rId53" Type="http://schemas.openxmlformats.org/officeDocument/2006/relationships/hyperlink" Target="http://dx.doi.org/10.1080%2F09523987.2012.738013" TargetMode="External"/><Relationship Id="rId58" Type="http://schemas.openxmlformats.org/officeDocument/2006/relationships/hyperlink" Target="https://doi.org/10.1016/j.jeap.2020.100955" TargetMode="External"/><Relationship Id="rId74" Type="http://schemas.openxmlformats.org/officeDocument/2006/relationships/hyperlink" Target="https://doi.org/10.1136/bmj.n71" TargetMode="External"/><Relationship Id="rId79" Type="http://schemas.openxmlformats.org/officeDocument/2006/relationships/hyperlink" Target="https://doi.org/10.1177/0265532209340192" TargetMode="External"/><Relationship Id="rId102" Type="http://schemas.openxmlformats.org/officeDocument/2006/relationships/hyperlink" Target="https://doi.org/10.1007/s10758-024-09744-3" TargetMode="External"/><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doi.org/10.1002/tesq.3061" TargetMode="External"/><Relationship Id="rId95" Type="http://schemas.openxmlformats.org/officeDocument/2006/relationships/hyperlink" Target="https://doi.org/10.1016/j.jeap.2021.100981" TargetMode="External"/><Relationship Id="rId22" Type="http://schemas.openxmlformats.org/officeDocument/2006/relationships/hyperlink" Target="https://doi.org/10.1002/tesq.3231" TargetMode="External"/><Relationship Id="rId27" Type="http://schemas.openxmlformats.org/officeDocument/2006/relationships/hyperlink" Target="https://doi.org/10.1016/j.compcom.2024.102827" TargetMode="External"/><Relationship Id="rId43" Type="http://schemas.openxmlformats.org/officeDocument/2006/relationships/hyperlink" Target="https://doi.org/10.1016/j.jeap.2012.11.005" TargetMode="External"/><Relationship Id="rId48" Type="http://schemas.openxmlformats.org/officeDocument/2006/relationships/hyperlink" Target="https://doi.org/10.1016/j.asw.2016.12.001" TargetMode="External"/><Relationship Id="rId64" Type="http://schemas.openxmlformats.org/officeDocument/2006/relationships/hyperlink" Target="https://doi.org/10.17507/jltr.1404.30" TargetMode="External"/><Relationship Id="rId69" Type="http://schemas.openxmlformats.org/officeDocument/2006/relationships/hyperlink" Target="https://doi.org/10.1007/s11145-021-10243-5" TargetMode="External"/><Relationship Id="rId113" Type="http://schemas.openxmlformats.org/officeDocument/2006/relationships/hyperlink" Target="https://doi.org/10.1016/j.jslw.2012.12.001" TargetMode="External"/><Relationship Id="rId118" Type="http://schemas.openxmlformats.org/officeDocument/2006/relationships/header" Target="header1.xml"/><Relationship Id="rId80" Type="http://schemas.openxmlformats.org/officeDocument/2006/relationships/hyperlink" Target="https://doi.org/10.5054/tq.2010.215251" TargetMode="External"/><Relationship Id="rId85" Type="http://schemas.openxmlformats.org/officeDocument/2006/relationships/hyperlink" Target="https://doi.org/10.1016/j.jslw.2012.05.013" TargetMode="External"/><Relationship Id="rId12" Type="http://schemas.openxmlformats.org/officeDocument/2006/relationships/hyperlink" Target="https://doi.org/10.17239/jowr-2023.15.01.06" TargetMode="External"/><Relationship Id="rId17" Type="http://schemas.openxmlformats.org/officeDocument/2006/relationships/hyperlink" Target="https://news.clas.ufl.edu/uf-writing-courses-redefine-the-role-of-ai/" TargetMode="External"/><Relationship Id="rId33" Type="http://schemas.openxmlformats.org/officeDocument/2006/relationships/hyperlink" Target="https://www.ets.org/pdfs/toefl/toefl-ibt-insight-s1v6.pdf" TargetMode="External"/><Relationship Id="rId38" Type="http://schemas.openxmlformats.org/officeDocument/2006/relationships/hyperlink" Target="https://doi.org/10.1016/j.asw.2014.03.002" TargetMode="External"/><Relationship Id="rId59" Type="http://schemas.openxmlformats.org/officeDocument/2006/relationships/hyperlink" Target="https://doi.org/10.1016/j.jslw.2022.100912" TargetMode="External"/><Relationship Id="rId103" Type="http://schemas.openxmlformats.org/officeDocument/2006/relationships/hyperlink" Target="https://doi.org/10.1016/j.jeap.2015.03.004" TargetMode="External"/><Relationship Id="rId108" Type="http://schemas.openxmlformats.org/officeDocument/2006/relationships/hyperlink" Target="https://doi.org/10.1016/j.jslw.2023.100995" TargetMode="External"/><Relationship Id="rId54" Type="http://schemas.openxmlformats.org/officeDocument/2006/relationships/hyperlink" Target="https://doi.org/10.1016/j.jeap.2012.11.006" TargetMode="External"/><Relationship Id="rId70" Type="http://schemas.openxmlformats.org/officeDocument/2006/relationships/hyperlink" Target="https://doi.org/10.1016/j.jeap.2019.02.002" TargetMode="External"/><Relationship Id="rId75" Type="http://schemas.openxmlformats.org/officeDocument/2006/relationships/hyperlink" Target="https://doi.org/10.1016/j.jeap.2019.06.001" TargetMode="External"/><Relationship Id="rId91" Type="http://schemas.openxmlformats.org/officeDocument/2006/relationships/hyperlink" Target="https://doi.org/10.1016/j.jslw.2014.06.001" TargetMode="External"/><Relationship Id="rId96" Type="http://schemas.openxmlformats.org/officeDocument/2006/relationships/hyperlink" Target="https://doi.org/10.1093/elt/ccae05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3390/su14042108" TargetMode="External"/><Relationship Id="rId28" Type="http://schemas.openxmlformats.org/officeDocument/2006/relationships/hyperlink" Target="https://doi.org/10.1016/j.jeap.2012.11.008" TargetMode="External"/><Relationship Id="rId49" Type="http://schemas.openxmlformats.org/officeDocument/2006/relationships/hyperlink" Target="https://doi.org/10.1016/j.jeap.2021.101042" TargetMode="External"/><Relationship Id="rId114" Type="http://schemas.openxmlformats.org/officeDocument/2006/relationships/hyperlink" Target="https://doi.org/10.1016/j.jeap.2023.101246" TargetMode="External"/><Relationship Id="rId119" Type="http://schemas.openxmlformats.org/officeDocument/2006/relationships/footer" Target="footer1.xml"/><Relationship Id="rId44" Type="http://schemas.openxmlformats.org/officeDocument/2006/relationships/hyperlink" Target="https://www.migrationpolicy.org/article/international-students-united-states" TargetMode="External"/><Relationship Id="rId60" Type="http://schemas.openxmlformats.org/officeDocument/2006/relationships/hyperlink" Target="https://doi.org/10.17239/jowr-2019.11.01.06" TargetMode="External"/><Relationship Id="rId65" Type="http://schemas.openxmlformats.org/officeDocument/2006/relationships/hyperlink" Target="https://doi.org/10.1016/j.jeap.2012.11.009" TargetMode="External"/><Relationship Id="rId81" Type="http://schemas.openxmlformats.org/officeDocument/2006/relationships/hyperlink" Target="https://doi.org/10.1016/j.asw.2011.09.002" TargetMode="External"/><Relationship Id="rId86" Type="http://schemas.openxmlformats.org/officeDocument/2006/relationships/hyperlink" Target="https://doi.org/10.1016/S1060-3743(97)90030-8"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doi.org/10.1080/09588221.2021.1912104" TargetMode="External"/><Relationship Id="rId18" Type="http://schemas.openxmlformats.org/officeDocument/2006/relationships/hyperlink" Target="https://doi.org/10.1007/s11145-021-10208-8" TargetMode="External"/><Relationship Id="rId39" Type="http://schemas.openxmlformats.org/officeDocument/2006/relationships/hyperlink" Target="https://doi.org/10.1016/j.jeap.2016.10.001" TargetMode="External"/><Relationship Id="rId109" Type="http://schemas.openxmlformats.org/officeDocument/2006/relationships/hyperlink" Target="https://doi.org/10.1016/j.jslw.2014.01.003" TargetMode="External"/><Relationship Id="rId34" Type="http://schemas.openxmlformats.org/officeDocument/2006/relationships/hyperlink" Target="https://doi.org/10.1016/j.jslw.2019.100664" TargetMode="External"/><Relationship Id="rId50" Type="http://schemas.openxmlformats.org/officeDocument/2006/relationships/hyperlink" Target="https://doi.org/10.1016/j.asw.2020.100467" TargetMode="External"/><Relationship Id="rId55" Type="http://schemas.openxmlformats.org/officeDocument/2006/relationships/hyperlink" Target="https://doi.org/10.1016/j.jslw.2012.03.002" TargetMode="External"/><Relationship Id="rId76" Type="http://schemas.openxmlformats.org/officeDocument/2006/relationships/hyperlink" Target="https://doi.org/10.1016/j.jeap.2007.09.002" TargetMode="External"/><Relationship Id="rId97" Type="http://schemas.openxmlformats.org/officeDocument/2006/relationships/hyperlink" Target="https://doi.org/10.29140/lea.v2n3.151" TargetMode="External"/><Relationship Id="rId104" Type="http://schemas.openxmlformats.org/officeDocument/2006/relationships/hyperlink" Target="https://doi.org/10.1016/j.jslw.2010.06.002" TargetMode="External"/><Relationship Id="rId120"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dx.doi.org/10.1016/j.jeap.2023.101274" TargetMode="External"/><Relationship Id="rId92" Type="http://schemas.openxmlformats.org/officeDocument/2006/relationships/hyperlink" Target="https://doi.org/10.1177/0265532214560257" TargetMode="External"/><Relationship Id="rId2" Type="http://schemas.openxmlformats.org/officeDocument/2006/relationships/numbering" Target="numbering.xml"/><Relationship Id="rId29" Type="http://schemas.openxmlformats.org/officeDocument/2006/relationships/hyperlink" Target="https://doi.org/10.1016/j.jslw.2018.05.001" TargetMode="External"/><Relationship Id="rId24" Type="http://schemas.openxmlformats.org/officeDocument/2006/relationships/hyperlink" Target="https://doi.org/10.1016/j.jslw.2019.03.004" TargetMode="External"/><Relationship Id="rId40" Type="http://schemas.openxmlformats.org/officeDocument/2006/relationships/hyperlink" Target="https://doi.org/10.1002/tesj.65" TargetMode="External"/><Relationship Id="rId45" Type="http://schemas.openxmlformats.org/officeDocument/2006/relationships/hyperlink" Target="https://doi.org/10.1016/j.jslw.2010.09.003" TargetMode="External"/><Relationship Id="rId66" Type="http://schemas.openxmlformats.org/officeDocument/2006/relationships/hyperlink" Target="https://doi.org/10.1177/0267658320915501" TargetMode="External"/><Relationship Id="rId87" Type="http://schemas.openxmlformats.org/officeDocument/2006/relationships/hyperlink" Target="https://doi.org/10.1016/j.jslw.2018.07.002" TargetMode="External"/><Relationship Id="rId110" Type="http://schemas.openxmlformats.org/officeDocument/2006/relationships/hyperlink" Target="https://doi.org/10.1016/j.jeap.2023.101215" TargetMode="External"/><Relationship Id="rId115" Type="http://schemas.openxmlformats.org/officeDocument/2006/relationships/hyperlink" Target="https://doi.org/10.1016/j.jeap.2023.101269" TargetMode="External"/><Relationship Id="rId61" Type="http://schemas.openxmlformats.org/officeDocument/2006/relationships/hyperlink" Target="https://doi.org/10.1016/j.jslw.2009.08.002" TargetMode="External"/><Relationship Id="rId82" Type="http://schemas.openxmlformats.org/officeDocument/2006/relationships/hyperlink" Target="https://doi.org/10.1016/j.jslw.2013.02.003" TargetMode="External"/><Relationship Id="rId19" Type="http://schemas.openxmlformats.org/officeDocument/2006/relationships/hyperlink" Target="https://doi.org/10.1016/j.jslw.2023.101064" TargetMode="External"/><Relationship Id="rId14" Type="http://schemas.openxmlformats.org/officeDocument/2006/relationships/hyperlink" Target="https://doi.org/10.1177/0265532213509810" TargetMode="External"/><Relationship Id="rId30" Type="http://schemas.openxmlformats.org/officeDocument/2006/relationships/hyperlink" Target="https://doi.org/10.1016/j.esp.2021.01.003" TargetMode="External"/><Relationship Id="rId35" Type="http://schemas.openxmlformats.org/officeDocument/2006/relationships/hyperlink" Target="https://doi.org/10.1016/j.jslw.2024.101096" TargetMode="External"/><Relationship Id="rId56" Type="http://schemas.openxmlformats.org/officeDocument/2006/relationships/hyperlink" Target="https://doi.org/10.1016/j.jslw.2019.02.001" TargetMode="External"/><Relationship Id="rId77" Type="http://schemas.openxmlformats.org/officeDocument/2006/relationships/hyperlink" Target="https://doi.org/10.1016/j.jslw.2012.03.005" TargetMode="External"/><Relationship Id="rId100" Type="http://schemas.openxmlformats.org/officeDocument/2006/relationships/hyperlink" Target="https://doi.org/10.1007/s11145-019-09958-3" TargetMode="External"/><Relationship Id="rId105" Type="http://schemas.openxmlformats.org/officeDocument/2006/relationships/hyperlink" Target="https://doi.org/10.1016/j.jeap.2019.100812" TargetMode="External"/><Relationship Id="rId8" Type="http://schemas.openxmlformats.org/officeDocument/2006/relationships/hyperlink" Target="mailto:juyeon.yoo@bsu.edu" TargetMode="External"/><Relationship Id="rId51" Type="http://schemas.openxmlformats.org/officeDocument/2006/relationships/hyperlink" Target="https://doi.org/10.1016/j.jeap.2018.01.001" TargetMode="External"/><Relationship Id="rId72" Type="http://schemas.openxmlformats.org/officeDocument/2006/relationships/hyperlink" Target="https://doi.org/10.1002/j.1545-7249.2007.tb00105.x" TargetMode="External"/><Relationship Id="rId93" Type="http://schemas.openxmlformats.org/officeDocument/2006/relationships/hyperlink" Target="https://doi.org/10.1016/j.jeap.2010.10.002" TargetMode="External"/><Relationship Id="rId98" Type="http://schemas.openxmlformats.org/officeDocument/2006/relationships/hyperlink" Target="https://doi.org/10.1016/j.jslw.2019.100670" TargetMode="External"/><Relationship Id="rId121" Type="http://schemas.openxmlformats.org/officeDocument/2006/relationships/header" Target="header2.xml"/><Relationship Id="rId3" Type="http://schemas.openxmlformats.org/officeDocument/2006/relationships/styles" Target="styles.xml"/><Relationship Id="rId25" Type="http://schemas.openxmlformats.org/officeDocument/2006/relationships/hyperlink" Target="https://doi.org/10.1016/j.jslw.2022.100892" TargetMode="External"/><Relationship Id="rId46" Type="http://schemas.openxmlformats.org/officeDocument/2006/relationships/hyperlink" Target="https://doi.org/10.1177/0033688220974100" TargetMode="External"/><Relationship Id="rId67" Type="http://schemas.openxmlformats.org/officeDocument/2006/relationships/hyperlink" Target="https://doi.org/10.1016/j.jslw.2020.100730" TargetMode="External"/><Relationship Id="rId116" Type="http://schemas.openxmlformats.org/officeDocument/2006/relationships/hyperlink" Target="https://doi.org/10.1007/s11145-020-10065-x" TargetMode="External"/><Relationship Id="rId20" Type="http://schemas.openxmlformats.org/officeDocument/2006/relationships/hyperlink" Target="https://doi.org/10.1016/j.compcom.2024.102833" TargetMode="External"/><Relationship Id="rId41" Type="http://schemas.openxmlformats.org/officeDocument/2006/relationships/hyperlink" Target="https://doi.org/10.1016/j.asw.2013.05.002" TargetMode="External"/><Relationship Id="rId62" Type="http://schemas.openxmlformats.org/officeDocument/2006/relationships/hyperlink" Target="https://doi.org/10.1016/j.jslw.2019.100708" TargetMode="External"/><Relationship Id="rId83" Type="http://schemas.openxmlformats.org/officeDocument/2006/relationships/hyperlink" Target="https://doi.org/10.1016/j.asw.2016.08.005" TargetMode="External"/><Relationship Id="rId88" Type="http://schemas.openxmlformats.org/officeDocument/2006/relationships/hyperlink" Target="https://hdl.handle.net/10125/69891" TargetMode="External"/><Relationship Id="rId111" Type="http://schemas.openxmlformats.org/officeDocument/2006/relationships/hyperlink" Target="https://doi.org/10.1016/j.jeap.2023.101228" TargetMode="External"/><Relationship Id="rId15" Type="http://schemas.openxmlformats.org/officeDocument/2006/relationships/hyperlink" Target="https://doi.org/10.1002/ets2.12050" TargetMode="External"/><Relationship Id="rId36" Type="http://schemas.openxmlformats.org/officeDocument/2006/relationships/hyperlink" Target="https://doi.org/10.1016/j.jslw.2014.05.004" TargetMode="External"/><Relationship Id="rId57" Type="http://schemas.openxmlformats.org/officeDocument/2006/relationships/hyperlink" Target="https://doi.org/10.1016/j.edurev.2016.06.002" TargetMode="External"/><Relationship Id="rId106" Type="http://schemas.openxmlformats.org/officeDocument/2006/relationships/hyperlink" Target="https://doi.org/10.1016/j.jeap.2020.100948" TargetMode="External"/><Relationship Id="rId10" Type="http://schemas.openxmlformats.org/officeDocument/2006/relationships/chart" Target="charts/chart1.xml"/><Relationship Id="rId31" Type="http://schemas.openxmlformats.org/officeDocument/2006/relationships/hyperlink" Target="https://doi.org/10.1016/j.jeap.2009.11.005" TargetMode="External"/><Relationship Id="rId52" Type="http://schemas.openxmlformats.org/officeDocument/2006/relationships/hyperlink" Target="https://doi.org/10.1093/elt/ccae039" TargetMode="External"/><Relationship Id="rId73" Type="http://schemas.openxmlformats.org/officeDocument/2006/relationships/hyperlink" Target="https://doi.org/10.1016/j.jslw.2023.101019" TargetMode="External"/><Relationship Id="rId78" Type="http://schemas.openxmlformats.org/officeDocument/2006/relationships/hyperlink" Target="https://doi.org/10.1016/j.jeap.2013.01.002" TargetMode="External"/><Relationship Id="rId94" Type="http://schemas.openxmlformats.org/officeDocument/2006/relationships/hyperlink" Target="https://doi.org/10.18552/joaw.v14i1.1055" TargetMode="External"/><Relationship Id="rId99" Type="http://schemas.openxmlformats.org/officeDocument/2006/relationships/hyperlink" Target="https://doi.org/10.1002/tesj.670" TargetMode="External"/><Relationship Id="rId101" Type="http://schemas.openxmlformats.org/officeDocument/2006/relationships/hyperlink" Target="https://doi.org/10.17239/jowr-2019.10.03.01" TargetMode="External"/><Relationship Id="rId1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ESL</a:t>
            </a:r>
            <a:r>
              <a:rPr lang="en-US" sz="1800" b="1" i="0" u="none" strike="noStrike" baseline="0">
                <a:effectLst/>
              </a:rPr>
              <a:t>‒</a:t>
            </a:r>
            <a:r>
              <a:rPr lang="en-US"/>
              <a:t>EFL Distinction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ESL-EFL Distinction</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3EA4-864C-B39C-A3B4B925FAD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3EA4-864C-B39C-A3B4B925FAD4}"/>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3EA4-864C-B39C-A3B4B925FAD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ESL</c:v>
                </c:pt>
                <c:pt idx="1">
                  <c:v>EFL</c:v>
                </c:pt>
                <c:pt idx="2">
                  <c:v>Others</c:v>
                </c:pt>
              </c:strCache>
            </c:strRef>
          </c:cat>
          <c:val>
            <c:numRef>
              <c:f>Sheet1!$B$2:$B$4</c:f>
              <c:numCache>
                <c:formatCode>0.00%</c:formatCode>
                <c:ptCount val="3"/>
                <c:pt idx="0">
                  <c:v>0.56999999999999995</c:v>
                </c:pt>
                <c:pt idx="1">
                  <c:v>0.34</c:v>
                </c:pt>
                <c:pt idx="2">
                  <c:v>0.09</c:v>
                </c:pt>
              </c:numCache>
            </c:numRef>
          </c:val>
          <c:extLst>
            <c:ext xmlns:c16="http://schemas.microsoft.com/office/drawing/2014/chart" uri="{C3380CC4-5D6E-409C-BE32-E72D297353CC}">
              <c16:uniqueId val="{00000006-3EA4-864C-B39C-A3B4B925FAD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vll0c9Qr1L1A22TwVpiYoOI/pQ==">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56</Pages>
  <Words>47865</Words>
  <Characters>272835</Characters>
  <Application>Microsoft Office Word</Application>
  <DocSecurity>0</DocSecurity>
  <Lines>2273</Lines>
  <Paragraphs>640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Onur Ozkaynak</dc:creator>
  <cp:lastModifiedBy>Emily Hellmich</cp:lastModifiedBy>
  <cp:revision>15</cp:revision>
  <dcterms:created xsi:type="dcterms:W3CDTF">2025-07-04T23:20:00Z</dcterms:created>
  <dcterms:modified xsi:type="dcterms:W3CDTF">2025-07-05T00:06:00Z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documentId_1772</vt:lpwstr>
  </property>
  <property fmtid="{D5CDD505-2E9C-101B-9397-08002B2CF9AE}" pid="3" name="grammarly_documentContext">
    <vt:lpwstr>{"goals":[],"domain":"general","emotions":[],"dialect":"american"}</vt:lpwstr>
  </property>
</Properties>
</file>