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00340F62" w14:textId="3CFC0649" w:rsidR="004B3065" w:rsidRDefault="00A55B5C" w:rsidP="004B3065">
      <w:pPr>
        <w:jc w:val="both"/>
        <w:rPr>
          <w:rFonts w:ascii="Garamond" w:eastAsia="Garamond" w:hAnsi="Garamond" w:cs="Garamond"/>
          <w:b/>
          <w:color w:val="000000"/>
          <w:sz w:val="40"/>
          <w:szCs w:val="40"/>
        </w:rPr>
      </w:pPr>
      <w:r w:rsidRPr="00E4086E">
        <w:rPr>
          <w:rFonts w:ascii="Garamond" w:eastAsia="Garamond" w:hAnsi="Garamond" w:cs="Garamond"/>
          <w:b/>
          <w:color w:val="000000"/>
          <w:sz w:val="40"/>
          <w:szCs w:val="40"/>
        </w:rPr>
        <w:t>ARTICLE</w:t>
      </w:r>
    </w:p>
    <w:p w14:paraId="68122732" w14:textId="77777777" w:rsidR="00A97963" w:rsidRPr="004B3065" w:rsidRDefault="00A97963" w:rsidP="004B3065">
      <w:pPr>
        <w:jc w:val="both"/>
        <w:rPr>
          <w:rFonts w:ascii="Garamond" w:eastAsia="Garamond" w:hAnsi="Garamond" w:cs="Garamond"/>
          <w:b/>
          <w:color w:val="000000"/>
          <w:sz w:val="40"/>
          <w:szCs w:val="40"/>
        </w:rPr>
      </w:pPr>
    </w:p>
    <w:p w14:paraId="4E17A9E5" w14:textId="447BD222" w:rsidR="004B3065" w:rsidRDefault="00346877" w:rsidP="005C461E">
      <w:pPr>
        <w:pStyle w:val="L2JAuthorByline"/>
      </w:pPr>
      <w:r w:rsidRPr="00346877">
        <w:rPr>
          <w:sz w:val="40"/>
          <w:szCs w:val="40"/>
        </w:rPr>
        <w:t xml:space="preserve">Transcultural Competence </w:t>
      </w:r>
      <w:proofErr w:type="gramStart"/>
      <w:r>
        <w:rPr>
          <w:sz w:val="40"/>
          <w:szCs w:val="40"/>
        </w:rPr>
        <w:t>A</w:t>
      </w:r>
      <w:r w:rsidRPr="00346877">
        <w:rPr>
          <w:sz w:val="40"/>
          <w:szCs w:val="40"/>
        </w:rPr>
        <w:t>nd</w:t>
      </w:r>
      <w:proofErr w:type="gramEnd"/>
      <w:r w:rsidRPr="00346877">
        <w:rPr>
          <w:sz w:val="40"/>
          <w:szCs w:val="40"/>
        </w:rPr>
        <w:t xml:space="preserve"> Empathy </w:t>
      </w:r>
      <w:proofErr w:type="gramStart"/>
      <w:r>
        <w:rPr>
          <w:sz w:val="40"/>
          <w:szCs w:val="40"/>
        </w:rPr>
        <w:t>I</w:t>
      </w:r>
      <w:r w:rsidRPr="00346877">
        <w:rPr>
          <w:sz w:val="40"/>
          <w:szCs w:val="40"/>
        </w:rPr>
        <w:t>n</w:t>
      </w:r>
      <w:proofErr w:type="gramEnd"/>
      <w:r w:rsidRPr="00346877">
        <w:rPr>
          <w:sz w:val="40"/>
          <w:szCs w:val="40"/>
        </w:rPr>
        <w:t xml:space="preserve"> Language Education: Imagining </w:t>
      </w:r>
      <w:proofErr w:type="gramStart"/>
      <w:r>
        <w:rPr>
          <w:sz w:val="40"/>
          <w:szCs w:val="40"/>
        </w:rPr>
        <w:t>T</w:t>
      </w:r>
      <w:r w:rsidRPr="00346877">
        <w:rPr>
          <w:sz w:val="40"/>
          <w:szCs w:val="40"/>
        </w:rPr>
        <w:t>he</w:t>
      </w:r>
      <w:proofErr w:type="gramEnd"/>
      <w:r w:rsidRPr="00346877">
        <w:rPr>
          <w:sz w:val="40"/>
          <w:szCs w:val="40"/>
        </w:rPr>
        <w:t xml:space="preserve"> Unimaginable</w:t>
      </w:r>
    </w:p>
    <w:p w14:paraId="2D27C80E" w14:textId="77777777" w:rsidR="00A97963" w:rsidRDefault="00A97963" w:rsidP="005C461E">
      <w:pPr>
        <w:pStyle w:val="L2JAuthorByline"/>
      </w:pPr>
    </w:p>
    <w:p w14:paraId="00000006" w14:textId="3D4FB264" w:rsidR="006F0F70" w:rsidRPr="00AA29E3" w:rsidRDefault="00217E95" w:rsidP="005C461E">
      <w:pPr>
        <w:pStyle w:val="L2JAuthorByline"/>
      </w:pPr>
      <w:r>
        <w:t>MICHIKO URYU</w:t>
      </w:r>
    </w:p>
    <w:p w14:paraId="00000007" w14:textId="77777777" w:rsidR="006F0F70" w:rsidRPr="00AA29E3" w:rsidRDefault="006F0F70">
      <w:pPr>
        <w:rPr>
          <w:rFonts w:ascii="Garamond" w:eastAsia="Garamond" w:hAnsi="Garamond" w:cs="Garamond"/>
          <w:color w:val="000000"/>
          <w:sz w:val="24"/>
          <w:szCs w:val="24"/>
        </w:rPr>
      </w:pPr>
    </w:p>
    <w:p w14:paraId="00000008" w14:textId="78939E24" w:rsidR="006F0F70" w:rsidRPr="007400F4" w:rsidRDefault="00217E95" w:rsidP="005C461E">
      <w:pPr>
        <w:pStyle w:val="L2JAuthorAffiliation"/>
      </w:pPr>
      <w:r>
        <w:t>San Jose State University</w:t>
      </w:r>
    </w:p>
    <w:p w14:paraId="5BB03FD0" w14:textId="21A5EE0B" w:rsidR="00FD6AAC" w:rsidRPr="007400F4" w:rsidRDefault="00000000" w:rsidP="005C461E">
      <w:pPr>
        <w:pStyle w:val="L2JAuthorAffiliation"/>
      </w:pPr>
      <w:r w:rsidRPr="007400F4">
        <w:t>E-mail:</w:t>
      </w:r>
      <w:r w:rsidR="00FD6AAC" w:rsidRPr="007400F4">
        <w:t xml:space="preserve"> </w:t>
      </w:r>
      <w:hyperlink r:id="rId8" w:history="1">
        <w:r w:rsidR="00217E95" w:rsidRPr="002446DC">
          <w:rPr>
            <w:rStyle w:val="Hyperlink"/>
          </w:rPr>
          <w:t>michiko.uryu@sjsu.edu</w:t>
        </w:r>
      </w:hyperlink>
      <w:r w:rsidR="00217E95">
        <w:t xml:space="preserve"> </w:t>
      </w:r>
      <w:r w:rsidR="00EA0176">
        <w:t xml:space="preserve"> </w:t>
      </w:r>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7A91DF70" w14:textId="77777777" w:rsidR="00217E95" w:rsidRPr="00217E95" w:rsidRDefault="00217E95" w:rsidP="00AA5DFA">
      <w:pPr>
        <w:pStyle w:val="L2JAbstract"/>
        <w:rPr>
          <w:shd w:val="clear" w:color="auto" w:fill="FFFFFF"/>
        </w:rPr>
      </w:pPr>
      <w:r w:rsidRPr="00217E95">
        <w:rPr>
          <w:shd w:val="clear" w:color="auto" w:fill="FFFFFF"/>
        </w:rPr>
        <w:t xml:space="preserve">The 2007 MLA report offered guidelines and competencies for foreign language majors at American universities in the age of globalization. The notion of translingual and transcultural competence suggests that today’s foreign language education is not merely a matter of language acquisition, but humanistic learning. The </w:t>
      </w:r>
      <w:proofErr w:type="gramStart"/>
      <w:r w:rsidRPr="00217E95">
        <w:rPr>
          <w:shd w:val="clear" w:color="auto" w:fill="FFFFFF"/>
        </w:rPr>
        <w:t>ultimate goal</w:t>
      </w:r>
      <w:proofErr w:type="gramEnd"/>
      <w:r w:rsidRPr="00217E95">
        <w:rPr>
          <w:shd w:val="clear" w:color="auto" w:fill="FFFFFF"/>
        </w:rPr>
        <w:t xml:space="preserve"> for foreign language learners should be to gain alternative ways of seeing the world, namely, “imagining the unimaginable” (Ozick, 1987). This underscores the central importance of empathy in foreign language education. Yet the true challenge lies in how to assess such an abstract concept. Even eighteen years since its initial publication, the report remains highly relevant, especially today, as we witness cultural, ideological, political and socio-economic divisions and the accompanying conflicts rooted in a failure to imagine the perspective of “others.” </w:t>
      </w:r>
    </w:p>
    <w:p w14:paraId="7253B77C" w14:textId="77777777" w:rsidR="00217E95" w:rsidRDefault="00217E95" w:rsidP="00AA5DFA">
      <w:pPr>
        <w:pStyle w:val="L2JAbstract"/>
        <w:rPr>
          <w:shd w:val="clear" w:color="auto" w:fill="FFFFFF"/>
        </w:rPr>
      </w:pPr>
    </w:p>
    <w:p w14:paraId="685E370B" w14:textId="77777777" w:rsidR="00AA5DFA" w:rsidRDefault="00217E95" w:rsidP="00AA5DFA">
      <w:pPr>
        <w:pStyle w:val="L2JAbstract"/>
        <w:rPr>
          <w:shd w:val="clear" w:color="auto" w:fill="FFFFFF"/>
        </w:rPr>
      </w:pPr>
      <w:r w:rsidRPr="00217E95">
        <w:rPr>
          <w:shd w:val="clear" w:color="auto" w:fill="FFFFFF"/>
        </w:rPr>
        <w:t xml:space="preserve">This paper explores a new approach to assessing learners’ transcultural competence, focusing on the role of empathy in understanding the cultural “other.” Discourse analyses of two student final papers were conducted and compared, drawing on poststructuralist theories and a sociolinguistic analytical framework. The results show that one student constructed an imagined Japanese “other” through a process of projection and initiated an empathetic dialogue beyond time and space, whereas the other inadvertently reproduced an Orientalist discourse by negatively stereotyping Japanese people, culture and society. This study advocates for discourse analysis as an effective formative tool for assessing and improving existing syllabi and curricula.  </w:t>
      </w:r>
    </w:p>
    <w:p w14:paraId="00000019" w14:textId="12086D85" w:rsidR="006F0F70" w:rsidRDefault="00000000" w:rsidP="00AA5DFA">
      <w:pPr>
        <w:pStyle w:val="L2JAbstract"/>
        <w:jc w:val="center"/>
      </w:pPr>
      <w:r w:rsidRPr="007E0A49">
        <w:t>_______________</w:t>
      </w:r>
    </w:p>
    <w:p w14:paraId="7C4B2D46" w14:textId="77777777" w:rsidR="004B3065" w:rsidRDefault="004B3065" w:rsidP="001C1245">
      <w:pPr>
        <w:shd w:val="clear" w:color="auto" w:fill="FFFFFF"/>
        <w:rPr>
          <w:rFonts w:ascii="Garamond" w:eastAsia="Garamond" w:hAnsi="Garamond" w:cs="Garamond"/>
          <w:color w:val="000000"/>
        </w:rPr>
      </w:pPr>
    </w:p>
    <w:p w14:paraId="313B5572" w14:textId="3597E2BC" w:rsidR="001B518E" w:rsidRDefault="001B518E" w:rsidP="001B518E">
      <w:pPr>
        <w:pStyle w:val="L2JBlockQuote"/>
        <w:rPr>
          <w:rFonts w:eastAsiaTheme="minorEastAsia"/>
        </w:rPr>
      </w:pPr>
      <w:r w:rsidRPr="00055334">
        <w:t>Symbolic competence means not only the ability to interpret and negotiate meanings across languages and cultures, but also to position oneself critically in relation to the symbolic power of language</w:t>
      </w:r>
      <w:r>
        <w:t>.</w:t>
      </w:r>
      <w:r w:rsidRPr="00055334">
        <w:t xml:space="preserve"> (</w:t>
      </w:r>
      <w:proofErr w:type="spellStart"/>
      <w:r>
        <w:rPr>
          <w:rFonts w:eastAsiaTheme="minorEastAsia" w:hint="eastAsia"/>
        </w:rPr>
        <w:t>Kramsch</w:t>
      </w:r>
      <w:proofErr w:type="spellEnd"/>
      <w:r>
        <w:rPr>
          <w:rFonts w:eastAsiaTheme="minorEastAsia" w:hint="eastAsia"/>
        </w:rPr>
        <w:t xml:space="preserve"> 2006, </w:t>
      </w:r>
      <w:r w:rsidRPr="00055334">
        <w:t>p. 251)</w:t>
      </w:r>
    </w:p>
    <w:p w14:paraId="5366FE6C" w14:textId="77777777" w:rsidR="001B518E" w:rsidRDefault="001B518E" w:rsidP="001C1245">
      <w:pPr>
        <w:shd w:val="clear" w:color="auto" w:fill="FFFFFF"/>
        <w:rPr>
          <w:rFonts w:ascii="Garamond" w:eastAsia="Garamond" w:hAnsi="Garamond" w:cs="Garamond"/>
          <w:color w:val="000000"/>
        </w:rPr>
      </w:pPr>
    </w:p>
    <w:p w14:paraId="2E8299D9" w14:textId="0830D5EA" w:rsidR="006B65B4" w:rsidRDefault="00000000" w:rsidP="006B65B4">
      <w:pPr>
        <w:pStyle w:val="L2JH1"/>
      </w:pPr>
      <w:r w:rsidRPr="007E0A49">
        <w:t>INTRODUCTION</w:t>
      </w:r>
    </w:p>
    <w:p w14:paraId="53531A22" w14:textId="77777777" w:rsidR="004B3065" w:rsidRDefault="004B3065" w:rsidP="004B3065">
      <w:pPr>
        <w:pStyle w:val="L2JBody"/>
        <w:ind w:firstLine="0"/>
      </w:pPr>
    </w:p>
    <w:p w14:paraId="01EA050B" w14:textId="77777777" w:rsidR="001B518E" w:rsidRDefault="001B518E" w:rsidP="001B518E">
      <w:pPr>
        <w:pStyle w:val="L2JBody"/>
        <w:ind w:firstLine="0"/>
      </w:pPr>
      <w:r>
        <w:t xml:space="preserve">The 2007 Modern Language Association (MLA) report presented guidelines and competencies for foreign language majors in U.S. universities, addressing the challenges of globalization. It emphasized that language learners should acquire “critical language awareness…historical and political consciousness, social sensibility, and aesthetic perception” alongside functional language skills to achieve translingual and transcultural competence (MLA, 2007, p. 4). </w:t>
      </w:r>
      <w:r w:rsidRPr="0095592D">
        <w:rPr>
          <w:rFonts w:eastAsiaTheme="minorEastAsia" w:hint="eastAsia"/>
        </w:rPr>
        <w:t>T</w:t>
      </w:r>
      <w:r w:rsidRPr="0095592D">
        <w:t>he importance of studying foreign languages and cultures has become increasingly evident</w:t>
      </w:r>
      <w:r w:rsidRPr="0095592D">
        <w:rPr>
          <w:rFonts w:eastAsiaTheme="minorEastAsia" w:hint="eastAsia"/>
        </w:rPr>
        <w:t xml:space="preserve"> </w:t>
      </w:r>
      <w:proofErr w:type="gramStart"/>
      <w:r w:rsidRPr="0095592D">
        <w:rPr>
          <w:rFonts w:eastAsiaTheme="minorEastAsia" w:hint="eastAsia"/>
        </w:rPr>
        <w:t>in light of</w:t>
      </w:r>
      <w:proofErr w:type="gramEnd"/>
      <w:r w:rsidRPr="0095592D">
        <w:rPr>
          <w:rFonts w:eastAsiaTheme="minorEastAsia" w:hint="eastAsia"/>
        </w:rPr>
        <w:t xml:space="preserve"> global economic integration, migration and digital connectivity</w:t>
      </w:r>
      <w:r w:rsidRPr="0095592D">
        <w:t>.</w:t>
      </w:r>
    </w:p>
    <w:p w14:paraId="09D0344B" w14:textId="77777777" w:rsidR="001B518E" w:rsidRPr="00631676" w:rsidRDefault="001B518E" w:rsidP="001B518E">
      <w:pPr>
        <w:pStyle w:val="L2JBody"/>
        <w:rPr>
          <w:rFonts w:eastAsiaTheme="minorEastAsia"/>
        </w:rPr>
      </w:pPr>
      <w:r>
        <w:t xml:space="preserve">The concept of translingual and transcultural competence </w:t>
      </w:r>
      <w:r>
        <w:rPr>
          <w:rFonts w:eastAsiaTheme="minorEastAsia" w:hint="eastAsia"/>
        </w:rPr>
        <w:t>emphasizes</w:t>
      </w:r>
      <w:r>
        <w:t xml:space="preserve"> that language education </w:t>
      </w:r>
      <w:r>
        <w:rPr>
          <w:rFonts w:eastAsiaTheme="minorEastAsia" w:hint="eastAsia"/>
        </w:rPr>
        <w:t xml:space="preserve">now </w:t>
      </w:r>
      <w:r>
        <w:t xml:space="preserve">extends beyond proficiency to embrace humanistic learning. The </w:t>
      </w:r>
      <w:proofErr w:type="gramStart"/>
      <w:r>
        <w:t>ultimate goal</w:t>
      </w:r>
      <w:proofErr w:type="gramEnd"/>
      <w:r>
        <w:t xml:space="preserve"> is not </w:t>
      </w:r>
      <w:r>
        <w:rPr>
          <w:rFonts w:eastAsiaTheme="minorEastAsia" w:hint="eastAsia"/>
        </w:rPr>
        <w:t xml:space="preserve">just </w:t>
      </w:r>
      <w:r>
        <w:t>to acquire knowledge but to develop alternative ways of perceiving the world</w:t>
      </w:r>
      <w:r>
        <w:rPr>
          <w:rFonts w:eastAsiaTheme="minorEastAsia" w:hint="eastAsia"/>
        </w:rPr>
        <w:t xml:space="preserve"> </w:t>
      </w:r>
      <w:r w:rsidRPr="00F273D4">
        <w:rPr>
          <w:rFonts w:eastAsiaTheme="minorEastAsia"/>
        </w:rPr>
        <w:t>—</w:t>
      </w:r>
      <w:r>
        <w:t xml:space="preserve">or, as Ozick (1987) describes, “imagining the unimaginable.” </w:t>
      </w:r>
      <w:r>
        <w:rPr>
          <w:rFonts w:eastAsiaTheme="minorEastAsia" w:hint="eastAsia"/>
        </w:rPr>
        <w:t xml:space="preserve">More than eighteen </w:t>
      </w:r>
      <w:r>
        <w:t xml:space="preserve">years </w:t>
      </w:r>
      <w:r>
        <w:rPr>
          <w:rFonts w:eastAsiaTheme="minorEastAsia" w:hint="eastAsia"/>
        </w:rPr>
        <w:t xml:space="preserve">after its publication, </w:t>
      </w:r>
      <w:r>
        <w:t>the MLA report remains highly relevant</w:t>
      </w:r>
      <w:r>
        <w:rPr>
          <w:rFonts w:eastAsiaTheme="minorEastAsia" w:hint="eastAsia"/>
        </w:rPr>
        <w:t xml:space="preserve">, as </w:t>
      </w:r>
      <w:r>
        <w:t>cultural</w:t>
      </w:r>
      <w:r>
        <w:rPr>
          <w:rFonts w:eastAsiaTheme="minorEastAsia" w:hint="eastAsia"/>
        </w:rPr>
        <w:t xml:space="preserve"> </w:t>
      </w:r>
      <w:r>
        <w:rPr>
          <w:rFonts w:eastAsiaTheme="minorEastAsia"/>
        </w:rPr>
        <w:t>and</w:t>
      </w:r>
      <w:r>
        <w:t xml:space="preserve"> ideological divisions </w:t>
      </w:r>
      <w:r>
        <w:rPr>
          <w:rFonts w:eastAsia="MS Mincho"/>
        </w:rPr>
        <w:lastRenderedPageBreak/>
        <w:t>continue to</w:t>
      </w:r>
      <w:r>
        <w:rPr>
          <w:rFonts w:eastAsiaTheme="minorEastAsia" w:hint="eastAsia"/>
        </w:rPr>
        <w:t xml:space="preserve"> </w:t>
      </w:r>
      <w:r>
        <w:t xml:space="preserve">stem from a lack of imagination and empathy. Reaffirming </w:t>
      </w:r>
      <w:r>
        <w:rPr>
          <w:rFonts w:eastAsiaTheme="minorEastAsia"/>
        </w:rPr>
        <w:t xml:space="preserve">its </w:t>
      </w:r>
      <w:r>
        <w:t>principles is crucial to addressing these challenges. To achieve these goals, foreign language educators must create environments that foster empathy for cultural “</w:t>
      </w:r>
      <w:r>
        <w:rPr>
          <w:rFonts w:eastAsiaTheme="minorEastAsia" w:hint="eastAsia"/>
        </w:rPr>
        <w:t>o</w:t>
      </w:r>
      <w:r>
        <w:t xml:space="preserve">thers.” However, assessing such an abstract concept poses challenges, with three key questions remaining unresolved: (1) </w:t>
      </w:r>
      <w:r w:rsidRPr="00E65A34">
        <w:t>How can educators critically examine how empathy emerges in discourse, given its subjective and intangible nature?</w:t>
      </w:r>
      <w:r>
        <w:rPr>
          <w:rFonts w:eastAsiaTheme="minorEastAsia" w:hint="eastAsia"/>
        </w:rPr>
        <w:t xml:space="preserve"> </w:t>
      </w:r>
      <w:r>
        <w:t>(2) What methods can they employ to assess empathy in students? (3) How should such assessments be integrated into the curriculum?</w:t>
      </w:r>
    </w:p>
    <w:p w14:paraId="1372C4B1" w14:textId="77777777" w:rsidR="001B518E" w:rsidRDefault="001B518E" w:rsidP="001B518E">
      <w:pPr>
        <w:pStyle w:val="L2JBody"/>
        <w:rPr>
          <w:rFonts w:eastAsiaTheme="minorEastAsia"/>
        </w:rPr>
      </w:pPr>
      <w:r>
        <w:t>This paper explores innovative ways to evaluate transcultural competence, focusing particularly on empathy for cultural “</w:t>
      </w:r>
      <w:r>
        <w:rPr>
          <w:rFonts w:eastAsiaTheme="minorEastAsia" w:hint="eastAsia"/>
        </w:rPr>
        <w:t>o</w:t>
      </w:r>
      <w:r>
        <w:t>thers.” It demonstrates how combining discourse analysis with sociolinguistic approaches rooted in poststructuralist theories can provide a</w:t>
      </w:r>
      <w:r>
        <w:rPr>
          <w:rFonts w:eastAsiaTheme="minorEastAsia" w:hint="eastAsia"/>
        </w:rPr>
        <w:t xml:space="preserve"> </w:t>
      </w:r>
      <w:r>
        <w:rPr>
          <w:rFonts w:eastAsiaTheme="minorEastAsia"/>
        </w:rPr>
        <w:t xml:space="preserve">systematic </w:t>
      </w:r>
      <w:r>
        <w:t xml:space="preserve">framework for capturing empathy. </w:t>
      </w:r>
      <w:r w:rsidRPr="009A73E2">
        <w:t xml:space="preserve">Claire Kramsch’s (2006, 2020) work on symbolic competence serves as a key theoretical foundation for this study. Her vision of language learning as symbolic action—not merely as communication but as critical and imaginative engagement—underscores the need to cultivate empathy and ethical </w:t>
      </w:r>
      <w:r>
        <w:t xml:space="preserve">awareness. </w:t>
      </w:r>
    </w:p>
    <w:p w14:paraId="34F0818D" w14:textId="77777777" w:rsidR="001B518E" w:rsidRDefault="001B518E" w:rsidP="001B518E">
      <w:pPr>
        <w:pStyle w:val="L2JBody"/>
      </w:pPr>
      <w:r w:rsidRPr="005065BB">
        <w:t>By</w:t>
      </w:r>
      <w:r w:rsidRPr="00CF1722">
        <w:t xml:space="preserve"> analyzing the final papers of two students enrolled in a Japanese culture course at a U.S. university</w:t>
      </w:r>
      <w:r>
        <w:rPr>
          <w:rFonts w:eastAsiaTheme="minorEastAsia" w:hint="eastAsia"/>
        </w:rPr>
        <w:t>,</w:t>
      </w:r>
      <w:r>
        <w:t xml:space="preserve"> the study reveals how learners construct their imagined cultural “</w:t>
      </w:r>
      <w:r>
        <w:rPr>
          <w:rFonts w:eastAsiaTheme="minorEastAsia" w:hint="eastAsia"/>
        </w:rPr>
        <w:t>o</w:t>
      </w:r>
      <w:r>
        <w:t>thers” through projection and engage in empathic dialogues. The paper will also discuss how this phenomenon connects to a poststructuralist approach (McNamara, 2012), where Japanese culture is taught as a hybrid production rather than an essentialized notion. This approach deconstructs exoticized views of Japanese culture, emphasizing its hybrid nature and evolution through historical intercultural encounters. Assessing empathy is essential not only to poststructuralist teaching but also to curricula designed to foster transcultural competence.</w:t>
      </w:r>
    </w:p>
    <w:p w14:paraId="5618BC44" w14:textId="77777777" w:rsidR="001B518E" w:rsidRDefault="001B518E" w:rsidP="001B518E">
      <w:pPr>
        <w:pStyle w:val="L2JH1"/>
      </w:pPr>
    </w:p>
    <w:p w14:paraId="09A6BEDA" w14:textId="59E5811C" w:rsidR="001B518E" w:rsidRDefault="001B518E" w:rsidP="001B518E">
      <w:pPr>
        <w:pStyle w:val="L2JH1"/>
      </w:pPr>
      <w:r w:rsidRPr="00DE2CA5">
        <w:t xml:space="preserve">GROWING </w:t>
      </w:r>
      <w:r>
        <w:t>I</w:t>
      </w:r>
      <w:r w:rsidRPr="00DE2CA5">
        <w:t xml:space="preserve">NTERDISCIPLINARY </w:t>
      </w:r>
      <w:r>
        <w:t>I</w:t>
      </w:r>
      <w:r w:rsidRPr="00DE2CA5">
        <w:t xml:space="preserve">NTEREST IN </w:t>
      </w:r>
      <w:r>
        <w:t>E</w:t>
      </w:r>
      <w:r w:rsidRPr="00DE2CA5">
        <w:t>MPATHY</w:t>
      </w:r>
    </w:p>
    <w:p w14:paraId="11C2F34F" w14:textId="77777777" w:rsidR="001B518E" w:rsidRDefault="001B518E" w:rsidP="001B518E">
      <w:pPr>
        <w:pStyle w:val="L2JBody"/>
        <w:ind w:firstLine="0"/>
      </w:pPr>
    </w:p>
    <w:p w14:paraId="5CF46B00" w14:textId="4B0173C4" w:rsidR="001B518E" w:rsidRPr="005B272B" w:rsidRDefault="001B518E" w:rsidP="001B518E">
      <w:pPr>
        <w:pStyle w:val="L2JBody"/>
        <w:ind w:firstLine="0"/>
      </w:pPr>
      <w:r w:rsidRPr="005B272B">
        <w:t xml:space="preserve">The study of empathy has </w:t>
      </w:r>
      <w:r>
        <w:t>garnered</w:t>
      </w:r>
      <w:r w:rsidRPr="005B272B">
        <w:t xml:space="preserve"> increasing attention across various fields. The medical and behavioral sciences have pursued interdisciplinary investigations to define empathy and understand its effects on behavior. Advances in neuroscience, such as fMRI usage, have illuminated empathy's functional aspects and neuroanatomy, identifying where it is generated and located in the brain (Fallon</w:t>
      </w:r>
      <w:r>
        <w:rPr>
          <w:rFonts w:eastAsiaTheme="minorEastAsia" w:hint="eastAsia"/>
        </w:rPr>
        <w:t xml:space="preserve"> et al.</w:t>
      </w:r>
      <w:r w:rsidRPr="005B272B">
        <w:t>, 20</w:t>
      </w:r>
      <w:r>
        <w:rPr>
          <w:rFonts w:eastAsiaTheme="minorEastAsia" w:hint="eastAsia"/>
        </w:rPr>
        <w:t>20</w:t>
      </w:r>
      <w:r w:rsidRPr="005B272B">
        <w:t>). Concurrently, endocrinological research on oxytocin has highlighted the mind-body connectivity underpinning empathy (De Dreu, 2012; Macdonald &amp; Macdonald, 2010). Genetic studies have further revealed how humans and animals may exhibit varying innate capacities for empathizing with others (Chen et al., 2009; Knafo et al., 2008). These scientific tools have driven a rapidly expanding trend toward empirical studies of empathy.</w:t>
      </w:r>
    </w:p>
    <w:p w14:paraId="27B9D13B" w14:textId="77777777" w:rsidR="001B518E" w:rsidRDefault="001B518E" w:rsidP="001B518E">
      <w:pPr>
        <w:pStyle w:val="L2JBody"/>
      </w:pPr>
      <w:r w:rsidRPr="005B272B">
        <w:t>In parallel, the humanities have also focused on empathy as a critical topic over recent decades. While the natural sciences seek to explain empathy using empirical data, the humanities adopt a philosophical lens, exploring the concept of “</w:t>
      </w:r>
      <w:r>
        <w:rPr>
          <w:rFonts w:eastAsiaTheme="minorEastAsia" w:hint="eastAsia"/>
        </w:rPr>
        <w:t>s</w:t>
      </w:r>
      <w:r w:rsidRPr="005B272B">
        <w:t>elf” and “</w:t>
      </w:r>
      <w:r>
        <w:rPr>
          <w:rFonts w:eastAsiaTheme="minorEastAsia" w:hint="eastAsia"/>
        </w:rPr>
        <w:t>o</w:t>
      </w:r>
      <w:r w:rsidRPr="005B272B">
        <w:t xml:space="preserve">ther” </w:t>
      </w:r>
      <w:r w:rsidRPr="00FD4574">
        <w:t>as a dynamic relationship fundamental to human understanding.</w:t>
      </w:r>
      <w:r w:rsidRPr="005B272B">
        <w:t xml:space="preserve"> Within the social sciences, particularly anthropology, researchers investigate questions such as why empathy is crucial for understanding others and how it influences emotional states and behaviors. Hollan and Throop (2011) provide a comprehensive interdisciplinary perspective on empathy, building on Halpern’s (2001) work. They define empathy by distinguishing it from related concepts, emphasizing that it is neither “a third-person observer’s detached insight,” “pure theoretical knowing,” nor “an affective merging identification, with another” (p. 3). Although empathy may share characteristics with concepts like “intersubjectivity,” “intentionality,” “projection,” or “emotional contagion,” it diverges in its dynamic and evolving nature. Empathy involves </w:t>
      </w:r>
      <w:r w:rsidRPr="005B272B">
        <w:lastRenderedPageBreak/>
        <w:t xml:space="preserve">the continuous exchange of ideas and negotiation to ensure accuracy. What sets empathy apart is “this concern with accuracy, the willingness, </w:t>
      </w:r>
      <w:r>
        <w:rPr>
          <w:rFonts w:eastAsiaTheme="minorEastAsia" w:hint="eastAsia"/>
        </w:rPr>
        <w:t xml:space="preserve">indeed the necessity, </w:t>
      </w:r>
      <w:r w:rsidRPr="005B272B">
        <w:t>to alter one’s impression of another’s emotional state as one engages with the other and learns more about his or her perspective” (p. 3). For Hollan and Throop, empathy encompasses a multifaceted process that requires a willingness to understand others and acknowledges the evolving and discursive nature of identity.</w:t>
      </w:r>
      <w:r>
        <w:t xml:space="preserve"> </w:t>
      </w:r>
    </w:p>
    <w:p w14:paraId="1E9C87B9" w14:textId="77777777" w:rsidR="001B518E" w:rsidRDefault="001B518E" w:rsidP="001B518E">
      <w:pPr>
        <w:pStyle w:val="L2JBody"/>
      </w:pPr>
      <w:r w:rsidRPr="00EA6FED">
        <w:t xml:space="preserve">This interpretation of empathy as a relational, negotiated process is especially relevant to foreign language education, where engagement with linguistic and cultural </w:t>
      </w:r>
      <w:r>
        <w:rPr>
          <w:rFonts w:eastAsiaTheme="minorEastAsia"/>
        </w:rPr>
        <w:t>“</w:t>
      </w:r>
      <w:r>
        <w:rPr>
          <w:rFonts w:eastAsiaTheme="minorEastAsia" w:hint="eastAsia"/>
        </w:rPr>
        <w:t>o</w:t>
      </w:r>
      <w:r w:rsidRPr="00EA6FED">
        <w:t>thers</w:t>
      </w:r>
      <w:r>
        <w:rPr>
          <w:rFonts w:eastAsiaTheme="minorEastAsia"/>
        </w:rPr>
        <w:t>”</w:t>
      </w:r>
      <w:r w:rsidRPr="00EA6FED">
        <w:t xml:space="preserve"> foster</w:t>
      </w:r>
      <w:r>
        <w:rPr>
          <w:rFonts w:eastAsiaTheme="minorEastAsia" w:hint="eastAsia"/>
        </w:rPr>
        <w:t>s</w:t>
      </w:r>
      <w:r w:rsidRPr="00EA6FED">
        <w:t xml:space="preserve"> transcultural competence.</w:t>
      </w:r>
      <w:r>
        <w:rPr>
          <w:rFonts w:ascii="MS Mincho" w:eastAsia="MS Mincho" w:hAnsi="MS Mincho" w:cs="MS Mincho" w:hint="eastAsia"/>
        </w:rPr>
        <w:t xml:space="preserve"> </w:t>
      </w:r>
      <w:r>
        <w:t xml:space="preserve">Hollan and Throop’s </w:t>
      </w:r>
      <w:r>
        <w:rPr>
          <w:rFonts w:eastAsiaTheme="minorEastAsia" w:hint="eastAsia"/>
        </w:rPr>
        <w:t>insights intersect with t</w:t>
      </w:r>
      <w:r>
        <w:t>he 2007 MLA guidelines</w:t>
      </w:r>
      <w:r>
        <w:rPr>
          <w:rFonts w:eastAsiaTheme="minorEastAsia" w:hint="eastAsia"/>
        </w:rPr>
        <w:t>, which</w:t>
      </w:r>
      <w:r>
        <w:t xml:space="preserve"> define transcultural competence as not only “the ability to operate between languages,” but also the capacity to “reflect on the world and themselves through another language and culture” (p. 3-4). This philosophical view departs from traditional concepts such as "communicative competence" (Hymes, 1972) or "intercultural competence" (Byram, 1997) by emphasizing </w:t>
      </w:r>
      <w:r>
        <w:rPr>
          <w:rFonts w:eastAsiaTheme="minorEastAsia" w:hint="eastAsia"/>
        </w:rPr>
        <w:t>empathy</w:t>
      </w:r>
      <w:r>
        <w:rPr>
          <w:rFonts w:eastAsiaTheme="minorEastAsia"/>
        </w:rPr>
        <w:t>’</w:t>
      </w:r>
      <w:r>
        <w:rPr>
          <w:rFonts w:eastAsiaTheme="minorEastAsia" w:hint="eastAsia"/>
        </w:rPr>
        <w:t>s transformative potential in reshaping one</w:t>
      </w:r>
      <w:r>
        <w:rPr>
          <w:rFonts w:eastAsiaTheme="minorEastAsia"/>
        </w:rPr>
        <w:t>’</w:t>
      </w:r>
      <w:r>
        <w:rPr>
          <w:rFonts w:eastAsiaTheme="minorEastAsia" w:hint="eastAsia"/>
        </w:rPr>
        <w:t xml:space="preserve">s subject position. </w:t>
      </w:r>
      <w:r>
        <w:t xml:space="preserve"> </w:t>
      </w:r>
    </w:p>
    <w:p w14:paraId="760F7C07" w14:textId="77777777" w:rsidR="001B518E" w:rsidRDefault="001B518E" w:rsidP="001B518E">
      <w:pPr>
        <w:pStyle w:val="L2JBody"/>
        <w:rPr>
          <w:rFonts w:eastAsiaTheme="minorEastAsia"/>
        </w:rPr>
      </w:pPr>
      <w:bookmarkStart w:id="0" w:name="_Hlk188262401"/>
      <w:r>
        <w:rPr>
          <w:rFonts w:eastAsiaTheme="minorEastAsia" w:hint="eastAsia"/>
        </w:rPr>
        <w:t xml:space="preserve">Claire </w:t>
      </w:r>
      <w:r>
        <w:t xml:space="preserve">Kramsch’s concept of “symbolic competence” </w:t>
      </w:r>
      <w:r>
        <w:rPr>
          <w:rFonts w:eastAsiaTheme="minorEastAsia" w:hint="eastAsia"/>
        </w:rPr>
        <w:t xml:space="preserve">deepens this theoretical foundation by linking language learning to identity work and ethical engagement. </w:t>
      </w:r>
      <w:r>
        <w:t xml:space="preserve">Symbolic competence enables learners to </w:t>
      </w:r>
      <w:r>
        <w:rPr>
          <w:rFonts w:eastAsiaTheme="minorEastAsia" w:hint="eastAsia"/>
        </w:rPr>
        <w:t xml:space="preserve">construct alternative perspectives through imagination, positioning, and reframing of symbolic systems </w:t>
      </w:r>
      <w:r>
        <w:t>(</w:t>
      </w:r>
      <w:proofErr w:type="spellStart"/>
      <w:r>
        <w:rPr>
          <w:rFonts w:eastAsiaTheme="minorEastAsia" w:hint="eastAsia"/>
        </w:rPr>
        <w:t>Kramsch</w:t>
      </w:r>
      <w:proofErr w:type="spellEnd"/>
      <w:r>
        <w:rPr>
          <w:rFonts w:eastAsiaTheme="minorEastAsia" w:hint="eastAsia"/>
        </w:rPr>
        <w:t xml:space="preserve">, 2006; </w:t>
      </w:r>
      <w:proofErr w:type="spellStart"/>
      <w:r>
        <w:t>Kramsch</w:t>
      </w:r>
      <w:proofErr w:type="spellEnd"/>
      <w:r>
        <w:t xml:space="preserve"> &amp; Whiteside, 2008). </w:t>
      </w:r>
      <w:r>
        <w:rPr>
          <w:rFonts w:eastAsiaTheme="minorEastAsia" w:hint="eastAsia"/>
        </w:rPr>
        <w:t>It entails the capacity to understand language as symbolic power</w:t>
      </w:r>
      <w:r w:rsidRPr="007346A1">
        <w:rPr>
          <w:rFonts w:eastAsiaTheme="minorEastAsia"/>
        </w:rPr>
        <w:t>—</w:t>
      </w:r>
      <w:r>
        <w:rPr>
          <w:rFonts w:eastAsiaTheme="minorEastAsia" w:hint="eastAsia"/>
        </w:rPr>
        <w:t xml:space="preserve">and to recognize that meaning itself is contingent and performatively shaped. </w:t>
      </w:r>
      <w:r>
        <w:t xml:space="preserve">Kramsch </w:t>
      </w:r>
      <w:r>
        <w:rPr>
          <w:rFonts w:eastAsiaTheme="minorEastAsia"/>
        </w:rPr>
        <w:t>argues</w:t>
      </w:r>
      <w:r>
        <w:rPr>
          <w:rFonts w:eastAsiaTheme="minorEastAsia" w:hint="eastAsia"/>
        </w:rPr>
        <w:t xml:space="preserve"> that </w:t>
      </w:r>
      <w:r w:rsidRPr="00192DF5">
        <w:rPr>
          <w:rStyle w:val="Strong"/>
          <w:b w:val="0"/>
        </w:rPr>
        <w:t>“</w:t>
      </w:r>
      <w:r w:rsidRPr="00436669">
        <w:rPr>
          <w:rStyle w:val="Strong"/>
          <w:b w:val="0"/>
        </w:rPr>
        <w:t>symbolic competence enables learners to understand that meanings are not fixed but change with time, place, and interlocutor, and that they themselves can play with these symbolic systems to create alternative realities</w:t>
      </w:r>
      <w:r w:rsidRPr="00192DF5">
        <w:rPr>
          <w:rStyle w:val="Strong"/>
          <w:b w:val="0"/>
        </w:rPr>
        <w:t>”</w:t>
      </w:r>
      <w:r>
        <w:t xml:space="preserve"> (2006, p. 251). </w:t>
      </w:r>
      <w:r>
        <w:rPr>
          <w:rFonts w:eastAsiaTheme="minorEastAsia" w:hint="eastAsia"/>
        </w:rPr>
        <w:t xml:space="preserve">This symbolic agency invites empathy not as a passive emotional state, but as a reflective and imaginative stance grounded in ethnical engagement and </w:t>
      </w:r>
      <w:r>
        <w:rPr>
          <w:rFonts w:eastAsiaTheme="minorEastAsia"/>
        </w:rPr>
        <w:t>intercultural</w:t>
      </w:r>
      <w:r>
        <w:rPr>
          <w:rFonts w:eastAsiaTheme="minorEastAsia" w:hint="eastAsia"/>
        </w:rPr>
        <w:t xml:space="preserve"> understanding </w:t>
      </w:r>
      <w:r>
        <w:t>(</w:t>
      </w:r>
      <w:proofErr w:type="spellStart"/>
      <w:r>
        <w:t>Kramsch</w:t>
      </w:r>
      <w:proofErr w:type="spellEnd"/>
      <w:r>
        <w:t xml:space="preserve">, 2020; </w:t>
      </w:r>
      <w:proofErr w:type="spellStart"/>
      <w:r>
        <w:t>Kramsch</w:t>
      </w:r>
      <w:proofErr w:type="spellEnd"/>
      <w:r>
        <w:t xml:space="preserve"> &amp; </w:t>
      </w:r>
      <w:proofErr w:type="spellStart"/>
      <w:r>
        <w:t>Uryu</w:t>
      </w:r>
      <w:proofErr w:type="spellEnd"/>
      <w:r>
        <w:t xml:space="preserve">, 2020). </w:t>
      </w:r>
    </w:p>
    <w:p w14:paraId="25DAB5F0" w14:textId="7EFCCDA6" w:rsidR="001B518E" w:rsidRDefault="001B518E" w:rsidP="001B518E">
      <w:pPr>
        <w:pStyle w:val="L2JBody"/>
      </w:pPr>
      <w:proofErr w:type="spellStart"/>
      <w:r>
        <w:t>Kramsch’s</w:t>
      </w:r>
      <w:proofErr w:type="spellEnd"/>
      <w:r>
        <w:t xml:space="preserve"> framework also </w:t>
      </w:r>
      <w:r>
        <w:rPr>
          <w:rFonts w:eastAsiaTheme="minorEastAsia" w:hint="eastAsia"/>
        </w:rPr>
        <w:t xml:space="preserve">draws on poststructuralist theories of performativity (Butler, 1997), </w:t>
      </w:r>
      <w:r>
        <w:rPr>
          <w:rFonts w:eastAsiaTheme="minorEastAsia"/>
        </w:rPr>
        <w:t>positioning</w:t>
      </w:r>
      <w:r>
        <w:rPr>
          <w:rFonts w:eastAsiaTheme="minorEastAsia" w:hint="eastAsia"/>
        </w:rPr>
        <w:t xml:space="preserve"> learners as agentive subjects capable of reworking discourses and resisting </w:t>
      </w:r>
      <w:r>
        <w:rPr>
          <w:rFonts w:eastAsiaTheme="minorEastAsia"/>
        </w:rPr>
        <w:t>essentialist</w:t>
      </w:r>
      <w:r>
        <w:rPr>
          <w:rFonts w:eastAsiaTheme="minorEastAsia" w:hint="eastAsia"/>
        </w:rPr>
        <w:t xml:space="preserve"> ideologies. This symbolic orientation </w:t>
      </w:r>
      <w:r>
        <w:rPr>
          <w:rFonts w:eastAsiaTheme="minorEastAsia"/>
        </w:rPr>
        <w:t>aligns</w:t>
      </w:r>
      <w:r>
        <w:rPr>
          <w:rFonts w:eastAsiaTheme="minorEastAsia" w:hint="eastAsia"/>
        </w:rPr>
        <w:t xml:space="preserve"> with Hollan and Throop</w:t>
      </w:r>
      <w:r>
        <w:rPr>
          <w:rFonts w:eastAsiaTheme="minorEastAsia"/>
        </w:rPr>
        <w:t>’</w:t>
      </w:r>
      <w:r>
        <w:rPr>
          <w:rFonts w:eastAsiaTheme="minorEastAsia" w:hint="eastAsia"/>
        </w:rPr>
        <w:t xml:space="preserve">s view of empathy as a dynamic </w:t>
      </w:r>
      <w:r>
        <w:rPr>
          <w:rFonts w:eastAsiaTheme="minorEastAsia"/>
        </w:rPr>
        <w:t>process</w:t>
      </w:r>
      <w:r>
        <w:rPr>
          <w:rFonts w:eastAsiaTheme="minorEastAsia" w:hint="eastAsia"/>
        </w:rPr>
        <w:t xml:space="preserve"> of adjustment and recognition across difference. Together, these perspectives establish a foundation for assessing transcultural competence through </w:t>
      </w:r>
      <w:r>
        <w:rPr>
          <w:rFonts w:eastAsiaTheme="minorEastAsia"/>
        </w:rPr>
        <w:t>discu</w:t>
      </w:r>
      <w:r>
        <w:rPr>
          <w:rFonts w:eastAsiaTheme="minorEastAsia" w:hint="eastAsia"/>
        </w:rPr>
        <w:t>r</w:t>
      </w:r>
      <w:r>
        <w:rPr>
          <w:rFonts w:eastAsiaTheme="minorEastAsia"/>
        </w:rPr>
        <w:t>sive</w:t>
      </w:r>
      <w:r>
        <w:rPr>
          <w:rFonts w:eastAsiaTheme="minorEastAsia" w:hint="eastAsia"/>
        </w:rPr>
        <w:t xml:space="preserve"> practice rather than behavioral </w:t>
      </w:r>
      <w:r>
        <w:rPr>
          <w:rFonts w:eastAsiaTheme="minorEastAsia"/>
        </w:rPr>
        <w:t>or psychological</w:t>
      </w:r>
      <w:r>
        <w:rPr>
          <w:rFonts w:eastAsiaTheme="minorEastAsia" w:hint="eastAsia"/>
        </w:rPr>
        <w:t xml:space="preserve"> markers.  </w:t>
      </w:r>
      <w:bookmarkEnd w:id="0"/>
    </w:p>
    <w:p w14:paraId="528275C7" w14:textId="77777777" w:rsidR="001B518E" w:rsidRDefault="001B518E" w:rsidP="001B518E">
      <w:pPr>
        <w:pStyle w:val="L2JBody"/>
      </w:pPr>
      <w:r>
        <w:t xml:space="preserve">Dewaele and </w:t>
      </w:r>
      <w:r>
        <w:rPr>
          <w:rFonts w:eastAsiaTheme="minorEastAsia" w:hint="eastAsia"/>
        </w:rPr>
        <w:t>Li</w:t>
      </w:r>
      <w:r>
        <w:rPr>
          <w:rFonts w:eastAsiaTheme="minorEastAsia"/>
        </w:rPr>
        <w:t>’</w:t>
      </w:r>
      <w:r>
        <w:rPr>
          <w:rFonts w:eastAsiaTheme="minorEastAsia" w:hint="eastAsia"/>
        </w:rPr>
        <w:t xml:space="preserve">s </w:t>
      </w:r>
      <w:r>
        <w:t xml:space="preserve">(2012) research on multilingualism and empathy partially aligns with this </w:t>
      </w:r>
      <w:r>
        <w:rPr>
          <w:rFonts w:eastAsiaTheme="minorEastAsia" w:hint="eastAsia"/>
        </w:rPr>
        <w:t>view</w:t>
      </w:r>
      <w:r>
        <w:t>. Their study found that advanced multilinguals who frequently use a non-native language tend to exhibit higher levels of cognitive empathy, defined as the “intellectual/imaginative apprehension of another’s mental state” (Lawrence et al., 2004, p. 911). However, mere</w:t>
      </w:r>
      <w:r>
        <w:rPr>
          <w:rFonts w:eastAsiaTheme="minorEastAsia" w:hint="eastAsia"/>
        </w:rPr>
        <w:t>ly acquiring</w:t>
      </w:r>
      <w:r>
        <w:t xml:space="preserve"> multiple languages or living abroad do not inherently </w:t>
      </w:r>
      <w:r>
        <w:rPr>
          <w:rFonts w:eastAsiaTheme="minorEastAsia"/>
        </w:rPr>
        <w:t>lead to</w:t>
      </w:r>
      <w:r>
        <w:t xml:space="preserve"> greater empathy. Instead, motivation and a willingness to actively engage with linguistic and cultural "</w:t>
      </w:r>
      <w:r>
        <w:rPr>
          <w:rFonts w:eastAsiaTheme="minorEastAsia" w:hint="eastAsia"/>
        </w:rPr>
        <w:t>o</w:t>
      </w:r>
      <w:r>
        <w:t>ther</w:t>
      </w:r>
      <w:r>
        <w:rPr>
          <w:rFonts w:eastAsiaTheme="minorEastAsia" w:hint="eastAsia"/>
        </w:rPr>
        <w:t>s</w:t>
      </w:r>
      <w:r>
        <w:rPr>
          <w:rFonts w:eastAsiaTheme="minorEastAsia"/>
        </w:rPr>
        <w:t>”</w:t>
      </w:r>
      <w:r>
        <w:rPr>
          <w:rFonts w:eastAsiaTheme="minorEastAsia" w:hint="eastAsia"/>
        </w:rPr>
        <w:t xml:space="preserve"> are crucial. </w:t>
      </w:r>
      <w:r>
        <w:t>While the study focuses on cognitive</w:t>
      </w:r>
      <w:r>
        <w:rPr>
          <w:rFonts w:eastAsiaTheme="minorEastAsia"/>
        </w:rPr>
        <w:t xml:space="preserve"> rather</w:t>
      </w:r>
      <w:r>
        <w:t xml:space="preserve"> than emotional </w:t>
      </w:r>
      <w:r>
        <w:rPr>
          <w:rFonts w:eastAsiaTheme="minorEastAsia" w:hint="eastAsia"/>
        </w:rPr>
        <w:t>empathy</w:t>
      </w:r>
      <w:r>
        <w:t>, it emphasizes agency</w:t>
      </w:r>
      <w:r>
        <w:rPr>
          <w:rFonts w:eastAsiaTheme="minorEastAsia"/>
        </w:rPr>
        <w:t>’</w:t>
      </w:r>
      <w:r>
        <w:rPr>
          <w:rFonts w:eastAsiaTheme="minorEastAsia" w:hint="eastAsia"/>
        </w:rPr>
        <w:t xml:space="preserve">s role </w:t>
      </w:r>
      <w:r>
        <w:t>in empathetic understanding.</w:t>
      </w:r>
    </w:p>
    <w:p w14:paraId="71ED38F8" w14:textId="77777777" w:rsidR="001B518E" w:rsidRDefault="001B518E" w:rsidP="001B518E">
      <w:pPr>
        <w:pStyle w:val="L2JBody"/>
      </w:pPr>
      <w:r>
        <w:rPr>
          <w:rFonts w:eastAsiaTheme="minorEastAsia" w:hint="eastAsia"/>
        </w:rPr>
        <w:t xml:space="preserve">Building on </w:t>
      </w:r>
      <w:r>
        <w:t xml:space="preserve">these insights, the present study adopts a </w:t>
      </w:r>
      <w:r>
        <w:rPr>
          <w:rFonts w:eastAsiaTheme="minorEastAsia" w:hint="eastAsia"/>
        </w:rPr>
        <w:t xml:space="preserve">poststructuralist and symbolic perspective on empathy and subjectivity. Rather than treating empathy as a psychological state to be measured, it examines how empathy is discursively constructed in student texts through rhetorical strategies, </w:t>
      </w:r>
      <w:r>
        <w:rPr>
          <w:rFonts w:eastAsiaTheme="minorEastAsia"/>
        </w:rPr>
        <w:t>symbolic</w:t>
      </w:r>
      <w:r>
        <w:rPr>
          <w:rFonts w:eastAsiaTheme="minorEastAsia" w:hint="eastAsia"/>
        </w:rPr>
        <w:t xml:space="preserve"> positioning, and intersubjective engagement. </w:t>
      </w:r>
      <w:r>
        <w:rPr>
          <w:rFonts w:eastAsiaTheme="minorEastAsia"/>
        </w:rPr>
        <w:t>T</w:t>
      </w:r>
      <w:r>
        <w:rPr>
          <w:rFonts w:eastAsiaTheme="minorEastAsia" w:hint="eastAsia"/>
        </w:rPr>
        <w:t xml:space="preserve">he analysis of student writing in a Japanese culture course explores how learners navigate cultural difference, construct proxy identities, and engage with imagined </w:t>
      </w:r>
      <w:r>
        <w:rPr>
          <w:rFonts w:eastAsiaTheme="minorEastAsia"/>
        </w:rPr>
        <w:t>“</w:t>
      </w:r>
      <w:r>
        <w:rPr>
          <w:rFonts w:eastAsiaTheme="minorEastAsia" w:hint="eastAsia"/>
        </w:rPr>
        <w:t>others.</w:t>
      </w:r>
      <w:r>
        <w:rPr>
          <w:rFonts w:eastAsiaTheme="minorEastAsia"/>
        </w:rPr>
        <w:t>”</w:t>
      </w:r>
      <w:r>
        <w:rPr>
          <w:rFonts w:eastAsiaTheme="minorEastAsia" w:hint="eastAsia"/>
        </w:rPr>
        <w:t xml:space="preserve"> S</w:t>
      </w:r>
      <w:r w:rsidRPr="005B272B">
        <w:t xml:space="preserve">pecifically, </w:t>
      </w:r>
      <w:r>
        <w:rPr>
          <w:rFonts w:eastAsiaTheme="minorEastAsia" w:hint="eastAsia"/>
        </w:rPr>
        <w:t xml:space="preserve">it investigates how </w:t>
      </w:r>
      <w:r w:rsidRPr="005B272B">
        <w:t xml:space="preserve">social, cultural, ideological and personal elements </w:t>
      </w:r>
      <w:r>
        <w:rPr>
          <w:rFonts w:eastAsiaTheme="minorEastAsia" w:hint="eastAsia"/>
        </w:rPr>
        <w:t>shape their evolving understanding of self and other.</w:t>
      </w:r>
      <w:r w:rsidRPr="00594C7D">
        <w:t xml:space="preserve"> </w:t>
      </w:r>
      <w:r>
        <w:rPr>
          <w:rFonts w:eastAsiaTheme="minorEastAsia" w:hint="eastAsia"/>
        </w:rPr>
        <w:t xml:space="preserve">In doing so, it extends </w:t>
      </w:r>
      <w:proofErr w:type="spellStart"/>
      <w:r>
        <w:rPr>
          <w:rFonts w:eastAsiaTheme="minorEastAsia" w:hint="eastAsia"/>
        </w:rPr>
        <w:t>Kramsch</w:t>
      </w:r>
      <w:r>
        <w:rPr>
          <w:rFonts w:eastAsiaTheme="minorEastAsia"/>
        </w:rPr>
        <w:t>’</w:t>
      </w:r>
      <w:r>
        <w:rPr>
          <w:rFonts w:eastAsiaTheme="minorEastAsia" w:hint="eastAsia"/>
        </w:rPr>
        <w:t>s</w:t>
      </w:r>
      <w:proofErr w:type="spellEnd"/>
      <w:r>
        <w:rPr>
          <w:rFonts w:eastAsiaTheme="minorEastAsia" w:hint="eastAsia"/>
        </w:rPr>
        <w:t xml:space="preserve"> concept of symbolic competence and offers discourse analysis as a tool for assessing empathy and transcultural learning in context. </w:t>
      </w:r>
    </w:p>
    <w:p w14:paraId="1E0BFD5D" w14:textId="77777777" w:rsidR="001B518E" w:rsidRDefault="001B518E" w:rsidP="001B518E">
      <w:pPr>
        <w:pStyle w:val="L2JH1"/>
      </w:pPr>
    </w:p>
    <w:p w14:paraId="34AF6E97" w14:textId="33069196" w:rsidR="001B518E" w:rsidRPr="001B518E" w:rsidRDefault="001B518E" w:rsidP="001B518E">
      <w:pPr>
        <w:pStyle w:val="L2JH1"/>
      </w:pPr>
      <w:r w:rsidRPr="001B518E">
        <w:t xml:space="preserve">RESEARCH AND METHODOLOGY </w:t>
      </w:r>
    </w:p>
    <w:p w14:paraId="516CF822" w14:textId="77777777" w:rsidR="001B518E" w:rsidRDefault="001B518E" w:rsidP="001B518E">
      <w:pPr>
        <w:pStyle w:val="L2JH2"/>
      </w:pPr>
    </w:p>
    <w:p w14:paraId="4932714B" w14:textId="2FB86E51" w:rsidR="001B518E" w:rsidRDefault="001B518E" w:rsidP="001B518E">
      <w:pPr>
        <w:pStyle w:val="L2JH2"/>
      </w:pPr>
      <w:r w:rsidRPr="009E55A8">
        <w:t xml:space="preserve">Theoretical </w:t>
      </w:r>
      <w:r>
        <w:t>F</w:t>
      </w:r>
      <w:r w:rsidRPr="009E55A8">
        <w:t>ramework</w:t>
      </w:r>
    </w:p>
    <w:p w14:paraId="26662E35" w14:textId="77777777" w:rsidR="001B518E" w:rsidRDefault="001B518E" w:rsidP="001B518E">
      <w:pPr>
        <w:pStyle w:val="L2JBody"/>
        <w:ind w:firstLine="0"/>
      </w:pPr>
    </w:p>
    <w:p w14:paraId="2F312D4D" w14:textId="497EF412" w:rsidR="001B518E" w:rsidRDefault="001B518E" w:rsidP="001B518E">
      <w:pPr>
        <w:pStyle w:val="L2JBody"/>
        <w:ind w:firstLine="0"/>
      </w:pPr>
      <w:r>
        <w:t xml:space="preserve">This research employs discourse analysis of students’ written texts to examine </w:t>
      </w:r>
      <w:r w:rsidRPr="0088088C">
        <w:t>how empathy and transcultural awareness are represented in their final course reflections.</w:t>
      </w:r>
      <w:r>
        <w:rPr>
          <w:rFonts w:eastAsiaTheme="minorEastAsia" w:hint="eastAsia"/>
        </w:rPr>
        <w:t xml:space="preserve"> </w:t>
      </w:r>
      <w:r w:rsidRPr="005065BB">
        <w:t>The</w:t>
      </w:r>
      <w:r>
        <w:t xml:space="preserve"> qualitative analysis of final papers is </w:t>
      </w:r>
      <w:r>
        <w:rPr>
          <w:rFonts w:eastAsiaTheme="minorEastAsia"/>
        </w:rPr>
        <w:t>appropriate</w:t>
      </w:r>
      <w:r>
        <w:t xml:space="preserve">, </w:t>
      </w:r>
      <w:r>
        <w:rPr>
          <w:rFonts w:eastAsiaTheme="minorEastAsia" w:hint="eastAsia"/>
        </w:rPr>
        <w:t>a</w:t>
      </w:r>
      <w:r>
        <w:t xml:space="preserve">s </w:t>
      </w:r>
      <w:r w:rsidRPr="009D218D">
        <w:t xml:space="preserve">these texts </w:t>
      </w:r>
      <w:r>
        <w:rPr>
          <w:rFonts w:eastAsia="MS Mincho" w:hint="eastAsia"/>
        </w:rPr>
        <w:t>offer</w:t>
      </w:r>
      <w:r w:rsidRPr="009D218D">
        <w:t xml:space="preserve"> insight into how students linguistically construct cultural </w:t>
      </w:r>
      <w:r>
        <w:rPr>
          <w:rFonts w:eastAsiaTheme="minorEastAsia" w:hint="eastAsia"/>
        </w:rPr>
        <w:t>o</w:t>
      </w:r>
      <w:r w:rsidRPr="009D218D">
        <w:t>thers and position themselves in relation to them.</w:t>
      </w:r>
      <w:r>
        <w:rPr>
          <w:rFonts w:eastAsiaTheme="minorEastAsia" w:hint="eastAsia"/>
        </w:rPr>
        <w:t xml:space="preserve"> </w:t>
      </w:r>
      <w:r>
        <w:t>To explore the complexity of written texts as sociocultural and ideological communicative practices, this study adopts Blommaert’s (2004) poststructuralist sociolinguistic framework, integrating interactional sociolinguistic methods such as</w:t>
      </w:r>
      <w:r>
        <w:rPr>
          <w:rFonts w:eastAsiaTheme="minorEastAsia" w:hint="eastAsia"/>
        </w:rPr>
        <w:t xml:space="preserve"> </w:t>
      </w:r>
      <w:r>
        <w:t>speech act theory (Austin, 1962), frame analysis (Goffman, 1981), and politeness theories (Brown &amp; Levinson, 1987; Lakoff, 1973) with critical discourse analysis (Fairclough, 1999; Simpson, 2003). This combination elucidates how power operates within discourses through institutions and cultural practices.</w:t>
      </w:r>
    </w:p>
    <w:p w14:paraId="0CA3C1C3" w14:textId="77777777" w:rsidR="001B518E" w:rsidRDefault="001B518E" w:rsidP="001B518E">
      <w:pPr>
        <w:pStyle w:val="L2JBody"/>
        <w:rPr>
          <w:rFonts w:eastAsiaTheme="minorEastAsia"/>
        </w:rPr>
      </w:pPr>
      <w:r>
        <w:t xml:space="preserve">Interlocutors are </w:t>
      </w:r>
      <w:r>
        <w:rPr>
          <w:rFonts w:eastAsiaTheme="minorEastAsia" w:hint="eastAsia"/>
        </w:rPr>
        <w:t xml:space="preserve">first </w:t>
      </w:r>
      <w:r>
        <w:t>conceptualized as social actors whose communicative practices are shaped by ideologized discourses (Bourdieu, 1991; Foucault, 1977). Blommaert’s framework</w:t>
      </w:r>
      <w:r>
        <w:rPr>
          <w:rFonts w:eastAsiaTheme="minorEastAsia" w:hint="eastAsia"/>
        </w:rPr>
        <w:t xml:space="preserve">, </w:t>
      </w:r>
      <w:r>
        <w:rPr>
          <w:rFonts w:eastAsiaTheme="minorEastAsia"/>
        </w:rPr>
        <w:t xml:space="preserve">however, </w:t>
      </w:r>
      <w:r>
        <w:t xml:space="preserve">reconceptualizes interlocutors through a poststructuralist lens, particularly Butler’s (1997) notion of performativity. </w:t>
      </w:r>
      <w:r>
        <w:rPr>
          <w:rFonts w:eastAsiaTheme="minorEastAsia" w:hint="eastAsia"/>
        </w:rPr>
        <w:t>Here, i</w:t>
      </w:r>
      <w:r>
        <w:t xml:space="preserve">nterlocutors are redefined as speaking subjects with agency, capable of </w:t>
      </w:r>
      <w:r>
        <w:rPr>
          <w:rFonts w:eastAsiaTheme="minorEastAsia" w:hint="eastAsia"/>
        </w:rPr>
        <w:t xml:space="preserve">resisting dominant </w:t>
      </w:r>
      <w:r>
        <w:t>structures through language as a symbolic</w:t>
      </w:r>
      <w:r>
        <w:rPr>
          <w:rFonts w:eastAsiaTheme="minorEastAsia" w:hint="eastAsia"/>
        </w:rPr>
        <w:t xml:space="preserve"> action</w:t>
      </w:r>
      <w:r>
        <w:t xml:space="preserve">. </w:t>
      </w:r>
    </w:p>
    <w:p w14:paraId="014D00B4" w14:textId="77777777" w:rsidR="001B518E" w:rsidRDefault="001B518E" w:rsidP="001B518E">
      <w:pPr>
        <w:pStyle w:val="L2JBody"/>
      </w:pPr>
      <w:r>
        <w:t xml:space="preserve">Under this framework, </w:t>
      </w:r>
      <w:r w:rsidRPr="006C4A2E">
        <w:t xml:space="preserve">students’ texts are </w:t>
      </w:r>
      <w:r>
        <w:rPr>
          <w:rFonts w:eastAsiaTheme="minorEastAsia" w:hint="eastAsia"/>
        </w:rPr>
        <w:t xml:space="preserve">not </w:t>
      </w:r>
      <w:r w:rsidRPr="006C4A2E">
        <w:t>treated as s</w:t>
      </w:r>
      <w:r>
        <w:rPr>
          <w:rFonts w:eastAsiaTheme="minorEastAsia" w:hint="eastAsia"/>
        </w:rPr>
        <w:t xml:space="preserve">imple </w:t>
      </w:r>
      <w:r w:rsidRPr="006C4A2E">
        <w:t xml:space="preserve">reflections of learning, but as semiotic practices shaped by social positionings, ideological tensions, and culturally available discourses. This perspective </w:t>
      </w:r>
      <w:r>
        <w:rPr>
          <w:rFonts w:eastAsiaTheme="minorEastAsia" w:hint="eastAsia"/>
        </w:rPr>
        <w:t xml:space="preserve">allows for analysis of </w:t>
      </w:r>
      <w:r w:rsidRPr="006C4A2E">
        <w:t xml:space="preserve">how empathy and transcultural competence are discursively constructed and indexed in language, rather than presumed as </w:t>
      </w:r>
      <w:r>
        <w:rPr>
          <w:rFonts w:eastAsiaTheme="minorEastAsia" w:hint="eastAsia"/>
        </w:rPr>
        <w:t>internal states or fixed outcomes</w:t>
      </w:r>
      <w:r w:rsidRPr="006C4A2E">
        <w:t>.</w:t>
      </w:r>
    </w:p>
    <w:p w14:paraId="5339A4F3" w14:textId="77777777" w:rsidR="001B518E" w:rsidRDefault="001B518E" w:rsidP="001B518E">
      <w:pPr>
        <w:pStyle w:val="L2JBody"/>
      </w:pPr>
    </w:p>
    <w:p w14:paraId="0220A8F9" w14:textId="66BC7CFB" w:rsidR="001B518E" w:rsidRPr="001B518E" w:rsidRDefault="001B518E" w:rsidP="001B518E">
      <w:pPr>
        <w:pStyle w:val="L2JH2"/>
      </w:pPr>
      <w:r w:rsidRPr="001B518E">
        <w:rPr>
          <w:rStyle w:val="Strong"/>
          <w:b/>
          <w:bCs w:val="0"/>
        </w:rPr>
        <w:t>Research Site: Sociocultural And Economic Context</w:t>
      </w:r>
    </w:p>
    <w:p w14:paraId="6368916B" w14:textId="77777777" w:rsidR="001B518E" w:rsidRDefault="001B518E" w:rsidP="001B518E">
      <w:pPr>
        <w:pStyle w:val="L2JBody"/>
        <w:ind w:firstLine="0"/>
      </w:pPr>
    </w:p>
    <w:p w14:paraId="39FF190C" w14:textId="436A6319" w:rsidR="001B518E" w:rsidRDefault="001B518E" w:rsidP="001B518E">
      <w:pPr>
        <w:pStyle w:val="L2JBody"/>
        <w:ind w:firstLine="0"/>
      </w:pPr>
      <w:r w:rsidRPr="002A3B12">
        <w:t>Th</w:t>
      </w:r>
      <w:r>
        <w:rPr>
          <w:rFonts w:eastAsia="MS Mincho" w:hint="eastAsia"/>
        </w:rPr>
        <w:t>is section begins by</w:t>
      </w:r>
      <w:r w:rsidRPr="002A3B12">
        <w:t xml:space="preserve"> examin</w:t>
      </w:r>
      <w:r>
        <w:rPr>
          <w:rFonts w:eastAsiaTheme="minorEastAsia" w:hint="eastAsia"/>
        </w:rPr>
        <w:t>ing</w:t>
      </w:r>
      <w:r w:rsidRPr="002A3B12">
        <w:t xml:space="preserve"> sociocultural, economic, and ideological contexts that shape these texts as discursive instantiations of learner subjectivity and worldview.</w:t>
      </w:r>
      <w:r>
        <w:rPr>
          <w:rFonts w:eastAsiaTheme="minorEastAsia" w:hint="eastAsia"/>
        </w:rPr>
        <w:t xml:space="preserve"> </w:t>
      </w:r>
      <w:r>
        <w:t xml:space="preserve">The research site was a public university in a large U.S. city with a significant minority and immigrant population, making it racially and economically diverse. The city is also known as one of the most economically depressed in the </w:t>
      </w:r>
      <w:r>
        <w:rPr>
          <w:rFonts w:eastAsiaTheme="minorEastAsia" w:hint="eastAsia"/>
        </w:rPr>
        <w:t>country</w:t>
      </w:r>
      <w:r>
        <w:t xml:space="preserve">. The student population </w:t>
      </w:r>
      <w:r>
        <w:rPr>
          <w:rFonts w:eastAsiaTheme="minorEastAsia" w:hint="eastAsia"/>
        </w:rPr>
        <w:t>reflected this</w:t>
      </w:r>
      <w:r>
        <w:t xml:space="preserve"> divers</w:t>
      </w:r>
      <w:r>
        <w:rPr>
          <w:rFonts w:eastAsiaTheme="minorEastAsia" w:hint="eastAsia"/>
        </w:rPr>
        <w:t>ity</w:t>
      </w:r>
      <w:r>
        <w:t xml:space="preserve">. According to the university’s website, approximately 50% </w:t>
      </w:r>
      <w:r>
        <w:rPr>
          <w:rFonts w:eastAsiaTheme="minorEastAsia" w:hint="eastAsia"/>
        </w:rPr>
        <w:t xml:space="preserve">of students </w:t>
      </w:r>
      <w:r>
        <w:t>identified as White, with the remain</w:t>
      </w:r>
      <w:r>
        <w:rPr>
          <w:rFonts w:eastAsiaTheme="minorEastAsia" w:hint="eastAsia"/>
        </w:rPr>
        <w:t xml:space="preserve">der comprising </w:t>
      </w:r>
      <w:r>
        <w:rPr>
          <w:rFonts w:eastAsiaTheme="minorEastAsia"/>
        </w:rPr>
        <w:t xml:space="preserve">about </w:t>
      </w:r>
      <w:r>
        <w:t>20% African American, less than 20% Hispanic and Asian combined, and a small percentage</w:t>
      </w:r>
      <w:r>
        <w:rPr>
          <w:rFonts w:eastAsiaTheme="minorEastAsia" w:hint="eastAsia"/>
        </w:rPr>
        <w:t xml:space="preserve"> listed</w:t>
      </w:r>
      <w:r>
        <w:t xml:space="preserve"> as "unidentified." Economically, 22% came from households in the top 20% income bracket, while roughly 20% were from the bottom 20%, fostering diverse perspectives and interactions.</w:t>
      </w:r>
    </w:p>
    <w:p w14:paraId="0A70B65E" w14:textId="77777777" w:rsidR="001B518E" w:rsidRDefault="001B518E" w:rsidP="001B518E">
      <w:pPr>
        <w:pStyle w:val="L2JBody"/>
      </w:pPr>
      <w:r>
        <w:t xml:space="preserve">Despite being one of the largest institutions in the state, the Japanese major was small. To attract interest, the program offered an introductory Japanese culture course open to all majors. That year, over 15 students enrolled, likely drawn by the </w:t>
      </w:r>
      <w:r>
        <w:rPr>
          <w:rFonts w:eastAsiaTheme="minorEastAsia" w:hint="eastAsia"/>
        </w:rPr>
        <w:t xml:space="preserve">growing </w:t>
      </w:r>
      <w:r>
        <w:t xml:space="preserve">popularity of Japanese pop culture. Although most had other academic </w:t>
      </w:r>
      <w:r>
        <w:rPr>
          <w:rFonts w:eastAsiaTheme="minorEastAsia" w:hint="eastAsia"/>
        </w:rPr>
        <w:t>focuses</w:t>
      </w:r>
      <w:r>
        <w:t xml:space="preserve">, many were already familiar with manga, anime, and games, showing high motivation to explore Japanese culture. The class was predominantly male, with only three female students, and its racial composition—African Americans, </w:t>
      </w:r>
      <w:r>
        <w:rPr>
          <w:rFonts w:eastAsiaTheme="minorEastAsia" w:hint="eastAsia"/>
        </w:rPr>
        <w:t>White</w:t>
      </w:r>
      <w:r>
        <w:t>, Asians, and Hispanics—reflected the university's broader diversity.</w:t>
      </w:r>
    </w:p>
    <w:p w14:paraId="2110E694" w14:textId="10CAF334" w:rsidR="001B518E" w:rsidRPr="00D71901" w:rsidRDefault="001B518E" w:rsidP="001B518E">
      <w:pPr>
        <w:pStyle w:val="L2JH2"/>
      </w:pPr>
      <w:r w:rsidRPr="00D71901">
        <w:lastRenderedPageBreak/>
        <w:t xml:space="preserve">Ideological </w:t>
      </w:r>
      <w:r>
        <w:rPr>
          <w:rFonts w:eastAsiaTheme="minorEastAsia"/>
        </w:rPr>
        <w:t>I</w:t>
      </w:r>
      <w:r w:rsidRPr="00D71901">
        <w:t xml:space="preserve">ssues </w:t>
      </w:r>
      <w:proofErr w:type="gramStart"/>
      <w:r>
        <w:rPr>
          <w:rFonts w:eastAsiaTheme="minorEastAsia"/>
        </w:rPr>
        <w:t>In</w:t>
      </w:r>
      <w:proofErr w:type="gramEnd"/>
      <w:r>
        <w:rPr>
          <w:rFonts w:eastAsiaTheme="minorEastAsia"/>
        </w:rPr>
        <w:t xml:space="preserve"> T</w:t>
      </w:r>
      <w:r w:rsidRPr="00D71901">
        <w:t xml:space="preserve">eaching </w:t>
      </w:r>
      <w:r w:rsidRPr="00D71901">
        <w:t xml:space="preserve">Japanese </w:t>
      </w:r>
      <w:r>
        <w:rPr>
          <w:rFonts w:eastAsiaTheme="minorEastAsia"/>
        </w:rPr>
        <w:t>C</w:t>
      </w:r>
      <w:r w:rsidRPr="00D71901">
        <w:t xml:space="preserve">ulture </w:t>
      </w:r>
      <w:proofErr w:type="gramStart"/>
      <w:r w:rsidRPr="00D71901">
        <w:t>And</w:t>
      </w:r>
      <w:proofErr w:type="gramEnd"/>
      <w:r w:rsidRPr="00D71901">
        <w:t xml:space="preserve"> </w:t>
      </w:r>
      <w:proofErr w:type="gramStart"/>
      <w:r w:rsidRPr="00D71901">
        <w:t>The</w:t>
      </w:r>
      <w:proofErr w:type="gramEnd"/>
      <w:r w:rsidRPr="00D71901">
        <w:t xml:space="preserve"> </w:t>
      </w:r>
      <w:r>
        <w:rPr>
          <w:rFonts w:eastAsiaTheme="minorEastAsia"/>
        </w:rPr>
        <w:t>N</w:t>
      </w:r>
      <w:r w:rsidRPr="00D71901">
        <w:t xml:space="preserve">eed </w:t>
      </w:r>
      <w:proofErr w:type="gramStart"/>
      <w:r w:rsidRPr="00D71901">
        <w:t>For</w:t>
      </w:r>
      <w:proofErr w:type="gramEnd"/>
      <w:r w:rsidRPr="00D71901">
        <w:t xml:space="preserve"> </w:t>
      </w:r>
      <w:proofErr w:type="gramStart"/>
      <w:r w:rsidRPr="00D71901">
        <w:t>A</w:t>
      </w:r>
      <w:proofErr w:type="gramEnd"/>
      <w:r w:rsidRPr="00D71901">
        <w:t xml:space="preserve"> </w:t>
      </w:r>
      <w:r>
        <w:rPr>
          <w:rFonts w:eastAsiaTheme="minorEastAsia"/>
        </w:rPr>
        <w:t>P</w:t>
      </w:r>
      <w:r w:rsidRPr="00D71901">
        <w:t xml:space="preserve">oststructuralist </w:t>
      </w:r>
      <w:r>
        <w:rPr>
          <w:rFonts w:eastAsiaTheme="minorEastAsia"/>
        </w:rPr>
        <w:t>A</w:t>
      </w:r>
      <w:r w:rsidRPr="00D71901">
        <w:t>pproach</w:t>
      </w:r>
    </w:p>
    <w:p w14:paraId="2FC30EFC" w14:textId="77777777" w:rsidR="001B518E" w:rsidRDefault="001B518E" w:rsidP="001B518E">
      <w:pPr>
        <w:pStyle w:val="L2JBody"/>
        <w:ind w:firstLine="0"/>
      </w:pPr>
    </w:p>
    <w:p w14:paraId="206A789C" w14:textId="3D9F9FD2" w:rsidR="001B518E" w:rsidRPr="00F27EBC" w:rsidRDefault="001B518E" w:rsidP="001B518E">
      <w:pPr>
        <w:pStyle w:val="L2JBody"/>
        <w:ind w:firstLine="0"/>
      </w:pPr>
      <w:r w:rsidRPr="00403824">
        <w:t>Teaching the culture of the “</w:t>
      </w:r>
      <w:r>
        <w:rPr>
          <w:rFonts w:eastAsiaTheme="minorEastAsia" w:hint="eastAsia"/>
        </w:rPr>
        <w:t>o</w:t>
      </w:r>
      <w:r w:rsidRPr="00403824">
        <w:t>ther” presents significant challenges, especially considering the ideological impact embedded in cultural discourses that distinguish between “</w:t>
      </w:r>
      <w:r>
        <w:rPr>
          <w:rFonts w:eastAsiaTheme="minorEastAsia" w:hint="eastAsia"/>
        </w:rPr>
        <w:t>s</w:t>
      </w:r>
      <w:r w:rsidRPr="00403824">
        <w:t>elf” and “</w:t>
      </w:r>
      <w:r>
        <w:rPr>
          <w:rFonts w:eastAsiaTheme="minorEastAsia" w:hint="eastAsia"/>
        </w:rPr>
        <w:t>o</w:t>
      </w:r>
      <w:r w:rsidRPr="00403824">
        <w:t>ther.” As Kubota (1999) points out</w:t>
      </w:r>
      <w:r>
        <w:rPr>
          <w:rFonts w:eastAsiaTheme="minorEastAsia" w:hint="eastAsia"/>
        </w:rPr>
        <w:t xml:space="preserve"> over two decades ago</w:t>
      </w:r>
      <w:r w:rsidRPr="00403824">
        <w:t>, Japanese language and culture courses often perpetuate an Orientalist ideology</w:t>
      </w:r>
      <w:r w:rsidRPr="005065BB">
        <w:t>,</w:t>
      </w:r>
      <w:r w:rsidRPr="00403824">
        <w:t xml:space="preserve"> emphasizing the divide between an American “</w:t>
      </w:r>
      <w:r>
        <w:rPr>
          <w:rFonts w:eastAsiaTheme="minorEastAsia" w:hint="eastAsia"/>
        </w:rPr>
        <w:t>s</w:t>
      </w:r>
      <w:r w:rsidRPr="00403824">
        <w:t>elf” and an exotic Japanese “</w:t>
      </w:r>
      <w:r>
        <w:rPr>
          <w:rFonts w:eastAsiaTheme="minorEastAsia" w:hint="eastAsia"/>
        </w:rPr>
        <w:t>o</w:t>
      </w:r>
      <w:r w:rsidRPr="00403824">
        <w:t>ther</w:t>
      </w:r>
      <w:r>
        <w:rPr>
          <w:rFonts w:eastAsiaTheme="minorEastAsia" w:hint="eastAsia"/>
        </w:rPr>
        <w:t>.</w:t>
      </w:r>
      <w:r w:rsidRPr="005065BB">
        <w:t>”</w:t>
      </w:r>
      <w:r>
        <w:rPr>
          <w:rFonts w:eastAsiaTheme="minorEastAsia" w:hint="eastAsia"/>
        </w:rPr>
        <w:t xml:space="preserve"> </w:t>
      </w:r>
      <w:r w:rsidRPr="00403824">
        <w:t>This ideology is reinforced through classroom interactions and materials</w:t>
      </w:r>
      <w:r>
        <w:rPr>
          <w:rFonts w:eastAsiaTheme="minorEastAsia" w:hint="eastAsia"/>
        </w:rPr>
        <w:t>, as</w:t>
      </w:r>
      <w:r w:rsidRPr="00403824">
        <w:t xml:space="preserve"> both instructors and students engage with cultural discourse. </w:t>
      </w:r>
      <w:r w:rsidRPr="00914B27">
        <w:t xml:space="preserve">While learners may approach the target language and culture with sincere interest, these efforts can unintentionally reinforce essentialist or exoticizing perceptions of the </w:t>
      </w:r>
      <w:r>
        <w:rPr>
          <w:rFonts w:eastAsiaTheme="minorEastAsia" w:hint="eastAsia"/>
        </w:rPr>
        <w:t>o</w:t>
      </w:r>
      <w:r w:rsidRPr="00914B27">
        <w:t>ther.</w:t>
      </w:r>
    </w:p>
    <w:p w14:paraId="2FA1BF08" w14:textId="77777777" w:rsidR="001B518E" w:rsidRPr="00403824" w:rsidRDefault="001B518E" w:rsidP="001B518E">
      <w:pPr>
        <w:pStyle w:val="L2JBody"/>
      </w:pPr>
      <w:r w:rsidRPr="00403824">
        <w:t xml:space="preserve">The subtle perpetuation has raised concerns among educators, especially given the widespread fascination with Japanese pop culture and its associated stereotypes. These concerns are critical not only because Japanese culture is often exoticized in Western contexts (Shibusawa, 2006), but also teaching cultural differences can reinforce the </w:t>
      </w:r>
      <w:r>
        <w:rPr>
          <w:rFonts w:eastAsiaTheme="minorEastAsia" w:hint="eastAsia"/>
        </w:rPr>
        <w:t xml:space="preserve">very </w:t>
      </w:r>
      <w:r w:rsidRPr="00403824">
        <w:t xml:space="preserve">discourse it seeks to avoid. This </w:t>
      </w:r>
      <w:r>
        <w:rPr>
          <w:rFonts w:eastAsiaTheme="minorEastAsia"/>
        </w:rPr>
        <w:t xml:space="preserve">occurs </w:t>
      </w:r>
      <w:r w:rsidRPr="00403824">
        <w:t xml:space="preserve">when instructors highlight the “different” aspects of Japanese culture as unusual or unique. </w:t>
      </w:r>
      <w:r w:rsidRPr="00A26A21">
        <w:t>Teaching the culture of the “</w:t>
      </w:r>
      <w:r>
        <w:rPr>
          <w:rFonts w:eastAsiaTheme="minorEastAsia" w:hint="eastAsia"/>
        </w:rPr>
        <w:t>o</w:t>
      </w:r>
      <w:r w:rsidRPr="00A26A21">
        <w:t xml:space="preserve">ther” involves a tension: while cultural differences are striking, they </w:t>
      </w:r>
      <w:r>
        <w:rPr>
          <w:rFonts w:eastAsiaTheme="minorEastAsia" w:hint="eastAsia"/>
        </w:rPr>
        <w:t xml:space="preserve">can </w:t>
      </w:r>
      <w:r w:rsidRPr="00A26A21">
        <w:t xml:space="preserve">also </w:t>
      </w:r>
      <w:r>
        <w:rPr>
          <w:rFonts w:eastAsiaTheme="minorEastAsia" w:hint="eastAsia"/>
        </w:rPr>
        <w:t xml:space="preserve">prompt </w:t>
      </w:r>
      <w:r w:rsidRPr="00A26A21">
        <w:t xml:space="preserve">reflective engagement. To avoid </w:t>
      </w:r>
      <w:r>
        <w:rPr>
          <w:rFonts w:eastAsiaTheme="minorEastAsia" w:hint="eastAsia"/>
        </w:rPr>
        <w:t xml:space="preserve">reproducing </w:t>
      </w:r>
      <w:r w:rsidRPr="00A26A21">
        <w:t xml:space="preserve">Orientalist discourse, pedagogical approaches </w:t>
      </w:r>
      <w:r>
        <w:rPr>
          <w:rFonts w:eastAsiaTheme="minorEastAsia" w:hint="eastAsia"/>
        </w:rPr>
        <w:t xml:space="preserve">must </w:t>
      </w:r>
      <w:r w:rsidRPr="00A26A21">
        <w:t>foreground cultural complexity, hybridity, and the discursive nature of identity.</w:t>
      </w:r>
    </w:p>
    <w:p w14:paraId="6B2A5EE2" w14:textId="77777777" w:rsidR="001B518E" w:rsidRDefault="001B518E" w:rsidP="001B518E">
      <w:pPr>
        <w:pStyle w:val="L2JBody"/>
        <w:rPr>
          <w:rFonts w:eastAsiaTheme="minorEastAsia"/>
        </w:rPr>
      </w:pPr>
      <w:r w:rsidRPr="00403824">
        <w:t>In response, the course adopted a syllabus grounded in poststructuralist theory. As McNamara (2012) explains, poststructuralis</w:t>
      </w:r>
      <w:r>
        <w:rPr>
          <w:rFonts w:eastAsiaTheme="minorEastAsia" w:hint="eastAsia"/>
        </w:rPr>
        <w:t>m</w:t>
      </w:r>
      <w:r w:rsidRPr="00403824">
        <w:t xml:space="preserve"> question</w:t>
      </w:r>
      <w:r>
        <w:rPr>
          <w:rFonts w:eastAsiaTheme="minorEastAsia" w:hint="eastAsia"/>
        </w:rPr>
        <w:t>s</w:t>
      </w:r>
      <w:r w:rsidRPr="00403824">
        <w:t xml:space="preserve"> "stable truths, the structure of the linguistic sign, and the idea of progress" (p. 477) while supporting "critical awareness of the role of desire and the presence of the irrational within social structures" (p. 478). This </w:t>
      </w:r>
      <w:r>
        <w:rPr>
          <w:rFonts w:eastAsiaTheme="minorEastAsia" w:hint="eastAsia"/>
        </w:rPr>
        <w:t xml:space="preserve">perspective </w:t>
      </w:r>
      <w:r w:rsidRPr="00403824">
        <w:t>helps learners deconstruct essentialized view</w:t>
      </w:r>
      <w:r>
        <w:rPr>
          <w:rFonts w:eastAsiaTheme="minorEastAsia" w:hint="eastAsia"/>
        </w:rPr>
        <w:t>s</w:t>
      </w:r>
      <w:r w:rsidRPr="00403824">
        <w:t xml:space="preserve"> of Japanese culture </w:t>
      </w:r>
      <w:r>
        <w:rPr>
          <w:rFonts w:eastAsiaTheme="minorEastAsia" w:hint="eastAsia"/>
        </w:rPr>
        <w:t xml:space="preserve">and </w:t>
      </w:r>
      <w:r w:rsidRPr="00403824">
        <w:t>emphasiz</w:t>
      </w:r>
      <w:r>
        <w:rPr>
          <w:rFonts w:eastAsiaTheme="minorEastAsia" w:hint="eastAsia"/>
        </w:rPr>
        <w:t>es</w:t>
      </w:r>
      <w:r w:rsidRPr="00403824">
        <w:t xml:space="preserve"> similarities </w:t>
      </w:r>
      <w:r>
        <w:rPr>
          <w:rFonts w:eastAsiaTheme="minorEastAsia" w:hint="eastAsia"/>
        </w:rPr>
        <w:t xml:space="preserve">rather than </w:t>
      </w:r>
      <w:r w:rsidRPr="00403824">
        <w:t>differences.</w:t>
      </w:r>
      <w:r w:rsidRPr="00566A34">
        <w:t xml:space="preserve"> Rather than </w:t>
      </w:r>
      <w:r>
        <w:rPr>
          <w:rFonts w:eastAsiaTheme="minorEastAsia" w:hint="eastAsia"/>
        </w:rPr>
        <w:t xml:space="preserve">correcting </w:t>
      </w:r>
      <w:r w:rsidRPr="00566A34">
        <w:t xml:space="preserve">student perspectives, </w:t>
      </w:r>
      <w:r>
        <w:rPr>
          <w:rFonts w:eastAsiaTheme="minorEastAsia" w:hint="eastAsia"/>
        </w:rPr>
        <w:t xml:space="preserve">it </w:t>
      </w:r>
      <w:r w:rsidRPr="00566A34">
        <w:t>invites learners to examine how discourses are constructed and mediated by power, history, and positionality.</w:t>
      </w:r>
      <w:r w:rsidRPr="00403824">
        <w:t xml:space="preserve"> </w:t>
      </w:r>
    </w:p>
    <w:p w14:paraId="53870128" w14:textId="69494F8A" w:rsidR="001B518E" w:rsidRPr="00835D74" w:rsidRDefault="001B518E" w:rsidP="001B518E">
      <w:pPr>
        <w:pStyle w:val="L2JBody"/>
        <w:rPr>
          <w:rFonts w:eastAsiaTheme="minorEastAsia"/>
        </w:rPr>
      </w:pPr>
      <w:r w:rsidRPr="004B382C">
        <w:rPr>
          <w:rFonts w:eastAsiaTheme="minorEastAsia" w:hint="eastAsia"/>
        </w:rPr>
        <w:t>P</w:t>
      </w:r>
      <w:r w:rsidRPr="00403824">
        <w:t xml:space="preserve">oststructuralist </w:t>
      </w:r>
      <w:r>
        <w:rPr>
          <w:rFonts w:eastAsiaTheme="minorEastAsia" w:hint="eastAsia"/>
        </w:rPr>
        <w:t>theory</w:t>
      </w:r>
      <w:r w:rsidRPr="00403824">
        <w:t xml:space="preserve"> reconceptualizes culture as discursive practices in everyday life, reflecting not just a group’s state at a </w:t>
      </w:r>
      <w:r>
        <w:rPr>
          <w:rFonts w:eastAsiaTheme="minorEastAsia" w:hint="eastAsia"/>
        </w:rPr>
        <w:t xml:space="preserve">given </w:t>
      </w:r>
      <w:r w:rsidRPr="00403824">
        <w:t>time but also evolving worldview</w:t>
      </w:r>
      <w:r>
        <w:rPr>
          <w:rFonts w:eastAsiaTheme="minorEastAsia" w:hint="eastAsia"/>
        </w:rPr>
        <w:t>s</w:t>
      </w:r>
      <w:r w:rsidRPr="00403824">
        <w:t xml:space="preserve"> shaped by self-identifications and intercultural encounters. This aligns with Bhabha’s (1994) theory of </w:t>
      </w:r>
      <w:r w:rsidR="00F079AC">
        <w:t>“</w:t>
      </w:r>
      <w:r w:rsidRPr="00F079AC">
        <w:t>cultural hybridity,</w:t>
      </w:r>
      <w:r w:rsidR="00F079AC">
        <w:t>”</w:t>
      </w:r>
      <w:r w:rsidRPr="00403824">
        <w:t xml:space="preserve"> which </w:t>
      </w:r>
      <w:r>
        <w:rPr>
          <w:rFonts w:eastAsiaTheme="minorEastAsia" w:hint="eastAsia"/>
        </w:rPr>
        <w:t xml:space="preserve">views </w:t>
      </w:r>
      <w:r w:rsidRPr="00403824">
        <w:t xml:space="preserve">culture </w:t>
      </w:r>
      <w:r>
        <w:rPr>
          <w:rFonts w:eastAsiaTheme="minorEastAsia" w:hint="eastAsia"/>
        </w:rPr>
        <w:t>as</w:t>
      </w:r>
      <w:r w:rsidRPr="00403824">
        <w:t xml:space="preserve"> dynamic, conflictual, and transformative </w:t>
      </w:r>
      <w:r>
        <w:rPr>
          <w:rFonts w:eastAsiaTheme="minorEastAsia" w:hint="eastAsia"/>
        </w:rPr>
        <w:t xml:space="preserve">through </w:t>
      </w:r>
      <w:r w:rsidRPr="00403824">
        <w:t xml:space="preserve">ongoing encounters with racial or ethnic </w:t>
      </w:r>
      <w:r w:rsidR="00D76B93">
        <w:t>“</w:t>
      </w:r>
      <w:r>
        <w:rPr>
          <w:rFonts w:eastAsiaTheme="minorEastAsia" w:hint="eastAsia"/>
        </w:rPr>
        <w:t>o</w:t>
      </w:r>
      <w:r w:rsidRPr="00403824">
        <w:t>thers.</w:t>
      </w:r>
      <w:r w:rsidR="00D76B93">
        <w:t>”</w:t>
      </w:r>
      <w:r w:rsidRPr="00403824">
        <w:t xml:space="preserve"> Within this landscape, poststructuralis</w:t>
      </w:r>
      <w:r>
        <w:rPr>
          <w:rFonts w:eastAsiaTheme="minorEastAsia" w:hint="eastAsia"/>
        </w:rPr>
        <w:t xml:space="preserve">m </w:t>
      </w:r>
      <w:r w:rsidRPr="00403824">
        <w:t>reveals how Japanese identity has evolved through historical intercultural interactions</w:t>
      </w:r>
      <w:r>
        <w:rPr>
          <w:rFonts w:eastAsiaTheme="minorEastAsia" w:hint="eastAsia"/>
        </w:rPr>
        <w:t xml:space="preserve">. </w:t>
      </w:r>
    </w:p>
    <w:p w14:paraId="7D443B83" w14:textId="1F907E29" w:rsidR="001B518E" w:rsidRPr="00403824" w:rsidRDefault="001B518E" w:rsidP="001B518E">
      <w:pPr>
        <w:pStyle w:val="L2JBody"/>
      </w:pPr>
      <w:r w:rsidRPr="00403824">
        <w:t xml:space="preserve">To highlight the interplay between identity and culture, the course posed the central question: </w:t>
      </w:r>
      <w:r w:rsidR="00E409A2">
        <w:t>“</w:t>
      </w:r>
      <w:r w:rsidRPr="00403824">
        <w:t>What is Japanese?</w:t>
      </w:r>
      <w:r w:rsidR="00E409A2">
        <w:t>”</w:t>
      </w:r>
      <w:r w:rsidRPr="00403824">
        <w:t xml:space="preserve"> The syllabus explored Japanese history </w:t>
      </w:r>
      <w:r>
        <w:rPr>
          <w:rFonts w:eastAsiaTheme="minorEastAsia" w:hint="eastAsia"/>
        </w:rPr>
        <w:t xml:space="preserve">across </w:t>
      </w:r>
      <w:r w:rsidRPr="00403824">
        <w:t>eras, examining ethnic and racial influences on identity, worldview, and cultural practices. For example, in the 16th and 17th centuries, the Japanese "</w:t>
      </w:r>
      <w:r>
        <w:rPr>
          <w:rFonts w:eastAsiaTheme="minorEastAsia" w:hint="eastAsia"/>
        </w:rPr>
        <w:t>s</w:t>
      </w:r>
      <w:r w:rsidRPr="00403824">
        <w:t xml:space="preserve">elf" was shaped in response to the European </w:t>
      </w:r>
      <w:r w:rsidR="00E409A2">
        <w:t>“</w:t>
      </w:r>
      <w:r>
        <w:rPr>
          <w:rFonts w:eastAsiaTheme="minorEastAsia" w:hint="eastAsia"/>
        </w:rPr>
        <w:t>o</w:t>
      </w:r>
      <w:r w:rsidRPr="00403824">
        <w:t>ther,</w:t>
      </w:r>
      <w:r w:rsidR="00E409A2">
        <w:t>”</w:t>
      </w:r>
      <w:r w:rsidRPr="00403824">
        <w:t xml:space="preserve"> influencing religious practices and cultural artifacts. Simultaneously, Chinese migrants and their practices shaped Japanese culture. Analyzing</w:t>
      </w:r>
      <w:r>
        <w:rPr>
          <w:rFonts w:eastAsiaTheme="minorEastAsia" w:hint="eastAsia"/>
        </w:rPr>
        <w:t xml:space="preserve"> such</w:t>
      </w:r>
      <w:r w:rsidRPr="00403824">
        <w:t xml:space="preserve"> works enabled </w:t>
      </w:r>
      <w:r>
        <w:rPr>
          <w:rFonts w:eastAsiaTheme="minorEastAsia" w:hint="eastAsia"/>
        </w:rPr>
        <w:t xml:space="preserve">students </w:t>
      </w:r>
      <w:r w:rsidRPr="00403824">
        <w:t>to recognize the myth of an essentialized Japanese culture and appreciate its complexity</w:t>
      </w:r>
      <w:r>
        <w:rPr>
          <w:rFonts w:eastAsiaTheme="minorEastAsia" w:hint="eastAsia"/>
        </w:rPr>
        <w:t xml:space="preserve">. </w:t>
      </w:r>
      <w:r w:rsidRPr="00403824">
        <w:t xml:space="preserve">While the </w:t>
      </w:r>
      <w:r w:rsidRPr="003D7115">
        <w:t>“</w:t>
      </w:r>
      <w:r>
        <w:rPr>
          <w:rFonts w:eastAsiaTheme="minorEastAsia" w:hint="eastAsia"/>
        </w:rPr>
        <w:t>s</w:t>
      </w:r>
      <w:r w:rsidRPr="003D7115">
        <w:t>elf”</w:t>
      </w:r>
      <w:proofErr w:type="gramStart"/>
      <w:r w:rsidRPr="003D7115">
        <w:rPr>
          <w:rFonts w:eastAsiaTheme="minorEastAsia" w:hint="eastAsia"/>
        </w:rPr>
        <w:t>/</w:t>
      </w:r>
      <w:r w:rsidRPr="003D7115">
        <w:t>“</w:t>
      </w:r>
      <w:proofErr w:type="gramEnd"/>
      <w:r>
        <w:rPr>
          <w:rFonts w:eastAsiaTheme="minorEastAsia" w:hint="eastAsia"/>
        </w:rPr>
        <w:t>o</w:t>
      </w:r>
      <w:r w:rsidRPr="003D7115">
        <w:t>ther”</w:t>
      </w:r>
      <w:r w:rsidRPr="00403824">
        <w:t xml:space="preserve"> </w:t>
      </w:r>
      <w:r>
        <w:rPr>
          <w:rFonts w:eastAsiaTheme="minorEastAsia" w:hint="eastAsia"/>
        </w:rPr>
        <w:t xml:space="preserve">binary may </w:t>
      </w:r>
      <w:r w:rsidRPr="00403824">
        <w:t xml:space="preserve">initially </w:t>
      </w:r>
      <w:r>
        <w:rPr>
          <w:rFonts w:eastAsiaTheme="minorEastAsia" w:hint="eastAsia"/>
        </w:rPr>
        <w:t xml:space="preserve">appear </w:t>
      </w:r>
      <w:r w:rsidRPr="00403824">
        <w:t>structuralist, the poststructuralist approach captures the hybrid</w:t>
      </w:r>
      <w:r>
        <w:t xml:space="preserve"> </w:t>
      </w:r>
      <w:r w:rsidRPr="004B382C">
        <w:t>and</w:t>
      </w:r>
      <w:r>
        <w:rPr>
          <w:rFonts w:eastAsiaTheme="minorEastAsia" w:hint="eastAsia"/>
        </w:rPr>
        <w:t xml:space="preserve"> evolving</w:t>
      </w:r>
      <w:r w:rsidRPr="00403824">
        <w:t xml:space="preserve"> nature of Japanese</w:t>
      </w:r>
      <w:r>
        <w:rPr>
          <w:rFonts w:eastAsia="MS Mincho" w:hint="eastAsia"/>
        </w:rPr>
        <w:t xml:space="preserve"> culture and identity</w:t>
      </w:r>
      <w:r w:rsidRPr="00403824">
        <w:t xml:space="preserve">. </w:t>
      </w:r>
      <w:r>
        <w:rPr>
          <w:rFonts w:eastAsiaTheme="minorEastAsia" w:hint="eastAsia"/>
        </w:rPr>
        <w:t xml:space="preserve">It </w:t>
      </w:r>
      <w:r w:rsidRPr="00403824">
        <w:t>bridges synchronic and diachronic aspects</w:t>
      </w:r>
      <w:r>
        <w:rPr>
          <w:rFonts w:eastAsiaTheme="minorEastAsia"/>
        </w:rPr>
        <w:t xml:space="preserve">, </w:t>
      </w:r>
      <w:r w:rsidRPr="00403824">
        <w:t>acknowledging historicity and fluidity.</w:t>
      </w:r>
    </w:p>
    <w:p w14:paraId="3DAC0494" w14:textId="72361BCB" w:rsidR="001B518E" w:rsidRPr="0028568B" w:rsidRDefault="001B518E" w:rsidP="001B518E">
      <w:pPr>
        <w:pStyle w:val="L2JBody"/>
      </w:pPr>
      <w:r>
        <w:t>Th</w:t>
      </w:r>
      <w:r>
        <w:rPr>
          <w:rFonts w:eastAsiaTheme="minorEastAsia" w:hint="eastAsia"/>
        </w:rPr>
        <w:t xml:space="preserve">is </w:t>
      </w:r>
      <w:r>
        <w:t xml:space="preserve">approach </w:t>
      </w:r>
      <w:r>
        <w:rPr>
          <w:rFonts w:eastAsiaTheme="minorEastAsia" w:hint="eastAsia"/>
        </w:rPr>
        <w:t xml:space="preserve">was </w:t>
      </w:r>
      <w:r>
        <w:t>effective and well-received by students</w:t>
      </w:r>
      <w:r>
        <w:rPr>
          <w:rFonts w:eastAsiaTheme="minorEastAsia" w:hint="eastAsia"/>
        </w:rPr>
        <w:t xml:space="preserve">. </w:t>
      </w:r>
      <w:r>
        <w:t xml:space="preserve"> It </w:t>
      </w:r>
      <w:r>
        <w:rPr>
          <w:rFonts w:eastAsiaTheme="minorEastAsia" w:hint="eastAsia"/>
        </w:rPr>
        <w:t xml:space="preserve">helped </w:t>
      </w:r>
      <w:r>
        <w:t>them deconstruct the view of Japanese as a single ethnicity</w:t>
      </w:r>
      <w:r>
        <w:rPr>
          <w:rFonts w:eastAsiaTheme="minorEastAsia" w:hint="eastAsia"/>
        </w:rPr>
        <w:t xml:space="preserve"> and</w:t>
      </w:r>
      <w:r>
        <w:t xml:space="preserve"> instead </w:t>
      </w:r>
      <w:r>
        <w:rPr>
          <w:rFonts w:eastAsiaTheme="minorEastAsia" w:hint="eastAsia"/>
        </w:rPr>
        <w:t xml:space="preserve">see </w:t>
      </w:r>
      <w:r>
        <w:t>hybrid</w:t>
      </w:r>
      <w:r>
        <w:rPr>
          <w:rFonts w:eastAsiaTheme="minorEastAsia" w:hint="eastAsia"/>
        </w:rPr>
        <w:t>ity</w:t>
      </w:r>
      <w:r>
        <w:t xml:space="preserve">. </w:t>
      </w:r>
      <w:r>
        <w:rPr>
          <w:rFonts w:eastAsiaTheme="minorEastAsia" w:hint="eastAsia"/>
        </w:rPr>
        <w:t xml:space="preserve">It also </w:t>
      </w:r>
      <w:r>
        <w:t xml:space="preserve">reminded them how their </w:t>
      </w:r>
      <w:r>
        <w:rPr>
          <w:rFonts w:eastAsiaTheme="minorEastAsia" w:hint="eastAsia"/>
        </w:rPr>
        <w:t xml:space="preserve">own </w:t>
      </w:r>
      <w:r>
        <w:t xml:space="preserve">racial, ethnic, and cultural backgrounds relate to Japanese identity. They were thus </w:t>
      </w:r>
      <w:r>
        <w:lastRenderedPageBreak/>
        <w:t xml:space="preserve">able to see their </w:t>
      </w:r>
      <w:r w:rsidR="00276AEA">
        <w:t>“</w:t>
      </w:r>
      <w:r>
        <w:rPr>
          <w:rFonts w:eastAsiaTheme="minorEastAsia" w:hint="eastAsia"/>
        </w:rPr>
        <w:t>s</w:t>
      </w:r>
      <w:r>
        <w:t>elf</w:t>
      </w:r>
      <w:r w:rsidR="00276AEA">
        <w:t>”</w:t>
      </w:r>
      <w:r>
        <w:t xml:space="preserve"> in the mirror of </w:t>
      </w:r>
      <w:r w:rsidR="00276AEA">
        <w:t>“</w:t>
      </w:r>
      <w:r>
        <w:rPr>
          <w:rFonts w:eastAsiaTheme="minorEastAsia" w:hint="eastAsia"/>
        </w:rPr>
        <w:t>o</w:t>
      </w:r>
      <w:r>
        <w:t>ther,</w:t>
      </w:r>
      <w:r w:rsidR="00276AEA">
        <w:t xml:space="preserve">” </w:t>
      </w:r>
      <w:r>
        <w:t>and vice versa. For instance, students observed parallels between Japanese Ukiyo-e prints and European Impressionist paintings</w:t>
      </w:r>
      <w:r>
        <w:rPr>
          <w:rFonts w:eastAsia="MS Mincho" w:hint="eastAsia"/>
        </w:rPr>
        <w:t>.</w:t>
      </w:r>
      <w:r>
        <w:rPr>
          <w:rFonts w:eastAsiaTheme="minorEastAsia" w:hint="eastAsia"/>
        </w:rPr>
        <w:t xml:space="preserve"> They</w:t>
      </w:r>
      <w:r>
        <w:t xml:space="preserve"> also examin</w:t>
      </w:r>
      <w:r>
        <w:rPr>
          <w:rFonts w:eastAsiaTheme="minorEastAsia" w:hint="eastAsia"/>
        </w:rPr>
        <w:t>ed</w:t>
      </w:r>
      <w:r>
        <w:t xml:space="preserve"> the European Inquisition and slave trade</w:t>
      </w:r>
      <w:r>
        <w:rPr>
          <w:rFonts w:eastAsiaTheme="minorEastAsia" w:hint="eastAsia"/>
        </w:rPr>
        <w:t xml:space="preserve"> through</w:t>
      </w:r>
      <w:r>
        <w:t xml:space="preserve"> the mirror of Japanese Christian lords’ trading of Japanese people and subsequent persecution of Christians during the 16th and 17th centuries. Such projection processes with intertwined viewpoints enabled students to re-examine and re-evaluate their own racial, ethnic, and cultural backgrounds</w:t>
      </w:r>
      <w:r>
        <w:rPr>
          <w:rFonts w:eastAsiaTheme="minorEastAsia" w:hint="eastAsia"/>
        </w:rPr>
        <w:t>,</w:t>
      </w:r>
      <w:r>
        <w:t xml:space="preserve"> while gaining an alternative view of the world as they perceived Japanese culture and history </w:t>
      </w:r>
      <w:r>
        <w:rPr>
          <w:rFonts w:eastAsiaTheme="minorEastAsia" w:hint="eastAsia"/>
        </w:rPr>
        <w:t>through</w:t>
      </w:r>
      <w:r>
        <w:t xml:space="preserve"> the eyes of </w:t>
      </w:r>
      <w:r>
        <w:rPr>
          <w:rFonts w:eastAsiaTheme="minorEastAsia" w:hint="eastAsia"/>
        </w:rPr>
        <w:t>the</w:t>
      </w:r>
      <w:r>
        <w:t xml:space="preserve"> Japanese "</w:t>
      </w:r>
      <w:r>
        <w:rPr>
          <w:rFonts w:eastAsiaTheme="minorEastAsia" w:hint="eastAsia"/>
        </w:rPr>
        <w:t>o</w:t>
      </w:r>
      <w:r>
        <w:t>ther."</w:t>
      </w:r>
      <w:r>
        <w:rPr>
          <w:rFonts w:eastAsiaTheme="minorEastAsia" w:hint="eastAsia"/>
        </w:rPr>
        <w:t xml:space="preserve"> </w:t>
      </w:r>
    </w:p>
    <w:p w14:paraId="0B388280" w14:textId="77777777" w:rsidR="001B518E" w:rsidRDefault="001B518E" w:rsidP="001B518E">
      <w:pPr>
        <w:pStyle w:val="L2JBody"/>
        <w:rPr>
          <w:rFonts w:eastAsiaTheme="minorEastAsia"/>
        </w:rPr>
      </w:pPr>
      <w:r>
        <w:t>By the semester</w:t>
      </w:r>
      <w:r>
        <w:rPr>
          <w:rFonts w:eastAsiaTheme="minorEastAsia"/>
        </w:rPr>
        <w:t>’</w:t>
      </w:r>
      <w:r>
        <w:rPr>
          <w:rFonts w:eastAsiaTheme="minorEastAsia" w:hint="eastAsia"/>
        </w:rPr>
        <w:t>s end</w:t>
      </w:r>
      <w:r>
        <w:t xml:space="preserve">, students </w:t>
      </w:r>
      <w:r>
        <w:rPr>
          <w:rFonts w:eastAsiaTheme="minorEastAsia" w:hint="eastAsia"/>
        </w:rPr>
        <w:t xml:space="preserve">more deeply </w:t>
      </w:r>
      <w:r>
        <w:t xml:space="preserve">appreciated their racial and ethnic backgrounds </w:t>
      </w:r>
      <w:r>
        <w:rPr>
          <w:rFonts w:eastAsiaTheme="minorEastAsia" w:hint="eastAsia"/>
        </w:rPr>
        <w:t xml:space="preserve">and their historical connection to Japanese identity. </w:t>
      </w:r>
      <w:r>
        <w:t>They learned that the “</w:t>
      </w:r>
      <w:r>
        <w:rPr>
          <w:rFonts w:eastAsiaTheme="minorEastAsia" w:hint="eastAsia"/>
        </w:rPr>
        <w:t>s</w:t>
      </w:r>
      <w:r>
        <w:t>elf” and “</w:t>
      </w:r>
      <w:r>
        <w:rPr>
          <w:rFonts w:eastAsiaTheme="minorEastAsia" w:hint="eastAsia"/>
        </w:rPr>
        <w:t>o</w:t>
      </w:r>
      <w:r>
        <w:t>ther” are multi-dimensional, with multiple “</w:t>
      </w:r>
      <w:r>
        <w:rPr>
          <w:rFonts w:eastAsiaTheme="minorEastAsia" w:hint="eastAsia"/>
        </w:rPr>
        <w:t>o</w:t>
      </w:r>
      <w:r>
        <w:t xml:space="preserve">thers” </w:t>
      </w:r>
      <w:r>
        <w:rPr>
          <w:rFonts w:eastAsiaTheme="minorEastAsia" w:hint="eastAsia"/>
        </w:rPr>
        <w:t>shifting in</w:t>
      </w:r>
      <w:r>
        <w:t xml:space="preserve"> the same </w:t>
      </w:r>
      <w:r>
        <w:rPr>
          <w:rFonts w:eastAsiaTheme="minorEastAsia" w:hint="eastAsia"/>
        </w:rPr>
        <w:t>eras</w:t>
      </w:r>
      <w:r>
        <w:t xml:space="preserve">. Many </w:t>
      </w:r>
      <w:r>
        <w:rPr>
          <w:rFonts w:eastAsiaTheme="minorEastAsia" w:hint="eastAsia"/>
        </w:rPr>
        <w:t xml:space="preserve">noted </w:t>
      </w:r>
      <w:r>
        <w:t xml:space="preserve">in their evaluations that they had learned the value of adopting alternative </w:t>
      </w:r>
      <w:r>
        <w:rPr>
          <w:rFonts w:eastAsiaTheme="minorEastAsia" w:hint="eastAsia"/>
        </w:rPr>
        <w:t xml:space="preserve">worldviews. </w:t>
      </w:r>
      <w:r>
        <w:t xml:space="preserve">This transformative experience </w:t>
      </w:r>
      <w:r>
        <w:rPr>
          <w:rFonts w:eastAsiaTheme="minorEastAsia" w:hint="eastAsia"/>
        </w:rPr>
        <w:t xml:space="preserve">helped </w:t>
      </w:r>
      <w:r>
        <w:t xml:space="preserve">them </w:t>
      </w:r>
      <w:r>
        <w:rPr>
          <w:rFonts w:eastAsiaTheme="minorEastAsia" w:hint="eastAsia"/>
        </w:rPr>
        <w:t xml:space="preserve">critically </w:t>
      </w:r>
      <w:r>
        <w:t xml:space="preserve">engage with identity and hybridity, </w:t>
      </w:r>
      <w:r>
        <w:rPr>
          <w:rFonts w:eastAsiaTheme="minorEastAsia" w:hint="eastAsia"/>
        </w:rPr>
        <w:t>deepening their</w:t>
      </w:r>
      <w:r>
        <w:t xml:space="preserve"> understanding of Japanese culture and </w:t>
      </w:r>
      <w:r>
        <w:rPr>
          <w:rFonts w:eastAsiaTheme="minorEastAsia" w:hint="eastAsia"/>
        </w:rPr>
        <w:t xml:space="preserve">of themselves. </w:t>
      </w:r>
      <w:r w:rsidRPr="00721E3E">
        <w:t xml:space="preserve"> </w:t>
      </w:r>
    </w:p>
    <w:p w14:paraId="11F32F16" w14:textId="77777777" w:rsidR="001B518E" w:rsidRDefault="001B518E" w:rsidP="001B518E">
      <w:pPr>
        <w:pStyle w:val="L2JBody"/>
      </w:pPr>
      <w:r w:rsidRPr="00721E3E">
        <w:t xml:space="preserve">While this study analyzes two student papers in depth, they were illustrative rather than representative. </w:t>
      </w:r>
      <w:r>
        <w:rPr>
          <w:rFonts w:eastAsiaTheme="minorEastAsia" w:hint="eastAsia"/>
        </w:rPr>
        <w:t>M</w:t>
      </w:r>
      <w:r w:rsidRPr="00721E3E">
        <w:t>ost students submitted final papers</w:t>
      </w:r>
      <w:r>
        <w:rPr>
          <w:rFonts w:eastAsiaTheme="minorEastAsia" w:hint="eastAsia"/>
        </w:rPr>
        <w:t xml:space="preserve"> reflecting</w:t>
      </w:r>
      <w:r w:rsidRPr="00721E3E">
        <w:t xml:space="preserve"> nuanced understanding of hybridity and identity. End-of-semester evaluations were overwhelmingly positive, with students commenting that the class helped them reconsider their cultural positions</w:t>
      </w:r>
      <w:r>
        <w:rPr>
          <w:rFonts w:eastAsiaTheme="minorEastAsia" w:hint="eastAsia"/>
        </w:rPr>
        <w:t xml:space="preserve">. </w:t>
      </w:r>
      <w:r w:rsidRPr="00721E3E">
        <w:t>One focal paper</w:t>
      </w:r>
      <w:r>
        <w:rPr>
          <w:rFonts w:eastAsiaTheme="minorEastAsia" w:hint="eastAsia"/>
        </w:rPr>
        <w:t xml:space="preserve"> </w:t>
      </w:r>
      <w:r w:rsidRPr="00721E3E">
        <w:t xml:space="preserve">stood out because it revealed how deeply embedded essentialist discourses </w:t>
      </w:r>
      <w:r>
        <w:rPr>
          <w:rFonts w:eastAsiaTheme="minorEastAsia" w:hint="eastAsia"/>
        </w:rPr>
        <w:t>can remain</w:t>
      </w:r>
      <w:r w:rsidRPr="005D1A4C">
        <w:rPr>
          <w:rFonts w:eastAsiaTheme="minorEastAsia"/>
        </w:rPr>
        <w:t>—</w:t>
      </w:r>
      <w:r w:rsidRPr="00721E3E">
        <w:t xml:space="preserve">even </w:t>
      </w:r>
      <w:r>
        <w:rPr>
          <w:rFonts w:eastAsiaTheme="minorEastAsia" w:hint="eastAsia"/>
        </w:rPr>
        <w:t xml:space="preserve">in courses </w:t>
      </w:r>
      <w:r w:rsidRPr="00721E3E">
        <w:t xml:space="preserve">designed to challenge them. Rather than undermining the course, this underscores the enduring strength of cultural ideologies and the need for </w:t>
      </w:r>
      <w:r>
        <w:rPr>
          <w:rFonts w:eastAsia="MS Mincho" w:hint="eastAsia"/>
        </w:rPr>
        <w:t xml:space="preserve">continued </w:t>
      </w:r>
      <w:r w:rsidRPr="00721E3E">
        <w:t>opportunities for critical reflection in language and culture education.</w:t>
      </w:r>
    </w:p>
    <w:p w14:paraId="72AA95BF" w14:textId="77777777" w:rsidR="001B518E" w:rsidRDefault="001B518E" w:rsidP="001B518E">
      <w:pPr>
        <w:pStyle w:val="L2JH2"/>
      </w:pPr>
    </w:p>
    <w:p w14:paraId="39621684" w14:textId="6922AF43" w:rsidR="001B518E" w:rsidRPr="001B518E" w:rsidRDefault="001B518E" w:rsidP="001B518E">
      <w:pPr>
        <w:pStyle w:val="L2JH2"/>
      </w:pPr>
      <w:r w:rsidRPr="001B518E">
        <w:t xml:space="preserve">Assessment </w:t>
      </w:r>
      <w:r w:rsidRPr="001B518E">
        <w:t xml:space="preserve">Of Transcultural Competence </w:t>
      </w:r>
      <w:proofErr w:type="gramStart"/>
      <w:r w:rsidRPr="001B518E">
        <w:t>In</w:t>
      </w:r>
      <w:proofErr w:type="gramEnd"/>
      <w:r w:rsidRPr="001B518E">
        <w:t xml:space="preserve"> </w:t>
      </w:r>
      <w:r w:rsidRPr="001B518E">
        <w:t xml:space="preserve">Japanese </w:t>
      </w:r>
      <w:r w:rsidRPr="001B518E">
        <w:t xml:space="preserve">Language Education </w:t>
      </w:r>
      <w:proofErr w:type="gramStart"/>
      <w:r w:rsidRPr="001B518E">
        <w:t>And</w:t>
      </w:r>
      <w:proofErr w:type="gramEnd"/>
      <w:r w:rsidRPr="001B518E">
        <w:t xml:space="preserve"> Its Methodological Issues</w:t>
      </w:r>
    </w:p>
    <w:p w14:paraId="4933D962" w14:textId="77777777" w:rsidR="001B518E" w:rsidRDefault="001B518E" w:rsidP="001B518E">
      <w:pPr>
        <w:pStyle w:val="L2JBody"/>
        <w:ind w:firstLine="0"/>
      </w:pPr>
    </w:p>
    <w:p w14:paraId="03069049" w14:textId="1039554C" w:rsidR="001B518E" w:rsidRDefault="001B518E" w:rsidP="001B518E">
      <w:pPr>
        <w:pStyle w:val="L2JBody"/>
        <w:ind w:firstLine="0"/>
      </w:pPr>
      <w:r>
        <w:t xml:space="preserve">Constructive learning experiences require effective assessment of learning objectives. The poststructuralist approach </w:t>
      </w:r>
      <w:r>
        <w:rPr>
          <w:rFonts w:eastAsiaTheme="minorEastAsia" w:hint="eastAsia"/>
        </w:rPr>
        <w:t xml:space="preserve">to </w:t>
      </w:r>
      <w:r>
        <w:t xml:space="preserve">teaching Japanese culture fosters </w:t>
      </w:r>
      <w:r w:rsidR="00276AEA">
        <w:t>“</w:t>
      </w:r>
      <w:r>
        <w:t>transcultural competence,</w:t>
      </w:r>
      <w:r w:rsidR="00276AEA">
        <w:t>”</w:t>
      </w:r>
      <w:r>
        <w:t xml:space="preserve"> encompassing both the ability to navigate languages and cultures and the capacity to view the world from others' perspectives (MLA, 2007). While the former can be partially achieved through knowledge-based methods, the latter requires cultivating learners' sensitivity and empathy for their linguistic and cultural </w:t>
      </w:r>
      <w:r w:rsidR="00276AEA">
        <w:t>“</w:t>
      </w:r>
      <w:r>
        <w:rPr>
          <w:rFonts w:eastAsiaTheme="minorEastAsia" w:hint="eastAsia"/>
        </w:rPr>
        <w:t>o</w:t>
      </w:r>
      <w:r>
        <w:t>ther.</w:t>
      </w:r>
      <w:r w:rsidR="00276AEA">
        <w:t>”</w:t>
      </w:r>
      <w:r>
        <w:t xml:space="preserve"> </w:t>
      </w:r>
      <w:r w:rsidRPr="00204296">
        <w:t>In this context, empathy is not merely an emotional response, but an evolving ethical stance</w:t>
      </w:r>
      <w:bookmarkStart w:id="1" w:name="_Hlk199767114"/>
      <w:r w:rsidRPr="00204296">
        <w:t>—</w:t>
      </w:r>
      <w:bookmarkEnd w:id="1"/>
      <w:r w:rsidRPr="00204296">
        <w:t>a willingness to apprehend and engage with another’s perspective as accurately as possible (Hollan &amp; Throop, 2011).</w:t>
      </w:r>
    </w:p>
    <w:p w14:paraId="2DD9FB31" w14:textId="7F426BE1" w:rsidR="001B518E" w:rsidRDefault="001B518E" w:rsidP="001B518E">
      <w:pPr>
        <w:pStyle w:val="L2JBody"/>
      </w:pPr>
      <w:r w:rsidRPr="00477252">
        <w:t xml:space="preserve">However, empathy as a moral and discursive dimension of transcultural competence has </w:t>
      </w:r>
      <w:r>
        <w:t xml:space="preserve">rarely </w:t>
      </w:r>
      <w:r w:rsidRPr="00477252">
        <w:t xml:space="preserve">been assessed in applied linguistics. This is partly because empathy has often been framed as a subjective affective state, typically approached through psychological or quantitative means, which pose limitations in educational settings. </w:t>
      </w:r>
      <w:r>
        <w:rPr>
          <w:rFonts w:eastAsiaTheme="minorEastAsia" w:hint="eastAsia"/>
        </w:rPr>
        <w:t>M</w:t>
      </w:r>
      <w:r>
        <w:t xml:space="preserve">easuring empathy in foreign language education </w:t>
      </w:r>
      <w:r>
        <w:rPr>
          <w:rFonts w:eastAsiaTheme="minorEastAsia" w:hint="eastAsia"/>
        </w:rPr>
        <w:t xml:space="preserve">remains a genuine challenge. </w:t>
      </w:r>
      <w:r>
        <w:t xml:space="preserve">Nevertheless, addressing </w:t>
      </w:r>
      <w:r>
        <w:rPr>
          <w:rFonts w:eastAsiaTheme="minorEastAsia" w:hint="eastAsia"/>
        </w:rPr>
        <w:t xml:space="preserve">it </w:t>
      </w:r>
      <w:r>
        <w:t>is essential, as arguably</w:t>
      </w:r>
      <w:r w:rsidRPr="00E94F40">
        <w:rPr>
          <w:strike/>
        </w:rPr>
        <w:t xml:space="preserve"> </w:t>
      </w:r>
      <w:r>
        <w:t xml:space="preserve">the </w:t>
      </w:r>
      <w:proofErr w:type="gramStart"/>
      <w:r>
        <w:t>ultimate aim</w:t>
      </w:r>
      <w:proofErr w:type="gramEnd"/>
      <w:r>
        <w:t xml:space="preserve"> of </w:t>
      </w:r>
      <w:r>
        <w:rPr>
          <w:rFonts w:eastAsiaTheme="minorEastAsia" w:hint="eastAsia"/>
        </w:rPr>
        <w:t xml:space="preserve">language </w:t>
      </w:r>
      <w:r>
        <w:t xml:space="preserve">teaching is to foster intercultural citizenship (Porto &amp; Byram, 2015) and promote cosmopolitan practice (Hull et al., 2010). </w:t>
      </w:r>
      <w:r>
        <w:rPr>
          <w:rFonts w:eastAsiaTheme="minorEastAsia" w:hint="eastAsia"/>
        </w:rPr>
        <w:t>T</w:t>
      </w:r>
      <w:r>
        <w:t>he MLA (2007) emphasizes</w:t>
      </w:r>
      <w:r>
        <w:rPr>
          <w:rFonts w:eastAsiaTheme="minorEastAsia" w:hint="eastAsia"/>
        </w:rPr>
        <w:t xml:space="preserve"> that</w:t>
      </w:r>
      <w:r>
        <w:t xml:space="preserve"> university-level language education </w:t>
      </w:r>
      <w:r>
        <w:rPr>
          <w:rFonts w:eastAsiaTheme="minorEastAsia" w:hint="eastAsia"/>
        </w:rPr>
        <w:t xml:space="preserve">should form </w:t>
      </w:r>
      <w:r w:rsidR="00276AEA">
        <w:t>“</w:t>
      </w:r>
      <w:r>
        <w:t>a broader and more coherent curriculum where language, culture, and literature are taught as a continuous whole</w:t>
      </w:r>
      <w:r w:rsidR="00276AEA">
        <w:t>”</w:t>
      </w:r>
      <w:r>
        <w:t xml:space="preserve"> (p. 3) within "the context of humanistic learning" (p. 4). The goal is to develop learners as better human beings and global citizens who respect legitimate differences while retaining critical awareness. </w:t>
      </w:r>
      <w:r w:rsidRPr="005D6205">
        <w:t>Successful language learning enables the recognition and c</w:t>
      </w:r>
      <w:r>
        <w:rPr>
          <w:rFonts w:hint="eastAsia"/>
        </w:rPr>
        <w:t xml:space="preserve">onstruction </w:t>
      </w:r>
      <w:r w:rsidRPr="005D6205">
        <w:t xml:space="preserve">of new spaces </w:t>
      </w:r>
      <w:r>
        <w:rPr>
          <w:rFonts w:eastAsiaTheme="minorEastAsia" w:hint="eastAsia"/>
        </w:rPr>
        <w:t xml:space="preserve">grounded in </w:t>
      </w:r>
      <w:r w:rsidRPr="005D6205">
        <w:t>global ethics and universal human rights</w:t>
      </w:r>
      <w:r w:rsidRPr="00A25F12">
        <w:t xml:space="preserve"> </w:t>
      </w:r>
      <w:r>
        <w:t xml:space="preserve">(Appiah, 2007; Byram &amp; </w:t>
      </w:r>
      <w:r>
        <w:lastRenderedPageBreak/>
        <w:t xml:space="preserve">Guilherme, 2000; Hansen, 2010; Hull et al., 2010; Porto et al., 2018). In today’s globalized world, where </w:t>
      </w:r>
      <w:r>
        <w:rPr>
          <w:rFonts w:eastAsiaTheme="minorEastAsia" w:hint="eastAsia"/>
        </w:rPr>
        <w:t xml:space="preserve">diverse </w:t>
      </w:r>
      <w:r>
        <w:t xml:space="preserve">values and worldviews collide, intertwine, and evoke </w:t>
      </w:r>
      <w:r>
        <w:rPr>
          <w:rFonts w:eastAsiaTheme="minorEastAsia" w:hint="eastAsia"/>
        </w:rPr>
        <w:t xml:space="preserve">strong </w:t>
      </w:r>
      <w:r>
        <w:t>emotions, embracing empathy is essential for becoming a competent cosmopolitan citizen.</w:t>
      </w:r>
    </w:p>
    <w:p w14:paraId="1E8642E6" w14:textId="214704D1" w:rsidR="001B518E" w:rsidRDefault="001B518E" w:rsidP="001B518E">
      <w:pPr>
        <w:pStyle w:val="L2JBody"/>
        <w:rPr>
          <w:rFonts w:eastAsiaTheme="minorEastAsia"/>
        </w:rPr>
      </w:pPr>
      <w:r w:rsidRPr="00477252">
        <w:t xml:space="preserve">This study therefore approaches empathy not as a </w:t>
      </w:r>
      <w:r>
        <w:rPr>
          <w:rFonts w:eastAsiaTheme="minorEastAsia" w:hint="eastAsia"/>
        </w:rPr>
        <w:t xml:space="preserve">measurable </w:t>
      </w:r>
      <w:r w:rsidRPr="00477252">
        <w:t xml:space="preserve">psychological </w:t>
      </w:r>
      <w:r>
        <w:rPr>
          <w:rFonts w:eastAsiaTheme="minorEastAsia" w:hint="eastAsia"/>
        </w:rPr>
        <w:t xml:space="preserve">trait, </w:t>
      </w:r>
      <w:r w:rsidRPr="00477252">
        <w:t>but as a discursively constructed stance</w:t>
      </w:r>
      <w:r>
        <w:rPr>
          <w:rFonts w:eastAsiaTheme="minorEastAsia" w:hint="eastAsia"/>
        </w:rPr>
        <w:t xml:space="preserve"> made </w:t>
      </w:r>
      <w:r w:rsidRPr="00477252">
        <w:t xml:space="preserve">visible through language use. </w:t>
      </w:r>
      <w:r>
        <w:rPr>
          <w:rFonts w:eastAsiaTheme="minorEastAsia" w:hint="eastAsia"/>
        </w:rPr>
        <w:t xml:space="preserve">It </w:t>
      </w:r>
      <w:r>
        <w:t xml:space="preserve">examines the moral dimension of transcultural competence, which the course aimed to cultivate throughout the semester. The poststructuralist approach, as outlined earlier, sought to dissolve the boundary between learners' perceptions of </w:t>
      </w:r>
      <w:r w:rsidR="00276AEA">
        <w:t>“</w:t>
      </w:r>
      <w:r>
        <w:rPr>
          <w:rFonts w:eastAsiaTheme="minorEastAsia" w:hint="eastAsia"/>
        </w:rPr>
        <w:t>s</w:t>
      </w:r>
      <w:r>
        <w:t>elf</w:t>
      </w:r>
      <w:r w:rsidR="00276AEA">
        <w:t>”</w:t>
      </w:r>
      <w:r>
        <w:t xml:space="preserve"> and </w:t>
      </w:r>
      <w:r w:rsidR="00276AEA">
        <w:t>“</w:t>
      </w:r>
      <w:r>
        <w:rPr>
          <w:rFonts w:eastAsiaTheme="minorEastAsia" w:hint="eastAsia"/>
        </w:rPr>
        <w:t>o</w:t>
      </w:r>
      <w:r>
        <w:t>ther.</w:t>
      </w:r>
      <w:r w:rsidR="00276AEA">
        <w:t>”</w:t>
      </w:r>
      <w:r>
        <w:t xml:space="preserve"> Its goal was to foster empathy for learners’ cultural </w:t>
      </w:r>
      <w:r w:rsidR="00276AEA">
        <w:t>“</w:t>
      </w:r>
      <w:r>
        <w:rPr>
          <w:rFonts w:eastAsiaTheme="minorEastAsia" w:hint="eastAsia"/>
        </w:rPr>
        <w:t>o</w:t>
      </w:r>
      <w:r>
        <w:t>ther,</w:t>
      </w:r>
      <w:r w:rsidR="00276AEA">
        <w:t>”</w:t>
      </w:r>
      <w:r>
        <w:t xml:space="preserve"> enabling them to construct proxy </w:t>
      </w:r>
      <w:r>
        <w:rPr>
          <w:rFonts w:eastAsiaTheme="minorEastAsia" w:hint="eastAsia"/>
        </w:rPr>
        <w:t xml:space="preserve">identities </w:t>
      </w:r>
      <w:r>
        <w:rPr>
          <w:rFonts w:eastAsiaTheme="minorEastAsia"/>
        </w:rPr>
        <w:t xml:space="preserve">that </w:t>
      </w:r>
      <w:r>
        <w:t xml:space="preserve">transcend cultural boundaries. </w:t>
      </w:r>
      <w:r w:rsidRPr="00477252">
        <w:t xml:space="preserve">In line with this </w:t>
      </w:r>
      <w:r>
        <w:rPr>
          <w:rFonts w:eastAsiaTheme="minorEastAsia" w:hint="eastAsia"/>
        </w:rPr>
        <w:t>framework</w:t>
      </w:r>
      <w:r w:rsidRPr="00477252">
        <w:t>, the study analyzes two final papers</w:t>
      </w:r>
      <w:r>
        <w:rPr>
          <w:rFonts w:eastAsiaTheme="minorEastAsia" w:hint="eastAsia"/>
        </w:rPr>
        <w:t xml:space="preserve">, </w:t>
      </w:r>
      <w:r w:rsidRPr="00477252">
        <w:t xml:space="preserve">attending to how empathy is indexed, negotiated, or resisted through rhetorical choices and discursive positioning. These texts are not </w:t>
      </w:r>
      <w:r>
        <w:rPr>
          <w:rFonts w:eastAsiaTheme="minorEastAsia" w:hint="eastAsia"/>
        </w:rPr>
        <w:t xml:space="preserve">viewed </w:t>
      </w:r>
      <w:r w:rsidRPr="00477252">
        <w:t>as transparent windows into students’ feelings, but as socially situated performances shaped by ideolog</w:t>
      </w:r>
      <w:r>
        <w:rPr>
          <w:rFonts w:eastAsiaTheme="minorEastAsia" w:hint="eastAsia"/>
        </w:rPr>
        <w:t>y</w:t>
      </w:r>
      <w:r w:rsidRPr="00477252">
        <w:t>, affect</w:t>
      </w:r>
      <w:r>
        <w:rPr>
          <w:rFonts w:eastAsiaTheme="minorEastAsia" w:hint="eastAsia"/>
        </w:rPr>
        <w:t xml:space="preserve">, </w:t>
      </w:r>
      <w:r w:rsidRPr="00477252">
        <w:t xml:space="preserve">and educational contexts. </w:t>
      </w:r>
    </w:p>
    <w:p w14:paraId="1FC12F99" w14:textId="77777777" w:rsidR="001B518E" w:rsidRPr="00F16129" w:rsidRDefault="001B518E" w:rsidP="001B518E">
      <w:pPr>
        <w:pStyle w:val="L2JBody"/>
        <w:rPr>
          <w:rFonts w:eastAsiaTheme="minorEastAsia"/>
        </w:rPr>
      </w:pPr>
      <w:r w:rsidRPr="00477252">
        <w:t>By treating empathy as a socially and ideologically mediated representation rather than an inherent trait, this approach provides a nuanced understanding of how transcultural awareness emerges</w:t>
      </w:r>
      <w:r w:rsidRPr="00F16129">
        <w:rPr>
          <w:rFonts w:eastAsiaTheme="minorEastAsia"/>
        </w:rPr>
        <w:t>—</w:t>
      </w:r>
      <w:r>
        <w:rPr>
          <w:rFonts w:eastAsiaTheme="minorEastAsia" w:hint="eastAsia"/>
        </w:rPr>
        <w:t>o</w:t>
      </w:r>
      <w:r w:rsidRPr="00477252">
        <w:t>r fails to emerge</w:t>
      </w:r>
      <w:bookmarkStart w:id="2" w:name="_Hlk199767809"/>
      <w:r w:rsidRPr="00F16129">
        <w:rPr>
          <w:rFonts w:eastAsiaTheme="minorEastAsia"/>
        </w:rPr>
        <w:t>—</w:t>
      </w:r>
      <w:bookmarkEnd w:id="2"/>
      <w:r w:rsidRPr="00477252">
        <w:t xml:space="preserve">in learner discourse. </w:t>
      </w:r>
      <w:r>
        <w:rPr>
          <w:rFonts w:eastAsiaTheme="minorEastAsia" w:hint="eastAsia"/>
        </w:rPr>
        <w:t xml:space="preserve">Comparing </w:t>
      </w:r>
      <w:r w:rsidRPr="00477252">
        <w:t>the two papers</w:t>
      </w:r>
      <w:r>
        <w:rPr>
          <w:rFonts w:eastAsiaTheme="minorEastAsia" w:hint="eastAsia"/>
        </w:rPr>
        <w:t xml:space="preserve"> </w:t>
      </w:r>
      <w:r>
        <w:rPr>
          <w:rFonts w:eastAsiaTheme="minorEastAsia"/>
        </w:rPr>
        <w:t>through</w:t>
      </w:r>
      <w:r>
        <w:rPr>
          <w:rFonts w:eastAsiaTheme="minorEastAsia" w:hint="eastAsia"/>
        </w:rPr>
        <w:t xml:space="preserve"> </w:t>
      </w:r>
      <w:r w:rsidRPr="00477252">
        <w:t>sociolinguistic tools informed by poststructuralist theory (Blommaert, 2005)</w:t>
      </w:r>
      <w:r>
        <w:rPr>
          <w:rFonts w:eastAsiaTheme="minorEastAsia" w:hint="eastAsia"/>
        </w:rPr>
        <w:t xml:space="preserve"> </w:t>
      </w:r>
      <w:r w:rsidRPr="00477252">
        <w:t>offers insights into the pedagogical possibilities and limitations of fostering empathy as an ethical orientation in language and culture education.</w:t>
      </w:r>
    </w:p>
    <w:p w14:paraId="308A5BCE" w14:textId="77777777" w:rsidR="001B518E" w:rsidRDefault="001B518E" w:rsidP="001B518E">
      <w:pPr>
        <w:pStyle w:val="L2JH2"/>
      </w:pPr>
    </w:p>
    <w:p w14:paraId="514BC358" w14:textId="6527523A" w:rsidR="001B518E" w:rsidRPr="003F5AD5" w:rsidRDefault="001B518E" w:rsidP="001B518E">
      <w:pPr>
        <w:pStyle w:val="L2JH2"/>
        <w:rPr>
          <w:rFonts w:eastAsiaTheme="minorEastAsia"/>
        </w:rPr>
      </w:pPr>
      <w:r w:rsidRPr="003F5AD5">
        <w:t xml:space="preserve">Data </w:t>
      </w:r>
      <w:r>
        <w:rPr>
          <w:rFonts w:eastAsiaTheme="minorEastAsia"/>
        </w:rPr>
        <w:t>C</w:t>
      </w:r>
      <w:r w:rsidRPr="003F5AD5">
        <w:t xml:space="preserve">ollection </w:t>
      </w:r>
      <w:proofErr w:type="gramStart"/>
      <w:r w:rsidRPr="003F5AD5">
        <w:t>And</w:t>
      </w:r>
      <w:proofErr w:type="gramEnd"/>
      <w:r w:rsidRPr="003F5AD5">
        <w:t xml:space="preserve"> </w:t>
      </w:r>
      <w:r>
        <w:rPr>
          <w:rFonts w:eastAsiaTheme="minorEastAsia"/>
        </w:rPr>
        <w:t>S</w:t>
      </w:r>
      <w:r w:rsidRPr="003F5AD5">
        <w:t xml:space="preserve">election </w:t>
      </w:r>
      <w:r>
        <w:rPr>
          <w:rFonts w:eastAsiaTheme="minorEastAsia"/>
        </w:rPr>
        <w:t>P</w:t>
      </w:r>
      <w:r w:rsidRPr="003F5AD5">
        <w:t>rocedure</w:t>
      </w:r>
    </w:p>
    <w:p w14:paraId="1B464AC2" w14:textId="77777777" w:rsidR="001B518E" w:rsidRDefault="001B518E" w:rsidP="001B518E">
      <w:pPr>
        <w:pStyle w:val="L2JBody"/>
        <w:ind w:firstLine="0"/>
      </w:pPr>
    </w:p>
    <w:p w14:paraId="6291DABD" w14:textId="46F0B46B" w:rsidR="001B518E" w:rsidRDefault="001B518E" w:rsidP="001B518E">
      <w:pPr>
        <w:pStyle w:val="L2JBody"/>
        <w:ind w:firstLine="0"/>
      </w:pPr>
      <w:r w:rsidRPr="003F5AD5">
        <w:t xml:space="preserve">The data for this study’s discourse analysis comprised two final papers written by individual students. At the semester's end, all students were tasked with writing about a Japanese cultural subject of their choice. The assignment aimed to deepen their </w:t>
      </w:r>
      <w:r>
        <w:rPr>
          <w:rFonts w:hint="eastAsia"/>
        </w:rPr>
        <w:t xml:space="preserve">interest </w:t>
      </w:r>
      <w:r w:rsidRPr="003F5AD5">
        <w:t xml:space="preserve">while fostering analytical </w:t>
      </w:r>
      <w:r>
        <w:rPr>
          <w:rFonts w:hint="eastAsia"/>
        </w:rPr>
        <w:t xml:space="preserve">and </w:t>
      </w:r>
      <w:r w:rsidRPr="003F5AD5">
        <w:t>research skills</w:t>
      </w:r>
      <w:r>
        <w:rPr>
          <w:rFonts w:hint="eastAsia"/>
        </w:rPr>
        <w:t xml:space="preserve">. </w:t>
      </w:r>
      <w:r w:rsidRPr="003F5AD5">
        <w:t xml:space="preserve"> </w:t>
      </w:r>
      <w:r>
        <w:rPr>
          <w:rFonts w:hint="eastAsia"/>
        </w:rPr>
        <w:t>I</w:t>
      </w:r>
      <w:r w:rsidRPr="003F5AD5">
        <w:t xml:space="preserve">t accounted for 30% of the final grade, </w:t>
      </w:r>
      <w:r>
        <w:rPr>
          <w:rFonts w:hint="eastAsia"/>
        </w:rPr>
        <w:t xml:space="preserve">and </w:t>
      </w:r>
      <w:r w:rsidRPr="003F5AD5">
        <w:t>students dedicated substantial time to selecting topics such as Japanese popular music, history, animation, and film.</w:t>
      </w:r>
      <w:r>
        <w:rPr>
          <w:rFonts w:hint="eastAsia"/>
        </w:rPr>
        <w:t xml:space="preserve"> </w:t>
      </w:r>
    </w:p>
    <w:p w14:paraId="1081615A" w14:textId="77777777" w:rsidR="001B518E" w:rsidRDefault="001B518E" w:rsidP="001B518E">
      <w:pPr>
        <w:pStyle w:val="L2JBody"/>
      </w:pPr>
      <w:r w:rsidRPr="003F5AD5">
        <w:t>Students followed specific criteria: (1) choosing a Japanese cultural topic personally or culturally</w:t>
      </w:r>
      <w:r>
        <w:rPr>
          <w:rFonts w:hint="eastAsia"/>
        </w:rPr>
        <w:t xml:space="preserve"> relevant to them</w:t>
      </w:r>
      <w:r w:rsidRPr="003F5AD5">
        <w:t xml:space="preserve">, (2) discussing its historical and social significance, and (3) comparing it to their own culture, </w:t>
      </w:r>
      <w:r>
        <w:rPr>
          <w:rFonts w:hint="eastAsia"/>
        </w:rPr>
        <w:t xml:space="preserve">with an emphasis on </w:t>
      </w:r>
      <w:r w:rsidRPr="003F5AD5">
        <w:t>similarit</w:t>
      </w:r>
      <w:r>
        <w:rPr>
          <w:rFonts w:hint="eastAsia"/>
        </w:rPr>
        <w:t>y</w:t>
      </w:r>
      <w:r w:rsidRPr="003F5AD5">
        <w:t xml:space="preserve"> rather than difference. These guidelines aligned with the poststructuralist theory under</w:t>
      </w:r>
      <w:r>
        <w:rPr>
          <w:rFonts w:hint="eastAsia"/>
        </w:rPr>
        <w:t xml:space="preserve">pinning </w:t>
      </w:r>
      <w:r w:rsidRPr="003F5AD5">
        <w:t xml:space="preserve">the course, encouraging students to challenge essentialized views and </w:t>
      </w:r>
      <w:r>
        <w:rPr>
          <w:rFonts w:hint="eastAsia"/>
        </w:rPr>
        <w:t xml:space="preserve">explore </w:t>
      </w:r>
      <w:r w:rsidRPr="003F5AD5">
        <w:t xml:space="preserve">connections </w:t>
      </w:r>
      <w:r>
        <w:rPr>
          <w:rFonts w:hint="eastAsia"/>
        </w:rPr>
        <w:t xml:space="preserve">to </w:t>
      </w:r>
      <w:r w:rsidRPr="003F5AD5">
        <w:t>their own</w:t>
      </w:r>
      <w:r>
        <w:rPr>
          <w:rFonts w:hint="eastAsia"/>
        </w:rPr>
        <w:t xml:space="preserve"> backgrounds</w:t>
      </w:r>
      <w:r w:rsidRPr="003F5AD5">
        <w:t xml:space="preserve">. The final assignment </w:t>
      </w:r>
      <w:r>
        <w:rPr>
          <w:rFonts w:hint="eastAsia"/>
        </w:rPr>
        <w:t xml:space="preserve">served as a </w:t>
      </w:r>
      <w:r w:rsidRPr="003F5AD5">
        <w:t xml:space="preserve">valuable </w:t>
      </w:r>
      <w:r>
        <w:rPr>
          <w:rFonts w:hint="eastAsia"/>
        </w:rPr>
        <w:t xml:space="preserve">tool for evaluating </w:t>
      </w:r>
      <w:r w:rsidRPr="003F5AD5">
        <w:t>curriculum</w:t>
      </w:r>
      <w:r>
        <w:rPr>
          <w:rFonts w:hint="eastAsia"/>
        </w:rPr>
        <w:t xml:space="preserve"> effectiveness. </w:t>
      </w:r>
      <w:r w:rsidRPr="00F91044">
        <w:t xml:space="preserve"> </w:t>
      </w:r>
      <w:r>
        <w:rPr>
          <w:rFonts w:hint="eastAsia"/>
        </w:rPr>
        <w:t xml:space="preserve"> </w:t>
      </w:r>
    </w:p>
    <w:p w14:paraId="4E806142" w14:textId="77777777" w:rsidR="001B518E" w:rsidRDefault="001B518E" w:rsidP="001B518E">
      <w:pPr>
        <w:pStyle w:val="L2JBody"/>
        <w:rPr>
          <w:rFonts w:eastAsiaTheme="minorEastAsia"/>
        </w:rPr>
      </w:pPr>
      <w:r>
        <w:t xml:space="preserve">Students were informed that grading would be based on academic criteria, including research quality, coherent presentation, and logical argumentation. After </w:t>
      </w:r>
      <w:r w:rsidRPr="000F1A81">
        <w:t>the semester, I</w:t>
      </w:r>
      <w:r>
        <w:rPr>
          <w:rFonts w:ascii="MS Mincho" w:eastAsia="MS Mincho" w:hAnsi="MS Mincho" w:cs="MS Mincho" w:hint="eastAsia"/>
        </w:rPr>
        <w:t xml:space="preserve"> </w:t>
      </w:r>
      <w:r>
        <w:t xml:space="preserve">reviewed the papers again for </w:t>
      </w:r>
      <w:r>
        <w:rPr>
          <w:rFonts w:eastAsiaTheme="minorEastAsia" w:hint="eastAsia"/>
        </w:rPr>
        <w:t xml:space="preserve">research and </w:t>
      </w:r>
      <w:r>
        <w:t>curricul</w:t>
      </w:r>
      <w:r>
        <w:rPr>
          <w:rFonts w:eastAsiaTheme="minorEastAsia" w:hint="eastAsia"/>
        </w:rPr>
        <w:t xml:space="preserve">ar </w:t>
      </w:r>
      <w:r>
        <w:t>feedback</w:t>
      </w:r>
      <w:r>
        <w:rPr>
          <w:rFonts w:eastAsiaTheme="minorEastAsia" w:hint="eastAsia"/>
        </w:rPr>
        <w:t>. A</w:t>
      </w:r>
      <w:r>
        <w:t xml:space="preserve">ll students </w:t>
      </w:r>
      <w:r>
        <w:rPr>
          <w:rFonts w:eastAsiaTheme="minorEastAsia" w:hint="eastAsia"/>
        </w:rPr>
        <w:t xml:space="preserve">had signed informed consent forms approving the use of their work under conditions of anonymity. </w:t>
      </w:r>
    </w:p>
    <w:p w14:paraId="2E1FF738" w14:textId="77777777" w:rsidR="001B518E" w:rsidRPr="0011414B" w:rsidRDefault="001B518E" w:rsidP="001B518E">
      <w:pPr>
        <w:pStyle w:val="L2JBody"/>
      </w:pPr>
      <w:r>
        <w:t>T</w:t>
      </w:r>
      <w:r>
        <w:rPr>
          <w:rFonts w:eastAsiaTheme="minorEastAsia" w:hint="eastAsia"/>
        </w:rPr>
        <w:t>he t</w:t>
      </w:r>
      <w:r>
        <w:t xml:space="preserve">wo papers selected for this study </w:t>
      </w:r>
      <w:r w:rsidRPr="000F1A81">
        <w:t xml:space="preserve">were chosen </w:t>
      </w:r>
      <w:r>
        <w:rPr>
          <w:rFonts w:eastAsiaTheme="minorEastAsia" w:hint="eastAsia"/>
        </w:rPr>
        <w:t xml:space="preserve">not </w:t>
      </w:r>
      <w:r w:rsidRPr="000F1A81">
        <w:t xml:space="preserve">for their representativeness, but </w:t>
      </w:r>
      <w:r>
        <w:rPr>
          <w:rFonts w:eastAsiaTheme="minorEastAsia"/>
        </w:rPr>
        <w:t xml:space="preserve">for </w:t>
      </w:r>
      <w:r w:rsidRPr="000F1A81">
        <w:t>their discursive contrast.</w:t>
      </w:r>
      <w:r w:rsidDel="000F1A81">
        <w:t xml:space="preserve"> </w:t>
      </w:r>
      <w:r>
        <w:rPr>
          <w:rFonts w:eastAsiaTheme="minorEastAsia" w:hint="eastAsia"/>
        </w:rPr>
        <w:t>B</w:t>
      </w:r>
      <w:r>
        <w:t xml:space="preserve">oth students </w:t>
      </w:r>
      <w:r>
        <w:rPr>
          <w:rFonts w:eastAsiaTheme="minorEastAsia" w:hint="eastAsia"/>
        </w:rPr>
        <w:t xml:space="preserve">selected </w:t>
      </w:r>
      <w:r>
        <w:t xml:space="preserve">the same </w:t>
      </w:r>
      <w:r>
        <w:rPr>
          <w:rFonts w:eastAsiaTheme="minorEastAsia" w:hint="eastAsia"/>
        </w:rPr>
        <w:t xml:space="preserve">cultural </w:t>
      </w:r>
      <w:r>
        <w:t>topic</w:t>
      </w:r>
      <w:r w:rsidRPr="00BA33FD">
        <w:rPr>
          <w:rFonts w:eastAsiaTheme="minorEastAsia"/>
        </w:rPr>
        <w:t>—</w:t>
      </w:r>
      <w:r w:rsidRPr="00C519C4">
        <w:rPr>
          <w:rFonts w:eastAsiaTheme="minorEastAsia" w:hint="eastAsia"/>
          <w:i/>
          <w:iCs/>
        </w:rPr>
        <w:t>hikikomori</w:t>
      </w:r>
      <w:r w:rsidRPr="00BA33FD">
        <w:rPr>
          <w:rFonts w:eastAsiaTheme="minorEastAsia"/>
        </w:rPr>
        <w:t>—</w:t>
      </w:r>
      <w:r>
        <w:rPr>
          <w:rFonts w:eastAsiaTheme="minorEastAsia"/>
        </w:rPr>
        <w:t>and</w:t>
      </w:r>
      <w:r>
        <w:t xml:space="preserve"> shared similar socio-economic and racial backgrounds, </w:t>
      </w:r>
      <w:r>
        <w:rPr>
          <w:rFonts w:eastAsiaTheme="minorEastAsia" w:hint="eastAsia"/>
        </w:rPr>
        <w:t xml:space="preserve">as well as </w:t>
      </w:r>
      <w:r>
        <w:t xml:space="preserve">histories of mental health </w:t>
      </w:r>
      <w:r>
        <w:rPr>
          <w:rFonts w:eastAsiaTheme="minorEastAsia" w:hint="eastAsia"/>
        </w:rPr>
        <w:t>challenges</w:t>
      </w:r>
      <w:r>
        <w:t>. They were highly motivated</w:t>
      </w:r>
      <w:r>
        <w:rPr>
          <w:rFonts w:eastAsiaTheme="minorEastAsia" w:hint="eastAsia"/>
        </w:rPr>
        <w:t xml:space="preserve"> and earned</w:t>
      </w:r>
      <w:r>
        <w:t xml:space="preserve"> the highest grades on the assignment. </w:t>
      </w:r>
      <w:r>
        <w:rPr>
          <w:rFonts w:eastAsiaTheme="minorEastAsia" w:hint="eastAsia"/>
        </w:rPr>
        <w:t xml:space="preserve">However, </w:t>
      </w:r>
      <w:r>
        <w:t>the</w:t>
      </w:r>
      <w:r>
        <w:rPr>
          <w:rFonts w:eastAsiaTheme="minorEastAsia" w:hint="eastAsia"/>
        </w:rPr>
        <w:t>ir</w:t>
      </w:r>
      <w:r>
        <w:t xml:space="preserve"> papers diverged </w:t>
      </w:r>
      <w:r>
        <w:rPr>
          <w:rFonts w:eastAsiaTheme="minorEastAsia"/>
        </w:rPr>
        <w:t>markedly in</w:t>
      </w:r>
      <w:r>
        <w:t xml:space="preserve"> tone, </w:t>
      </w:r>
      <w:r>
        <w:rPr>
          <w:rFonts w:eastAsiaTheme="minorEastAsia" w:hint="eastAsia"/>
        </w:rPr>
        <w:t xml:space="preserve">rhetorical </w:t>
      </w:r>
      <w:r>
        <w:rPr>
          <w:rFonts w:eastAsiaTheme="minorEastAsia"/>
        </w:rPr>
        <w:t>positioning</w:t>
      </w:r>
      <w:r>
        <w:rPr>
          <w:rFonts w:eastAsiaTheme="minorEastAsia" w:hint="eastAsia"/>
        </w:rPr>
        <w:t xml:space="preserve">, and representation of cultural </w:t>
      </w:r>
      <w:r>
        <w:rPr>
          <w:rFonts w:eastAsiaTheme="minorEastAsia"/>
        </w:rPr>
        <w:t>“</w:t>
      </w:r>
      <w:r>
        <w:rPr>
          <w:rFonts w:eastAsiaTheme="minorEastAsia" w:hint="eastAsia"/>
        </w:rPr>
        <w:t>others.</w:t>
      </w:r>
      <w:r>
        <w:rPr>
          <w:rFonts w:eastAsiaTheme="minorEastAsia"/>
        </w:rPr>
        <w:t>”</w:t>
      </w:r>
      <w:r>
        <w:rPr>
          <w:rFonts w:eastAsiaTheme="minorEastAsia" w:hint="eastAsia"/>
        </w:rPr>
        <w:t xml:space="preserve"> While many students</w:t>
      </w:r>
      <w:r>
        <w:rPr>
          <w:rFonts w:eastAsiaTheme="minorEastAsia"/>
        </w:rPr>
        <w:t>’</w:t>
      </w:r>
      <w:r>
        <w:rPr>
          <w:rFonts w:eastAsiaTheme="minorEastAsia" w:hint="eastAsia"/>
        </w:rPr>
        <w:t xml:space="preserve"> papers reflected critical engagement with hybridity, these two offered a unique opportunity to examine how students with similar </w:t>
      </w:r>
      <w:r>
        <w:rPr>
          <w:rFonts w:eastAsiaTheme="minorEastAsia"/>
        </w:rPr>
        <w:t>profiles</w:t>
      </w:r>
      <w:r>
        <w:rPr>
          <w:rFonts w:eastAsiaTheme="minorEastAsia" w:hint="eastAsia"/>
        </w:rPr>
        <w:t xml:space="preserve"> and academic performance can arrive at fundamentally different </w:t>
      </w:r>
      <w:r>
        <w:rPr>
          <w:rFonts w:eastAsiaTheme="minorEastAsia"/>
        </w:rPr>
        <w:t>discursive</w:t>
      </w:r>
      <w:r>
        <w:rPr>
          <w:rFonts w:eastAsiaTheme="minorEastAsia" w:hint="eastAsia"/>
        </w:rPr>
        <w:t xml:space="preserve"> </w:t>
      </w:r>
      <w:r>
        <w:rPr>
          <w:rFonts w:eastAsiaTheme="minorEastAsia"/>
        </w:rPr>
        <w:t>constructions</w:t>
      </w:r>
      <w:r>
        <w:rPr>
          <w:rFonts w:eastAsiaTheme="minorEastAsia" w:hint="eastAsia"/>
        </w:rPr>
        <w:t xml:space="preserve"> of empathy and identity. </w:t>
      </w:r>
      <w:r w:rsidRPr="0011414B">
        <w:t xml:space="preserve">This </w:t>
      </w:r>
      <w:r>
        <w:rPr>
          <w:rFonts w:eastAsiaTheme="minorEastAsia" w:hint="eastAsia"/>
        </w:rPr>
        <w:t xml:space="preserve">contrast </w:t>
      </w:r>
      <w:r w:rsidRPr="0011414B">
        <w:t xml:space="preserve">prompted </w:t>
      </w:r>
      <w:r>
        <w:rPr>
          <w:rFonts w:eastAsiaTheme="minorEastAsia" w:hint="eastAsia"/>
        </w:rPr>
        <w:t xml:space="preserve">a closer discourse analysis of the linguistic and ideological factors underlying these differences. </w:t>
      </w:r>
    </w:p>
    <w:p w14:paraId="1B5BFBCF" w14:textId="77777777" w:rsidR="001B518E" w:rsidRPr="00CE25A6" w:rsidRDefault="001B518E" w:rsidP="001B518E">
      <w:pPr>
        <w:pStyle w:val="L2JH2"/>
      </w:pPr>
      <w:r w:rsidRPr="00CE25A6">
        <w:lastRenderedPageBreak/>
        <w:t>Participants</w:t>
      </w:r>
    </w:p>
    <w:p w14:paraId="34DAC5DE" w14:textId="77777777" w:rsidR="001B518E" w:rsidRDefault="001B518E" w:rsidP="001B518E">
      <w:pPr>
        <w:pStyle w:val="L2JBody"/>
        <w:ind w:firstLine="0"/>
      </w:pPr>
    </w:p>
    <w:p w14:paraId="32D7ED39" w14:textId="0F2B5C2E" w:rsidR="001B518E" w:rsidRPr="001B518E" w:rsidRDefault="001B518E" w:rsidP="001B518E">
      <w:pPr>
        <w:pStyle w:val="L2JBody"/>
        <w:ind w:firstLine="0"/>
      </w:pPr>
      <w:r w:rsidRPr="001B518E">
        <w:t xml:space="preserve">This study involves two African American male students enrolled in an introductory Japanese cultural course. Both wrote about </w:t>
      </w:r>
      <w:r w:rsidRPr="00276AEA">
        <w:rPr>
          <w:i/>
          <w:iCs/>
        </w:rPr>
        <w:t>hikikomori</w:t>
      </w:r>
      <w:r w:rsidRPr="001B518E">
        <w:t xml:space="preserve">, a prominent Japanese social phenomenon </w:t>
      </w:r>
      <w:r w:rsidRPr="001B518E">
        <w:rPr>
          <w:rFonts w:hint="eastAsia"/>
        </w:rPr>
        <w:t xml:space="preserve">associated with </w:t>
      </w:r>
      <w:r w:rsidRPr="001B518E">
        <w:t xml:space="preserve">psychiatric issues </w:t>
      </w:r>
      <w:r w:rsidRPr="001B518E">
        <w:rPr>
          <w:rFonts w:hint="eastAsia"/>
        </w:rPr>
        <w:t xml:space="preserve">such as </w:t>
      </w:r>
      <w:r w:rsidRPr="001B518E">
        <w:t xml:space="preserve">depression and social anxiety. </w:t>
      </w:r>
      <w:r w:rsidRPr="00276AEA">
        <w:rPr>
          <w:i/>
          <w:iCs/>
        </w:rPr>
        <w:t xml:space="preserve">Hikikomori </w:t>
      </w:r>
      <w:r w:rsidRPr="001B518E">
        <w:t xml:space="preserve">generally refers to </w:t>
      </w:r>
      <w:r w:rsidR="00276AEA">
        <w:t>“</w:t>
      </w:r>
      <w:r w:rsidRPr="001B518E">
        <w:t>adolescents and young adults who become recluses in their parents’ homes, unable to work or attend school for months or years</w:t>
      </w:r>
      <w:r w:rsidR="00276AEA">
        <w:t>”</w:t>
      </w:r>
      <w:r w:rsidRPr="001B518E">
        <w:t xml:space="preserve"> (Teo &amp; Gaw, 2010, p. 444). Some classify it under existing ICD-10 psychiatric disorders, while others view it as a culturally specific syndrome of social withdrawal.</w:t>
      </w:r>
      <w:r w:rsidRPr="001B518E">
        <w:rPr>
          <w:rFonts w:hint="eastAsia"/>
        </w:rPr>
        <w:t xml:space="preserve"> </w:t>
      </w:r>
      <w:r w:rsidRPr="001B518E">
        <w:t xml:space="preserve">The </w:t>
      </w:r>
      <w:proofErr w:type="gramStart"/>
      <w:r w:rsidRPr="001B518E">
        <w:t>students’</w:t>
      </w:r>
      <w:proofErr w:type="gramEnd"/>
      <w:r w:rsidRPr="001B518E">
        <w:t xml:space="preserve"> shared </w:t>
      </w:r>
      <w:r w:rsidRPr="001B518E">
        <w:rPr>
          <w:rFonts w:hint="eastAsia"/>
        </w:rPr>
        <w:t xml:space="preserve">interest in the topic was shaped by </w:t>
      </w:r>
      <w:r w:rsidRPr="001B518E">
        <w:t xml:space="preserve">personal experiences with </w:t>
      </w:r>
      <w:r w:rsidRPr="001B518E">
        <w:rPr>
          <w:rFonts w:hint="eastAsia"/>
        </w:rPr>
        <w:t xml:space="preserve">emotional or psychological struggles </w:t>
      </w:r>
      <w:r w:rsidRPr="001B518E">
        <w:t xml:space="preserve">during their </w:t>
      </w:r>
      <w:r w:rsidRPr="001B518E">
        <w:rPr>
          <w:rFonts w:hint="eastAsia"/>
        </w:rPr>
        <w:t>adolescence</w:t>
      </w:r>
      <w:r w:rsidRPr="001B518E">
        <w:t xml:space="preserve">. One student, “Mark,” had </w:t>
      </w:r>
      <w:r w:rsidRPr="001B518E">
        <w:rPr>
          <w:rFonts w:hint="eastAsia"/>
        </w:rPr>
        <w:t xml:space="preserve">previously experienced </w:t>
      </w:r>
      <w:r w:rsidRPr="001B518E">
        <w:t xml:space="preserve">social anxiety while the other, “Kevin,” </w:t>
      </w:r>
      <w:r w:rsidRPr="001B518E">
        <w:rPr>
          <w:rFonts w:hint="eastAsia"/>
        </w:rPr>
        <w:t xml:space="preserve">reported symptoms of depression. </w:t>
      </w:r>
      <w:r w:rsidRPr="001B518E">
        <w:t>Both came from low-income households, reflecting the socioeconomic and racial diversity</w:t>
      </w:r>
      <w:r w:rsidRPr="001B518E">
        <w:rPr>
          <w:rFonts w:hint="eastAsia"/>
        </w:rPr>
        <w:t xml:space="preserve"> of the university.</w:t>
      </w:r>
      <w:r w:rsidRPr="001B518E">
        <w:t xml:space="preserve"> </w:t>
      </w:r>
    </w:p>
    <w:p w14:paraId="20B45FF4" w14:textId="77777777" w:rsidR="001B518E" w:rsidRPr="001B518E" w:rsidRDefault="001B518E" w:rsidP="001B518E">
      <w:pPr>
        <w:pStyle w:val="L2JBody"/>
      </w:pPr>
      <w:r w:rsidRPr="001B518E">
        <w:t xml:space="preserve">Like many in the course, </w:t>
      </w:r>
      <w:r w:rsidRPr="001B518E">
        <w:rPr>
          <w:rFonts w:hint="eastAsia"/>
        </w:rPr>
        <w:t xml:space="preserve">the two may have </w:t>
      </w:r>
      <w:r w:rsidRPr="001B518E">
        <w:t xml:space="preserve">found </w:t>
      </w:r>
      <w:r w:rsidRPr="00276AEA">
        <w:rPr>
          <w:i/>
          <w:iCs/>
        </w:rPr>
        <w:t>hikikomori</w:t>
      </w:r>
      <w:r w:rsidRPr="001B518E">
        <w:rPr>
          <w:rFonts w:hint="eastAsia"/>
        </w:rPr>
        <w:t xml:space="preserve"> personally resonant,</w:t>
      </w:r>
      <w:r w:rsidRPr="001B518E">
        <w:t xml:space="preserve"> identifying with </w:t>
      </w:r>
      <w:r w:rsidRPr="001B518E">
        <w:rPr>
          <w:rFonts w:hint="eastAsia"/>
        </w:rPr>
        <w:t xml:space="preserve">aspects of alienation and pressure faced by </w:t>
      </w:r>
      <w:r w:rsidRPr="001B518E">
        <w:t xml:space="preserve">Japanese youth. Despite this shared interest, </w:t>
      </w:r>
      <w:r w:rsidRPr="001B518E">
        <w:rPr>
          <w:rFonts w:hint="eastAsia"/>
        </w:rPr>
        <w:t xml:space="preserve">their final papers </w:t>
      </w:r>
      <w:r w:rsidRPr="001B518E">
        <w:t xml:space="preserve">reveal </w:t>
      </w:r>
      <w:r w:rsidRPr="001B518E">
        <w:rPr>
          <w:rFonts w:hint="eastAsia"/>
        </w:rPr>
        <w:t xml:space="preserve">contrasting discursive orientations in how they represented the cultural </w:t>
      </w:r>
      <w:r w:rsidRPr="001B518E">
        <w:t>“</w:t>
      </w:r>
      <w:r w:rsidRPr="001B518E">
        <w:rPr>
          <w:rFonts w:hint="eastAsia"/>
        </w:rPr>
        <w:t>other</w:t>
      </w:r>
      <w:r w:rsidRPr="001B518E">
        <w:t>”</w:t>
      </w:r>
      <w:r w:rsidRPr="001B518E">
        <w:rPr>
          <w:rFonts w:hint="eastAsia"/>
        </w:rPr>
        <w:t xml:space="preserve"> and responded to the course</w:t>
      </w:r>
      <w:r w:rsidRPr="001B518E">
        <w:t>’</w:t>
      </w:r>
      <w:r w:rsidRPr="001B518E">
        <w:rPr>
          <w:rFonts w:hint="eastAsia"/>
        </w:rPr>
        <w:t>s ethical goals. This divergence serves as a focal point for examining how transcultural empathy and critical reflection are constructed</w:t>
      </w:r>
      <w:r w:rsidRPr="001B518E">
        <w:t>—</w:t>
      </w:r>
      <w:r w:rsidRPr="001B518E">
        <w:rPr>
          <w:rFonts w:hint="eastAsia"/>
        </w:rPr>
        <w:t>or constrained</w:t>
      </w:r>
      <w:r w:rsidRPr="001B518E">
        <w:t>—</w:t>
      </w:r>
      <w:r w:rsidRPr="001B518E">
        <w:rPr>
          <w:rFonts w:hint="eastAsia"/>
        </w:rPr>
        <w:t xml:space="preserve"> through discourse. </w:t>
      </w:r>
    </w:p>
    <w:p w14:paraId="2D5EA890" w14:textId="77777777" w:rsidR="001B518E" w:rsidRDefault="001B518E" w:rsidP="001B518E">
      <w:pPr>
        <w:pStyle w:val="L2JH2"/>
      </w:pPr>
    </w:p>
    <w:p w14:paraId="42D1C89D" w14:textId="32E59A56" w:rsidR="001B518E" w:rsidRPr="001B518E" w:rsidRDefault="001B518E" w:rsidP="001B518E">
      <w:pPr>
        <w:pStyle w:val="L2JH2"/>
      </w:pPr>
      <w:r w:rsidRPr="001B518E">
        <w:t xml:space="preserve">Researcher </w:t>
      </w:r>
      <w:r w:rsidRPr="001B518E">
        <w:t>And Researched</w:t>
      </w:r>
    </w:p>
    <w:p w14:paraId="6C2B88DF" w14:textId="77777777" w:rsidR="001B518E" w:rsidRDefault="001B518E" w:rsidP="001B518E">
      <w:pPr>
        <w:pStyle w:val="L2JBody"/>
        <w:ind w:firstLine="0"/>
      </w:pPr>
    </w:p>
    <w:p w14:paraId="050A18FD" w14:textId="70846CDE" w:rsidR="001B518E" w:rsidRDefault="001B518E" w:rsidP="001B518E">
      <w:pPr>
        <w:pStyle w:val="L2JBody"/>
        <w:ind w:firstLine="0"/>
      </w:pPr>
      <w:r>
        <w:t xml:space="preserve">The teacher’s </w:t>
      </w:r>
      <w:r>
        <w:rPr>
          <w:rFonts w:eastAsiaTheme="minorEastAsia" w:hint="eastAsia"/>
        </w:rPr>
        <w:t xml:space="preserve">identity </w:t>
      </w:r>
      <w:r>
        <w:t>and positionality must be</w:t>
      </w:r>
      <w:r>
        <w:rPr>
          <w:rFonts w:eastAsiaTheme="minorEastAsia" w:hint="eastAsia"/>
        </w:rPr>
        <w:t xml:space="preserve"> </w:t>
      </w:r>
      <w:r>
        <w:rPr>
          <w:rFonts w:eastAsiaTheme="minorEastAsia"/>
        </w:rPr>
        <w:t>acknowledged due</w:t>
      </w:r>
      <w:r>
        <w:t xml:space="preserve"> to their potential impact on the data. The researcher, </w:t>
      </w:r>
      <w:r>
        <w:rPr>
          <w:rFonts w:eastAsiaTheme="minorEastAsia" w:hint="eastAsia"/>
        </w:rPr>
        <w:t xml:space="preserve">who </w:t>
      </w:r>
      <w:r>
        <w:t xml:space="preserve">also </w:t>
      </w:r>
      <w:r>
        <w:rPr>
          <w:rFonts w:eastAsiaTheme="minorEastAsia" w:hint="eastAsia"/>
        </w:rPr>
        <w:t xml:space="preserve">served as </w:t>
      </w:r>
      <w:r>
        <w:t xml:space="preserve">the </w:t>
      </w:r>
      <w:r>
        <w:rPr>
          <w:rFonts w:eastAsiaTheme="minorEastAsia" w:hint="eastAsia"/>
        </w:rPr>
        <w:t xml:space="preserve">course instructor, </w:t>
      </w:r>
      <w:r>
        <w:t xml:space="preserve">identifies as a native Japanese. Although lectures were conducted in English, her racialized </w:t>
      </w:r>
      <w:r>
        <w:rPr>
          <w:rFonts w:eastAsiaTheme="minorEastAsia" w:hint="eastAsia"/>
        </w:rPr>
        <w:t xml:space="preserve">embodiment, gender, and </w:t>
      </w:r>
      <w:r>
        <w:t>Japanese-accented English may have</w:t>
      </w:r>
      <w:r>
        <w:rPr>
          <w:rFonts w:eastAsia="MS Mincho" w:hint="eastAsia"/>
        </w:rPr>
        <w:t xml:space="preserve"> influenced </w:t>
      </w:r>
      <w:r>
        <w:t xml:space="preserve">how students positioned themselves in their writing. </w:t>
      </w:r>
      <w:r>
        <w:rPr>
          <w:rFonts w:eastAsiaTheme="minorEastAsia" w:hint="eastAsia"/>
        </w:rPr>
        <w:t>T</w:t>
      </w:r>
      <w:r>
        <w:t xml:space="preserve">hese factors might have encouraged a more contrastive stance </w:t>
      </w:r>
      <w:r>
        <w:rPr>
          <w:rFonts w:eastAsiaTheme="minorEastAsia" w:hint="eastAsia"/>
        </w:rPr>
        <w:t xml:space="preserve">toward the </w:t>
      </w:r>
      <w:r w:rsidR="00276AEA">
        <w:t>“</w:t>
      </w:r>
      <w:r>
        <w:t xml:space="preserve">imagined Japanese </w:t>
      </w:r>
      <w:r w:rsidRPr="00C519C4">
        <w:rPr>
          <w:i/>
          <w:iCs/>
        </w:rPr>
        <w:t>hikikomori</w:t>
      </w:r>
      <w:r>
        <w:t xml:space="preserve"> youth</w:t>
      </w:r>
      <w:r>
        <w:rPr>
          <w:rFonts w:eastAsiaTheme="minorEastAsia"/>
        </w:rPr>
        <w:t>”</w:t>
      </w:r>
      <w:r>
        <w:rPr>
          <w:rFonts w:eastAsiaTheme="minorEastAsia" w:hint="eastAsia"/>
        </w:rPr>
        <w:t xml:space="preserve"> or heightened their awareness of cultural difference. </w:t>
      </w:r>
      <w:r w:rsidRPr="00652546">
        <w:t>Simultaneously</w:t>
      </w:r>
      <w:r>
        <w:t xml:space="preserve">, the </w:t>
      </w:r>
      <w:r>
        <w:rPr>
          <w:rFonts w:eastAsiaTheme="minorEastAsia" w:hint="eastAsia"/>
        </w:rPr>
        <w:t>instructor</w:t>
      </w:r>
      <w:r>
        <w:rPr>
          <w:rFonts w:eastAsiaTheme="minorEastAsia"/>
        </w:rPr>
        <w:t>’</w:t>
      </w:r>
      <w:r>
        <w:rPr>
          <w:rFonts w:eastAsiaTheme="minorEastAsia" w:hint="eastAsia"/>
        </w:rPr>
        <w:t xml:space="preserve">s </w:t>
      </w:r>
      <w:r>
        <w:t>identity and poststructuralist</w:t>
      </w:r>
      <w:r>
        <w:rPr>
          <w:rFonts w:eastAsiaTheme="minorEastAsia" w:hint="eastAsia"/>
        </w:rPr>
        <w:t xml:space="preserve"> pedagogy </w:t>
      </w:r>
      <w:r>
        <w:t xml:space="preserve">likely </w:t>
      </w:r>
      <w:r>
        <w:rPr>
          <w:rFonts w:eastAsiaTheme="minorEastAsia" w:hint="eastAsia"/>
        </w:rPr>
        <w:t xml:space="preserve">shaped </w:t>
      </w:r>
      <w:r>
        <w:t xml:space="preserve">how students constructed proxy identities </w:t>
      </w:r>
      <w:r>
        <w:rPr>
          <w:rFonts w:eastAsiaTheme="minorEastAsia" w:hint="eastAsia"/>
        </w:rPr>
        <w:t xml:space="preserve">in relation to </w:t>
      </w:r>
      <w:r>
        <w:t xml:space="preserve">Japanese culture. </w:t>
      </w:r>
    </w:p>
    <w:p w14:paraId="6F6D4F3D" w14:textId="77777777" w:rsidR="001B518E" w:rsidRDefault="001B518E" w:rsidP="001B518E">
      <w:pPr>
        <w:pStyle w:val="L2JBody"/>
      </w:pPr>
      <w:r w:rsidRPr="00652546">
        <w:rPr>
          <w:rFonts w:eastAsiaTheme="minorEastAsia" w:hint="eastAsia"/>
        </w:rPr>
        <w:t>Rather</w:t>
      </w:r>
      <w:r>
        <w:rPr>
          <w:rFonts w:eastAsiaTheme="minorEastAsia" w:hint="eastAsia"/>
        </w:rPr>
        <w:t xml:space="preserve"> than assuming neutrality, this analysis acknowledges this relational dynamic and views knowledge production as co-constructed. </w:t>
      </w:r>
      <w:r>
        <w:t xml:space="preserve">As Larsen-Freeman and Cameron (2008) </w:t>
      </w:r>
      <w:r>
        <w:rPr>
          <w:rFonts w:eastAsiaTheme="minorEastAsia" w:hint="eastAsia"/>
        </w:rPr>
        <w:t xml:space="preserve">note </w:t>
      </w:r>
      <w:r>
        <w:t xml:space="preserve">in complexity theory, such factors produce </w:t>
      </w:r>
      <w:r>
        <w:rPr>
          <w:rFonts w:eastAsiaTheme="minorEastAsia" w:hint="eastAsia"/>
        </w:rPr>
        <w:t xml:space="preserve">overlapping and sometimes </w:t>
      </w:r>
      <w:r>
        <w:t>conflicting effects</w:t>
      </w:r>
      <w:r>
        <w:rPr>
          <w:rFonts w:eastAsiaTheme="minorEastAsia" w:hint="eastAsia"/>
        </w:rPr>
        <w:t xml:space="preserve"> that </w:t>
      </w:r>
      <w:r>
        <w:rPr>
          <w:rFonts w:eastAsiaTheme="minorEastAsia"/>
        </w:rPr>
        <w:t>shape both</w:t>
      </w:r>
      <w:r>
        <w:t xml:space="preserve"> the researcher-researched relationship and the research itself. </w:t>
      </w:r>
      <w:r>
        <w:rPr>
          <w:rFonts w:eastAsiaTheme="minorEastAsia" w:hint="eastAsia"/>
        </w:rPr>
        <w:t xml:space="preserve">This orientation challenges the static notion of </w:t>
      </w:r>
      <w:r>
        <w:rPr>
          <w:rFonts w:eastAsiaTheme="minorEastAsia"/>
        </w:rPr>
        <w:t>“</w:t>
      </w:r>
      <w:r>
        <w:rPr>
          <w:rFonts w:eastAsiaTheme="minorEastAsia" w:hint="eastAsia"/>
        </w:rPr>
        <w:t>objectivity,</w:t>
      </w:r>
      <w:r>
        <w:rPr>
          <w:rFonts w:eastAsiaTheme="minorEastAsia"/>
        </w:rPr>
        <w:t>”</w:t>
      </w:r>
      <w:r>
        <w:rPr>
          <w:rFonts w:eastAsiaTheme="minorEastAsia" w:hint="eastAsia"/>
        </w:rPr>
        <w:t xml:space="preserve"> emphasizing instead a situated and reflexive understanding of the research process. </w:t>
      </w:r>
    </w:p>
    <w:p w14:paraId="28B2624F" w14:textId="031BE324" w:rsidR="004B3065" w:rsidRDefault="004B3065" w:rsidP="001B518E">
      <w:pPr>
        <w:pStyle w:val="L2JBody"/>
        <w:ind w:firstLine="0"/>
      </w:pPr>
    </w:p>
    <w:p w14:paraId="16C86583" w14:textId="77777777" w:rsidR="004B3065" w:rsidRDefault="004B3065" w:rsidP="004B3065">
      <w:pPr>
        <w:pStyle w:val="L2JBody"/>
      </w:pPr>
    </w:p>
    <w:p w14:paraId="0FEA40FB" w14:textId="061FBB85" w:rsidR="001B518E" w:rsidRPr="001B518E" w:rsidRDefault="001B518E" w:rsidP="001B518E">
      <w:pPr>
        <w:pStyle w:val="L2JH1"/>
      </w:pPr>
      <w:r w:rsidRPr="001B518E">
        <w:t xml:space="preserve">DISCOURSE ANALYSIS OF TWO PAPERS ON JAPANESE SOCIAL PHENOMENON </w:t>
      </w:r>
      <w:r w:rsidRPr="00276AEA">
        <w:rPr>
          <w:i/>
          <w:iCs/>
        </w:rPr>
        <w:t>HIKIKOMORI</w:t>
      </w:r>
      <w:r w:rsidRPr="001B518E">
        <w:t xml:space="preserve"> </w:t>
      </w:r>
    </w:p>
    <w:p w14:paraId="576032EA" w14:textId="77777777" w:rsidR="001B518E" w:rsidRDefault="001B518E" w:rsidP="001B518E">
      <w:pPr>
        <w:pStyle w:val="L2JH2"/>
      </w:pPr>
    </w:p>
    <w:p w14:paraId="28CB99CD" w14:textId="737129DF" w:rsidR="001B518E" w:rsidRPr="001B518E" w:rsidRDefault="001B518E" w:rsidP="001B518E">
      <w:pPr>
        <w:pStyle w:val="L2JH2"/>
      </w:pPr>
      <w:r w:rsidRPr="001B518E">
        <w:t xml:space="preserve">The </w:t>
      </w:r>
      <w:r w:rsidRPr="001B518E">
        <w:t xml:space="preserve">Case </w:t>
      </w:r>
      <w:proofErr w:type="gramStart"/>
      <w:r w:rsidRPr="001B518E">
        <w:t>Of</w:t>
      </w:r>
      <w:proofErr w:type="gramEnd"/>
      <w:r w:rsidRPr="001B518E">
        <w:t xml:space="preserve"> </w:t>
      </w:r>
      <w:r w:rsidRPr="001B518E">
        <w:t>Mark</w:t>
      </w:r>
      <w:r w:rsidRPr="001B518E">
        <w:t xml:space="preserve">: </w:t>
      </w:r>
      <w:r w:rsidRPr="001B518E">
        <w:t xml:space="preserve">Seeing </w:t>
      </w:r>
      <w:r w:rsidRPr="001B518E">
        <w:t xml:space="preserve">“Other” In </w:t>
      </w:r>
      <w:proofErr w:type="gramStart"/>
      <w:r w:rsidRPr="001B518E">
        <w:t>The</w:t>
      </w:r>
      <w:proofErr w:type="gramEnd"/>
      <w:r w:rsidRPr="001B518E">
        <w:t xml:space="preserve"> Mirror Of “Self”</w:t>
      </w:r>
    </w:p>
    <w:p w14:paraId="0A2967D0" w14:textId="77777777" w:rsidR="001B518E" w:rsidRPr="001B518E" w:rsidRDefault="001B518E" w:rsidP="001B518E">
      <w:pPr>
        <w:pStyle w:val="L2JBody"/>
      </w:pPr>
      <w:bookmarkStart w:id="3" w:name="_Hlk109984254"/>
    </w:p>
    <w:p w14:paraId="25D8254A" w14:textId="208E3239" w:rsidR="001B518E" w:rsidRPr="001B518E" w:rsidRDefault="001B518E" w:rsidP="00276AEA">
      <w:pPr>
        <w:pStyle w:val="L2JBody"/>
        <w:ind w:firstLine="0"/>
      </w:pPr>
      <w:r w:rsidRPr="001B518E">
        <w:t xml:space="preserve">This section examines how Mark discursively constructs his understanding of the </w:t>
      </w:r>
      <w:r w:rsidRPr="00276AEA">
        <w:rPr>
          <w:i/>
          <w:iCs/>
        </w:rPr>
        <w:t xml:space="preserve">hikikomori </w:t>
      </w:r>
      <w:r w:rsidRPr="001B518E">
        <w:t>phenomenon by navigating between personal and imagined perspectives. Through his shifting use of personal pronouns and narrative stance, Mark positions himself in relation to Japanese youth, constructing a symbolic dialogue between “</w:t>
      </w:r>
      <w:r w:rsidRPr="001B518E">
        <w:rPr>
          <w:rFonts w:hint="eastAsia"/>
        </w:rPr>
        <w:t>s</w:t>
      </w:r>
      <w:r w:rsidRPr="001B518E">
        <w:t>elf” and “</w:t>
      </w:r>
      <w:r w:rsidRPr="001B518E">
        <w:rPr>
          <w:rFonts w:hint="eastAsia"/>
        </w:rPr>
        <w:t>o</w:t>
      </w:r>
      <w:r w:rsidRPr="001B518E">
        <w:t xml:space="preserve">ther.” Drawing on Goffman’s </w:t>
      </w:r>
      <w:r w:rsidRPr="001B518E">
        <w:lastRenderedPageBreak/>
        <w:t>notion of stance (1967, 1981)</w:t>
      </w:r>
      <w:r w:rsidRPr="001B518E">
        <w:rPr>
          <w:rFonts w:hint="eastAsia"/>
        </w:rPr>
        <w:t xml:space="preserve"> </w:t>
      </w:r>
      <w:r w:rsidRPr="001B518E">
        <w:t xml:space="preserve">and </w:t>
      </w:r>
      <w:proofErr w:type="spellStart"/>
      <w:r w:rsidRPr="001B518E">
        <w:t>Kramsch’s</w:t>
      </w:r>
      <w:proofErr w:type="spellEnd"/>
      <w:r w:rsidRPr="001B518E">
        <w:t xml:space="preserve"> theory of symbolic competence, this analysis explores how empathy emerges </w:t>
      </w:r>
      <w:r w:rsidRPr="001B518E">
        <w:rPr>
          <w:rFonts w:hint="eastAsia"/>
        </w:rPr>
        <w:t>a</w:t>
      </w:r>
      <w:r w:rsidRPr="001B518E">
        <w:t>s a dynamic and reflective practice grounded in identity negotiation.</w:t>
      </w:r>
      <w:r w:rsidRPr="001B518E">
        <w:rPr>
          <w:rFonts w:hint="eastAsia"/>
        </w:rPr>
        <w:t xml:space="preserve"> </w:t>
      </w:r>
    </w:p>
    <w:p w14:paraId="701B5D39" w14:textId="77777777" w:rsidR="001B518E" w:rsidRPr="001B518E" w:rsidRDefault="001B518E" w:rsidP="001B518E">
      <w:pPr>
        <w:pStyle w:val="L2JBody"/>
      </w:pPr>
      <w:bookmarkStart w:id="4" w:name="_Hlk197939468"/>
      <w:r w:rsidRPr="001B518E">
        <w:t>Mark, a</w:t>
      </w:r>
      <w:r w:rsidRPr="001B518E">
        <w:rPr>
          <w:rFonts w:hint="eastAsia"/>
        </w:rPr>
        <w:t>n</w:t>
      </w:r>
      <w:r w:rsidRPr="001B518E">
        <w:t xml:space="preserve"> African American male with a history of social anxiety disorder, was an engineering student with no prior experience in Japanese. </w:t>
      </w:r>
      <w:bookmarkEnd w:id="4"/>
      <w:r w:rsidRPr="001B518E">
        <w:t>He enrolled in the course due to a longstanding interest in Japanese anime culture. Mark was initially shy and reluctant to participate, attributing his nervousness to his social anxiety and unfamiliarity with the instructor and classmates. By the semester’s end, he had become more engaged, actively contributing to discussions and presentations</w:t>
      </w:r>
      <w:r w:rsidRPr="001B518E">
        <w:rPr>
          <w:rFonts w:hint="eastAsia"/>
        </w:rPr>
        <w:t>.</w:t>
      </w:r>
    </w:p>
    <w:p w14:paraId="64D44FA3" w14:textId="77777777" w:rsidR="001B518E" w:rsidRPr="001B518E" w:rsidRDefault="001B518E" w:rsidP="001B518E">
      <w:pPr>
        <w:pStyle w:val="L2JBody"/>
      </w:pPr>
      <w:r w:rsidRPr="001B518E">
        <w:t>Mark’s final paper was 11 pages long, including a cover page, introduction, research content, and bibliography. Salient linguistic features of his paper were analyzed at the syntactic level, focusing on the distribution of first, second, and third-person pronouns.</w:t>
      </w:r>
    </w:p>
    <w:p w14:paraId="40000AB0" w14:textId="77777777" w:rsidR="001B518E" w:rsidRDefault="001B518E" w:rsidP="001B518E">
      <w:pPr>
        <w:pStyle w:val="L2JBody"/>
      </w:pPr>
      <w:r w:rsidRPr="001B518E">
        <w:t xml:space="preserve">These </w:t>
      </w:r>
      <w:r w:rsidRPr="001B518E">
        <w:rPr>
          <w:rFonts w:hint="eastAsia"/>
        </w:rPr>
        <w:t xml:space="preserve">pronoun </w:t>
      </w:r>
      <w:r w:rsidRPr="001B518E">
        <w:t xml:space="preserve">patterns signal rhetorical shifts </w:t>
      </w:r>
      <w:r w:rsidRPr="001B518E">
        <w:rPr>
          <w:rFonts w:hint="eastAsia"/>
        </w:rPr>
        <w:t xml:space="preserve">and </w:t>
      </w:r>
      <w:r w:rsidRPr="001B518E">
        <w:t>deeper discursive work—revealing how Mark constructs proximity, distance, and empathy through symbolic positioning.</w:t>
      </w:r>
    </w:p>
    <w:p w14:paraId="2E8D73C4" w14:textId="77777777" w:rsidR="001B518E" w:rsidRPr="001B518E" w:rsidRDefault="001B518E" w:rsidP="001B518E">
      <w:pPr>
        <w:pStyle w:val="L2JBody"/>
      </w:pPr>
    </w:p>
    <w:p w14:paraId="06C4BA9F" w14:textId="77777777" w:rsidR="001B518E" w:rsidRDefault="001B518E" w:rsidP="001B518E">
      <w:pPr>
        <w:pStyle w:val="L2JFigureCallOut"/>
      </w:pPr>
      <w:r w:rsidRPr="001262FA">
        <w:t>Table 1</w:t>
      </w:r>
    </w:p>
    <w:p w14:paraId="394F3243" w14:textId="77777777" w:rsidR="001B518E" w:rsidRDefault="001B518E" w:rsidP="001B518E">
      <w:pPr>
        <w:rPr>
          <w:rFonts w:ascii="Times New Roman" w:hAnsi="Times New Roman" w:cs="Times New Roman"/>
          <w:sz w:val="24"/>
          <w:szCs w:val="24"/>
        </w:rPr>
      </w:pPr>
    </w:p>
    <w:p w14:paraId="5CA6E00C" w14:textId="77F38AAE" w:rsidR="001B518E" w:rsidRPr="001B518E" w:rsidRDefault="001B518E" w:rsidP="001B518E">
      <w:pPr>
        <w:pStyle w:val="L2JFigureTitle"/>
        <w:rPr>
          <w:i w:val="0"/>
          <w:iCs w:val="0"/>
        </w:rPr>
      </w:pPr>
      <w:r w:rsidRPr="001B518E">
        <w:t xml:space="preserve">Distribution </w:t>
      </w:r>
      <w:r>
        <w:t>O</w:t>
      </w:r>
      <w:r w:rsidRPr="001B518E">
        <w:t xml:space="preserve">f Subject Pronouns </w:t>
      </w:r>
      <w:proofErr w:type="gramStart"/>
      <w:r>
        <w:t>I</w:t>
      </w:r>
      <w:r w:rsidRPr="001B518E">
        <w:t>n</w:t>
      </w:r>
      <w:proofErr w:type="gramEnd"/>
      <w:r w:rsidRPr="001B518E">
        <w:t xml:space="preserve"> Mark’s Paper </w:t>
      </w:r>
      <w:r>
        <w:t>O</w:t>
      </w:r>
      <w:r w:rsidRPr="001B518E">
        <w:t xml:space="preserve">n </w:t>
      </w:r>
      <w:r w:rsidRPr="001B518E">
        <w:rPr>
          <w:i w:val="0"/>
          <w:iCs w:val="0"/>
        </w:rPr>
        <w:t>hikikomori</w:t>
      </w:r>
    </w:p>
    <w:p w14:paraId="1AE7E852" w14:textId="77777777" w:rsidR="001B518E" w:rsidRPr="001B518E" w:rsidRDefault="001B518E" w:rsidP="001B518E">
      <w:pPr>
        <w:rPr>
          <w:rFonts w:ascii="Garamond" w:hAnsi="Garamond" w:cs="Times New Roman"/>
          <w:sz w:val="24"/>
          <w:szCs w:val="24"/>
        </w:rPr>
      </w:pPr>
    </w:p>
    <w:tbl>
      <w:tblPr>
        <w:tblStyle w:val="TableGrid"/>
        <w:tblW w:w="0" w:type="auto"/>
        <w:tblInd w:w="355" w:type="dxa"/>
        <w:tblLook w:val="04A0" w:firstRow="1" w:lastRow="0" w:firstColumn="1" w:lastColumn="0" w:noHBand="0" w:noVBand="1"/>
      </w:tblPr>
      <w:tblGrid>
        <w:gridCol w:w="2166"/>
        <w:gridCol w:w="1829"/>
        <w:gridCol w:w="2231"/>
        <w:gridCol w:w="2049"/>
      </w:tblGrid>
      <w:tr w:rsidR="001B518E" w:rsidRPr="001B518E" w14:paraId="344275E7" w14:textId="77777777" w:rsidTr="00B46F8B">
        <w:tc>
          <w:tcPr>
            <w:tcW w:w="2323" w:type="dxa"/>
          </w:tcPr>
          <w:p w14:paraId="08EE0B99"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Section</w:t>
            </w:r>
          </w:p>
        </w:tc>
        <w:tc>
          <w:tcPr>
            <w:tcW w:w="1997" w:type="dxa"/>
          </w:tcPr>
          <w:p w14:paraId="2F3F9AE4"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Number of “I”</w:t>
            </w:r>
          </w:p>
        </w:tc>
        <w:tc>
          <w:tcPr>
            <w:tcW w:w="2430" w:type="dxa"/>
          </w:tcPr>
          <w:p w14:paraId="3625DA0C"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Number of “You”</w:t>
            </w:r>
          </w:p>
        </w:tc>
        <w:tc>
          <w:tcPr>
            <w:tcW w:w="2245" w:type="dxa"/>
          </w:tcPr>
          <w:p w14:paraId="652AC132"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Number of “They”</w:t>
            </w:r>
          </w:p>
        </w:tc>
      </w:tr>
      <w:tr w:rsidR="001B518E" w:rsidRPr="001B518E" w14:paraId="278E8FB3" w14:textId="77777777" w:rsidTr="00B46F8B">
        <w:trPr>
          <w:trHeight w:val="404"/>
        </w:trPr>
        <w:tc>
          <w:tcPr>
            <w:tcW w:w="2323" w:type="dxa"/>
          </w:tcPr>
          <w:p w14:paraId="74B1F77B"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Introduction</w:t>
            </w:r>
          </w:p>
        </w:tc>
        <w:tc>
          <w:tcPr>
            <w:tcW w:w="1997" w:type="dxa"/>
          </w:tcPr>
          <w:p w14:paraId="6A701E58"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41</w:t>
            </w:r>
          </w:p>
        </w:tc>
        <w:tc>
          <w:tcPr>
            <w:tcW w:w="2430" w:type="dxa"/>
          </w:tcPr>
          <w:p w14:paraId="6A490F20"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1(designate the instructor)</w:t>
            </w:r>
          </w:p>
        </w:tc>
        <w:tc>
          <w:tcPr>
            <w:tcW w:w="2245" w:type="dxa"/>
          </w:tcPr>
          <w:p w14:paraId="0FD633D1"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3 (general Japanese)</w:t>
            </w:r>
          </w:p>
        </w:tc>
      </w:tr>
      <w:tr w:rsidR="001B518E" w:rsidRPr="001B518E" w14:paraId="3205143F" w14:textId="77777777" w:rsidTr="00B46F8B">
        <w:tc>
          <w:tcPr>
            <w:tcW w:w="2323" w:type="dxa"/>
          </w:tcPr>
          <w:p w14:paraId="232B9767"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General Aspect</w:t>
            </w:r>
          </w:p>
        </w:tc>
        <w:tc>
          <w:tcPr>
            <w:tcW w:w="1997" w:type="dxa"/>
          </w:tcPr>
          <w:p w14:paraId="5A5C07EF"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0</w:t>
            </w:r>
          </w:p>
        </w:tc>
        <w:tc>
          <w:tcPr>
            <w:tcW w:w="2430" w:type="dxa"/>
          </w:tcPr>
          <w:p w14:paraId="17A93A89"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3(general audience)</w:t>
            </w:r>
          </w:p>
        </w:tc>
        <w:tc>
          <w:tcPr>
            <w:tcW w:w="2245" w:type="dxa"/>
          </w:tcPr>
          <w:p w14:paraId="52376406"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4 (general Japanese)</w:t>
            </w:r>
          </w:p>
        </w:tc>
      </w:tr>
      <w:tr w:rsidR="001B518E" w:rsidRPr="001B518E" w14:paraId="205BF25B" w14:textId="77777777" w:rsidTr="00B46F8B">
        <w:tc>
          <w:tcPr>
            <w:tcW w:w="2323" w:type="dxa"/>
          </w:tcPr>
          <w:p w14:paraId="07E6751B"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Medical Aspect</w:t>
            </w:r>
          </w:p>
        </w:tc>
        <w:tc>
          <w:tcPr>
            <w:tcW w:w="1997" w:type="dxa"/>
          </w:tcPr>
          <w:p w14:paraId="2F273379"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0</w:t>
            </w:r>
          </w:p>
        </w:tc>
        <w:tc>
          <w:tcPr>
            <w:tcW w:w="2430" w:type="dxa"/>
          </w:tcPr>
          <w:p w14:paraId="0DEE784F"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5(general audience)</w:t>
            </w:r>
          </w:p>
        </w:tc>
        <w:tc>
          <w:tcPr>
            <w:tcW w:w="2245" w:type="dxa"/>
          </w:tcPr>
          <w:p w14:paraId="108A2FE4"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1(general Japanese)</w:t>
            </w:r>
          </w:p>
        </w:tc>
      </w:tr>
      <w:tr w:rsidR="001B518E" w:rsidRPr="001B518E" w14:paraId="21BDC334" w14:textId="77777777" w:rsidTr="00B46F8B">
        <w:tc>
          <w:tcPr>
            <w:tcW w:w="2323" w:type="dxa"/>
          </w:tcPr>
          <w:p w14:paraId="026D4D34"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Historical Aspect</w:t>
            </w:r>
          </w:p>
        </w:tc>
        <w:tc>
          <w:tcPr>
            <w:tcW w:w="1997" w:type="dxa"/>
          </w:tcPr>
          <w:p w14:paraId="36376396"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0</w:t>
            </w:r>
          </w:p>
        </w:tc>
        <w:tc>
          <w:tcPr>
            <w:tcW w:w="2430" w:type="dxa"/>
          </w:tcPr>
          <w:p w14:paraId="05F444F8"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5(general audience)</w:t>
            </w:r>
          </w:p>
        </w:tc>
        <w:tc>
          <w:tcPr>
            <w:tcW w:w="2245" w:type="dxa"/>
          </w:tcPr>
          <w:p w14:paraId="07068F8D"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0</w:t>
            </w:r>
          </w:p>
        </w:tc>
      </w:tr>
      <w:tr w:rsidR="001B518E" w:rsidRPr="001B518E" w14:paraId="2F679B69" w14:textId="77777777" w:rsidTr="00B46F8B">
        <w:tc>
          <w:tcPr>
            <w:tcW w:w="2323" w:type="dxa"/>
          </w:tcPr>
          <w:p w14:paraId="07F67776"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Socio-cultural Aspect</w:t>
            </w:r>
          </w:p>
        </w:tc>
        <w:tc>
          <w:tcPr>
            <w:tcW w:w="1997" w:type="dxa"/>
          </w:tcPr>
          <w:p w14:paraId="1551ADFB"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0</w:t>
            </w:r>
          </w:p>
        </w:tc>
        <w:tc>
          <w:tcPr>
            <w:tcW w:w="2430" w:type="dxa"/>
          </w:tcPr>
          <w:p w14:paraId="798C2DED"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0</w:t>
            </w:r>
          </w:p>
        </w:tc>
        <w:tc>
          <w:tcPr>
            <w:tcW w:w="2245" w:type="dxa"/>
          </w:tcPr>
          <w:p w14:paraId="11CAE2B3"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1(general Japanese)</w:t>
            </w:r>
          </w:p>
        </w:tc>
      </w:tr>
      <w:tr w:rsidR="001B518E" w:rsidRPr="001B518E" w14:paraId="77AE82CA" w14:textId="77777777" w:rsidTr="00B46F8B">
        <w:tc>
          <w:tcPr>
            <w:tcW w:w="2323" w:type="dxa"/>
          </w:tcPr>
          <w:p w14:paraId="34C1CF55"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Conclusion</w:t>
            </w:r>
          </w:p>
        </w:tc>
        <w:tc>
          <w:tcPr>
            <w:tcW w:w="1997" w:type="dxa"/>
          </w:tcPr>
          <w:p w14:paraId="0A3BAE99"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13</w:t>
            </w:r>
          </w:p>
        </w:tc>
        <w:tc>
          <w:tcPr>
            <w:tcW w:w="2430" w:type="dxa"/>
          </w:tcPr>
          <w:p w14:paraId="2EA5D855"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15</w:t>
            </w:r>
          </w:p>
        </w:tc>
        <w:tc>
          <w:tcPr>
            <w:tcW w:w="2245" w:type="dxa"/>
          </w:tcPr>
          <w:p w14:paraId="2B6909ED"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 xml:space="preserve">3 </w:t>
            </w:r>
          </w:p>
        </w:tc>
      </w:tr>
      <w:tr w:rsidR="001B518E" w:rsidRPr="001B518E" w14:paraId="3705A86C" w14:textId="77777777" w:rsidTr="00B46F8B">
        <w:tc>
          <w:tcPr>
            <w:tcW w:w="2323" w:type="dxa"/>
          </w:tcPr>
          <w:p w14:paraId="7CDC7A56"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Total</w:t>
            </w:r>
          </w:p>
        </w:tc>
        <w:tc>
          <w:tcPr>
            <w:tcW w:w="1997" w:type="dxa"/>
          </w:tcPr>
          <w:p w14:paraId="314E384B"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54</w:t>
            </w:r>
          </w:p>
        </w:tc>
        <w:tc>
          <w:tcPr>
            <w:tcW w:w="2430" w:type="dxa"/>
          </w:tcPr>
          <w:p w14:paraId="20D26340"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29</w:t>
            </w:r>
          </w:p>
        </w:tc>
        <w:tc>
          <w:tcPr>
            <w:tcW w:w="2245" w:type="dxa"/>
          </w:tcPr>
          <w:p w14:paraId="42364519" w14:textId="77777777" w:rsidR="001B518E" w:rsidRPr="001B518E" w:rsidRDefault="001B518E" w:rsidP="00B46F8B">
            <w:pPr>
              <w:jc w:val="center"/>
              <w:rPr>
                <w:rFonts w:ascii="Garamond" w:hAnsi="Garamond" w:cs="Times New Roman"/>
                <w:sz w:val="24"/>
                <w:szCs w:val="24"/>
              </w:rPr>
            </w:pPr>
            <w:r w:rsidRPr="001B518E">
              <w:rPr>
                <w:rFonts w:ascii="Garamond" w:hAnsi="Garamond" w:cs="Times New Roman"/>
                <w:sz w:val="24"/>
                <w:szCs w:val="24"/>
              </w:rPr>
              <w:t>12</w:t>
            </w:r>
          </w:p>
        </w:tc>
      </w:tr>
      <w:bookmarkEnd w:id="3"/>
    </w:tbl>
    <w:p w14:paraId="6F1B16FD" w14:textId="77777777" w:rsidR="001B518E" w:rsidRDefault="001B518E" w:rsidP="001B518E">
      <w:pPr>
        <w:pStyle w:val="NormalWeb"/>
        <w:spacing w:before="0" w:beforeAutospacing="0" w:after="0" w:afterAutospacing="0" w:line="480" w:lineRule="auto"/>
        <w:rPr>
          <w:rFonts w:eastAsiaTheme="minorEastAsia"/>
        </w:rPr>
      </w:pPr>
    </w:p>
    <w:p w14:paraId="7D4DED5B" w14:textId="77777777" w:rsidR="001B518E" w:rsidRDefault="001B518E" w:rsidP="001B518E">
      <w:pPr>
        <w:pStyle w:val="L2JBody"/>
      </w:pPr>
      <w:r>
        <w:t xml:space="preserve">Mark used “I” extensively in the introduction (41 times), reflecting his personal connection to the topic. In the main sections, he used “you” sparingly (8 times), and “they” (12 times) to describe Japanese people, particularly </w:t>
      </w:r>
      <w:r w:rsidRPr="00C519C4">
        <w:rPr>
          <w:i/>
          <w:iCs/>
        </w:rPr>
        <w:t>hikikomori</w:t>
      </w:r>
      <w:r>
        <w:t xml:space="preserve">. </w:t>
      </w:r>
    </w:p>
    <w:p w14:paraId="3197A93B" w14:textId="77777777" w:rsidR="001B518E" w:rsidRDefault="001B518E" w:rsidP="001B518E">
      <w:pPr>
        <w:pStyle w:val="L2JBody"/>
      </w:pPr>
      <w:r>
        <w:t xml:space="preserve">In the introduction, Mark framed his connection to </w:t>
      </w:r>
      <w:r w:rsidRPr="00C519C4">
        <w:rPr>
          <w:i/>
          <w:iCs/>
        </w:rPr>
        <w:t>hikikomori</w:t>
      </w:r>
      <w:r>
        <w:t xml:space="preserve"> by recounting his struggles with bullying and social anxiety. </w:t>
      </w:r>
    </w:p>
    <w:p w14:paraId="18FC97DD" w14:textId="77777777" w:rsidR="001B518E" w:rsidRDefault="001B518E" w:rsidP="001B518E">
      <w:pPr>
        <w:pStyle w:val="L2JBody"/>
      </w:pPr>
    </w:p>
    <w:p w14:paraId="224408F0" w14:textId="77777777" w:rsidR="001B518E" w:rsidRDefault="001B518E" w:rsidP="001B518E">
      <w:pPr>
        <w:pStyle w:val="L2JBlockQuote"/>
      </w:pPr>
      <w:r w:rsidRPr="001B518E">
        <w:t>When I was given the assignment to write my final paper for my Japanese culture class, I really wanted to find a subject that not only reflects the Japanese culture but also connects to me as a person.</w:t>
      </w:r>
    </w:p>
    <w:p w14:paraId="4239F630" w14:textId="77777777" w:rsidR="001B518E" w:rsidRPr="001B518E" w:rsidRDefault="001B518E" w:rsidP="001B518E">
      <w:pPr>
        <w:pStyle w:val="L2JBlockQuote"/>
      </w:pPr>
    </w:p>
    <w:p w14:paraId="2717A420" w14:textId="77777777" w:rsidR="001B518E" w:rsidRDefault="001B518E" w:rsidP="001B518E">
      <w:pPr>
        <w:pStyle w:val="L2JBody"/>
      </w:pPr>
      <w:bookmarkStart w:id="5" w:name="_Hlk187831642"/>
      <w:r>
        <w:rPr>
          <w:rFonts w:hint="eastAsia"/>
        </w:rPr>
        <w:t>He</w:t>
      </w:r>
      <w:r w:rsidRPr="00A32529">
        <w:t xml:space="preserve"> found </w:t>
      </w:r>
      <w:r w:rsidRPr="00C519C4">
        <w:rPr>
          <w:i/>
          <w:iCs/>
        </w:rPr>
        <w:t>hikikomori</w:t>
      </w:r>
      <w:r w:rsidRPr="00A32529">
        <w:t xml:space="preserve"> intriguing as a uniquely Japanese phenomenon, yet one with parallels to his own experiences.</w:t>
      </w:r>
      <w:r>
        <w:rPr>
          <w:rFonts w:hint="eastAsia"/>
        </w:rPr>
        <w:t xml:space="preserve"> Reflecting on this</w:t>
      </w:r>
      <w:r w:rsidRPr="00E4219A">
        <w:t xml:space="preserve">, </w:t>
      </w:r>
      <w:r>
        <w:rPr>
          <w:rFonts w:hint="eastAsia"/>
        </w:rPr>
        <w:t>he asked:</w:t>
      </w:r>
    </w:p>
    <w:p w14:paraId="0C2AAF99" w14:textId="77777777" w:rsidR="001B518E" w:rsidRDefault="001B518E" w:rsidP="001B518E">
      <w:pPr>
        <w:pStyle w:val="L2JBody"/>
      </w:pPr>
    </w:p>
    <w:p w14:paraId="5100174C" w14:textId="77777777" w:rsidR="001B518E" w:rsidRDefault="001B518E" w:rsidP="001B518E">
      <w:pPr>
        <w:pStyle w:val="L2JBlockQuote"/>
      </w:pPr>
      <w:r w:rsidRPr="001B518E">
        <w:t>How could such an efficient, strong, and prideful culture keep up such a high standard in honor, education, and productivity without grinding down some of its people?</w:t>
      </w:r>
    </w:p>
    <w:p w14:paraId="617AA22E" w14:textId="77777777" w:rsidR="001B518E" w:rsidRPr="001B518E" w:rsidRDefault="001B518E" w:rsidP="001B518E">
      <w:pPr>
        <w:pStyle w:val="L2JBlockQuote"/>
      </w:pPr>
    </w:p>
    <w:p w14:paraId="0B8A96E1" w14:textId="77777777" w:rsidR="001B518E" w:rsidRDefault="001B518E" w:rsidP="001B518E">
      <w:pPr>
        <w:pStyle w:val="L2JBody"/>
      </w:pPr>
      <w:r w:rsidRPr="00E4219A">
        <w:t xml:space="preserve"> This </w:t>
      </w:r>
      <w:r>
        <w:rPr>
          <w:rFonts w:hint="eastAsia"/>
        </w:rPr>
        <w:t xml:space="preserve">projection </w:t>
      </w:r>
      <w:r w:rsidRPr="00E4219A">
        <w:t xml:space="preserve">reveals how Mark </w:t>
      </w:r>
      <w:r>
        <w:rPr>
          <w:rFonts w:hint="eastAsia"/>
        </w:rPr>
        <w:t xml:space="preserve">mapped </w:t>
      </w:r>
      <w:r w:rsidRPr="00E4219A">
        <w:t xml:space="preserve">his own experiences onto Japanese </w:t>
      </w:r>
      <w:r w:rsidRPr="00652546">
        <w:t>society</w:t>
      </w:r>
      <w:r>
        <w:rPr>
          <w:rFonts w:hint="eastAsia"/>
        </w:rPr>
        <w:t>,</w:t>
      </w:r>
      <w:r w:rsidRPr="00652546">
        <w:t xml:space="preserve"> drawing</w:t>
      </w:r>
      <w:r w:rsidRPr="00E4219A">
        <w:t xml:space="preserve"> parallels between the challenges faced in American and Japanese contexts. Mark </w:t>
      </w:r>
      <w:r>
        <w:rPr>
          <w:rFonts w:hint="eastAsia"/>
        </w:rPr>
        <w:t xml:space="preserve">reinforces this projection </w:t>
      </w:r>
      <w:r>
        <w:t xml:space="preserve">by </w:t>
      </w:r>
      <w:r w:rsidRPr="00E4219A">
        <w:t xml:space="preserve">referencing his own experiences of bullying and the trauma of social anxiety, as </w:t>
      </w:r>
      <w:r>
        <w:rPr>
          <w:rFonts w:hint="eastAsia"/>
        </w:rPr>
        <w:t>seen below</w:t>
      </w:r>
      <w:r w:rsidRPr="00E4219A">
        <w:t>:</w:t>
      </w:r>
    </w:p>
    <w:p w14:paraId="5515F567" w14:textId="77777777" w:rsidR="001B518E" w:rsidRPr="00A32529" w:rsidRDefault="001B518E" w:rsidP="001B518E">
      <w:pPr>
        <w:pStyle w:val="L2JBody"/>
      </w:pPr>
    </w:p>
    <w:bookmarkEnd w:id="5"/>
    <w:p w14:paraId="5ECAE82A" w14:textId="77777777" w:rsidR="001B518E" w:rsidRDefault="001B518E" w:rsidP="001B518E">
      <w:pPr>
        <w:pStyle w:val="L2JBlockQuote"/>
      </w:pPr>
      <w:r w:rsidRPr="00CE25A6">
        <w:t>Growing up, I never excelled in school…the public and charter schools that I attended in my adolescence were full of bullies and my quiet demeanor made me a target…I started to hate school to the point where I would get physically sick and so I let fear and panic take control of me.</w:t>
      </w:r>
    </w:p>
    <w:p w14:paraId="7E500D37" w14:textId="77777777" w:rsidR="001B518E" w:rsidRPr="00A32529" w:rsidRDefault="001B518E" w:rsidP="001B518E">
      <w:pPr>
        <w:pStyle w:val="L2JBlockQuote"/>
      </w:pPr>
    </w:p>
    <w:p w14:paraId="29397677" w14:textId="77777777" w:rsidR="001B518E" w:rsidRDefault="001B518E" w:rsidP="001B518E">
      <w:pPr>
        <w:pStyle w:val="L2JBody"/>
      </w:pPr>
      <w:r w:rsidRPr="001B518E">
        <w:t>Mark’s stance in this past narrative juxtaposes</w:t>
      </w:r>
      <w:r w:rsidRPr="001B518E">
        <w:rPr>
          <w:rFonts w:hint="eastAsia"/>
        </w:rPr>
        <w:t xml:space="preserve"> his younger self with </w:t>
      </w:r>
      <w:r w:rsidRPr="001B518E">
        <w:t xml:space="preserve">Japanese </w:t>
      </w:r>
      <w:r w:rsidRPr="001B518E">
        <w:rPr>
          <w:i/>
          <w:iCs/>
        </w:rPr>
        <w:t>hikikomori</w:t>
      </w:r>
      <w:r w:rsidRPr="001B518E">
        <w:t xml:space="preserve"> adolescents, many of whom were also victims of a high-pressure </w:t>
      </w:r>
      <w:r w:rsidRPr="001B518E">
        <w:rPr>
          <w:rFonts w:hint="eastAsia"/>
        </w:rPr>
        <w:t xml:space="preserve">educational </w:t>
      </w:r>
      <w:r w:rsidRPr="001B518E">
        <w:t xml:space="preserve">environment. Such </w:t>
      </w:r>
      <w:r w:rsidRPr="001B518E">
        <w:rPr>
          <w:rFonts w:hint="eastAsia"/>
        </w:rPr>
        <w:t xml:space="preserve">symbolic </w:t>
      </w:r>
      <w:r w:rsidRPr="001B518E">
        <w:t xml:space="preserve">positioning </w:t>
      </w:r>
      <w:r w:rsidRPr="001B518E">
        <w:rPr>
          <w:rFonts w:hint="eastAsia"/>
        </w:rPr>
        <w:t xml:space="preserve">highlights </w:t>
      </w:r>
      <w:r w:rsidRPr="001B518E">
        <w:t>his strong personal connection to the research</w:t>
      </w:r>
      <w:r w:rsidRPr="001B518E">
        <w:rPr>
          <w:rFonts w:hint="eastAsia"/>
        </w:rPr>
        <w:t xml:space="preserve"> and </w:t>
      </w:r>
      <w:r w:rsidRPr="001B518E">
        <w:t xml:space="preserve">his empathetic </w:t>
      </w:r>
      <w:r w:rsidRPr="001B518E">
        <w:rPr>
          <w:rFonts w:hint="eastAsia"/>
        </w:rPr>
        <w:t xml:space="preserve">engagement with </w:t>
      </w:r>
      <w:r w:rsidRPr="001B518E">
        <w:t>its subjects. He then moves from the past to present:</w:t>
      </w:r>
    </w:p>
    <w:p w14:paraId="0E0BC3A7" w14:textId="77777777" w:rsidR="00FB12DC" w:rsidRPr="001B518E" w:rsidRDefault="00FB12DC" w:rsidP="001B518E">
      <w:pPr>
        <w:pStyle w:val="L2JBody"/>
      </w:pPr>
    </w:p>
    <w:p w14:paraId="1C827997" w14:textId="77777777" w:rsidR="001B518E" w:rsidRDefault="001B518E" w:rsidP="001B518E">
      <w:pPr>
        <w:pStyle w:val="L2JBlockQuote"/>
      </w:pPr>
      <w:r w:rsidRPr="008E4E4B">
        <w:t xml:space="preserve">One of my biggest successes was discovering my inner strength…every day, I push myself to doing things that may seem easy or simple to many, but to me, it’s a success on </w:t>
      </w:r>
      <w:r>
        <w:t xml:space="preserve">[sic] </w:t>
      </w:r>
      <w:r w:rsidRPr="008E4E4B">
        <w:t>its right.</w:t>
      </w:r>
    </w:p>
    <w:p w14:paraId="14D601BB" w14:textId="77777777" w:rsidR="005A311A" w:rsidRDefault="005A311A" w:rsidP="001B518E">
      <w:pPr>
        <w:pStyle w:val="L2JBlockQuote"/>
      </w:pPr>
    </w:p>
    <w:p w14:paraId="547F5ED6" w14:textId="77777777" w:rsidR="001B518E" w:rsidRPr="005A311A" w:rsidRDefault="001B518E" w:rsidP="005A311A">
      <w:pPr>
        <w:pStyle w:val="L2JBody"/>
      </w:pPr>
      <w:bookmarkStart w:id="6" w:name="_Hlk187831848"/>
      <w:r w:rsidRPr="005A311A">
        <w:rPr>
          <w:rFonts w:hint="eastAsia"/>
        </w:rPr>
        <w:t>This</w:t>
      </w:r>
      <w:r w:rsidRPr="005A311A">
        <w:t xml:space="preserve"> temporal shift </w:t>
      </w:r>
      <w:r w:rsidRPr="005A311A">
        <w:rPr>
          <w:rFonts w:hint="eastAsia"/>
        </w:rPr>
        <w:t xml:space="preserve">offers </w:t>
      </w:r>
      <w:r w:rsidRPr="005A311A">
        <w:t xml:space="preserve">a fresh perspective on his past, highlighting his ability to overcome challenges and move forward. This navigation between stances is key to understanding his conclusion, as it reflects his evolving identity. He not only distances himself from his past but views it with calm confidence. More importantly, this shift enables him to project his experiences onto Japanese adolescents who became </w:t>
      </w:r>
      <w:r w:rsidRPr="005A311A">
        <w:rPr>
          <w:i/>
          <w:iCs/>
        </w:rPr>
        <w:t>hikikomori</w:t>
      </w:r>
      <w:r w:rsidRPr="005A311A">
        <w:t xml:space="preserve"> due to societal pressures. </w:t>
      </w:r>
    </w:p>
    <w:p w14:paraId="35660E6F" w14:textId="77777777" w:rsidR="001B518E" w:rsidRDefault="001B518E" w:rsidP="005A311A">
      <w:pPr>
        <w:pStyle w:val="L2JBody"/>
      </w:pPr>
      <w:r w:rsidRPr="00DD28DC">
        <w:t xml:space="preserve">In sum, Mark’s narrative of his past and present underscores his personal connection to the research. It illustrates </w:t>
      </w:r>
      <w:r>
        <w:rPr>
          <w:rFonts w:hint="eastAsia"/>
        </w:rPr>
        <w:t xml:space="preserve">a </w:t>
      </w:r>
      <w:r w:rsidRPr="00DD28DC">
        <w:t xml:space="preserve">process of projection, where he identified with </w:t>
      </w:r>
      <w:r w:rsidRPr="00C519C4">
        <w:rPr>
          <w:i/>
          <w:iCs/>
        </w:rPr>
        <w:t>hikikomori</w:t>
      </w:r>
      <w:r w:rsidRPr="00DD28DC">
        <w:t xml:space="preserve"> youth, seeing their struggles as a </w:t>
      </w:r>
      <w:r>
        <w:rPr>
          <w:rFonts w:hint="eastAsia"/>
        </w:rPr>
        <w:t xml:space="preserve">mirroring </w:t>
      </w:r>
      <w:r w:rsidRPr="00DD28DC">
        <w:t>his own as an underdog in a competitive society.</w:t>
      </w:r>
      <w:r w:rsidRPr="00897313">
        <w:t xml:space="preserve"> </w:t>
      </w:r>
      <w:r>
        <w:rPr>
          <w:rFonts w:hint="eastAsia"/>
        </w:rPr>
        <w:t>His text</w:t>
      </w:r>
      <w:r w:rsidRPr="00897313">
        <w:t xml:space="preserve"> exemplifies how a learner’s personal narrative, refracted through a symbolic and poststructuralist lens, can foster a nuanced form of empathy</w:t>
      </w:r>
      <w:r w:rsidRPr="00784E9F">
        <w:t>—</w:t>
      </w:r>
      <w:r w:rsidRPr="00897313">
        <w:t xml:space="preserve">one </w:t>
      </w:r>
      <w:r>
        <w:rPr>
          <w:rFonts w:hint="eastAsia"/>
        </w:rPr>
        <w:t xml:space="preserve">that </w:t>
      </w:r>
      <w:r w:rsidRPr="00897313">
        <w:t xml:space="preserve">engages </w:t>
      </w:r>
      <w:r>
        <w:rPr>
          <w:rFonts w:hint="eastAsia"/>
        </w:rPr>
        <w:t xml:space="preserve">cultural difference </w:t>
      </w:r>
      <w:r w:rsidRPr="00897313">
        <w:t>dialogically and imaginatively.</w:t>
      </w:r>
      <w:bookmarkEnd w:id="6"/>
    </w:p>
    <w:p w14:paraId="143E9557" w14:textId="77777777" w:rsidR="005A311A" w:rsidRDefault="005A311A" w:rsidP="005A311A">
      <w:pPr>
        <w:pStyle w:val="L2JBody"/>
      </w:pPr>
    </w:p>
    <w:p w14:paraId="2744983C" w14:textId="014A10CE" w:rsidR="001B518E" w:rsidRPr="005A311A" w:rsidRDefault="001B518E" w:rsidP="005A311A">
      <w:pPr>
        <w:pStyle w:val="L2JH3"/>
      </w:pPr>
      <w:r w:rsidRPr="005A311A">
        <w:t xml:space="preserve">Dialogue </w:t>
      </w:r>
      <w:r w:rsidR="005A311A" w:rsidRPr="005A311A">
        <w:t xml:space="preserve">With “Imagined” </w:t>
      </w:r>
      <w:r w:rsidRPr="005A311A">
        <w:t>Japanese</w:t>
      </w:r>
      <w:r w:rsidR="005A311A" w:rsidRPr="005A311A">
        <w:t xml:space="preserve">: “Self” In </w:t>
      </w:r>
      <w:proofErr w:type="gramStart"/>
      <w:r w:rsidR="005A311A" w:rsidRPr="005A311A">
        <w:t>The</w:t>
      </w:r>
      <w:proofErr w:type="gramEnd"/>
      <w:r w:rsidR="005A311A" w:rsidRPr="005A311A">
        <w:t xml:space="preserve"> Mirror Of “Others”</w:t>
      </w:r>
    </w:p>
    <w:p w14:paraId="7CC3D7CD" w14:textId="77777777" w:rsidR="005A311A" w:rsidRDefault="005A311A" w:rsidP="005A311A">
      <w:pPr>
        <w:pStyle w:val="L2JBody"/>
        <w:ind w:firstLine="0"/>
      </w:pPr>
    </w:p>
    <w:p w14:paraId="0D90FC75" w14:textId="02511CA0" w:rsidR="001B518E" w:rsidRDefault="001B518E" w:rsidP="005A311A">
      <w:pPr>
        <w:pStyle w:val="L2JBody"/>
        <w:ind w:firstLine="0"/>
      </w:pPr>
      <w:r w:rsidRPr="00817739">
        <w:t xml:space="preserve">This section explores how Mark constructs empathy through rhetorical engagement with an imagined Japanese audience. In contrast to the personal narrative stance established in the introduction, the conclusion reveals a dynamic discursive interaction with </w:t>
      </w:r>
      <w:r w:rsidRPr="00C519C4">
        <w:rPr>
          <w:i/>
          <w:iCs/>
        </w:rPr>
        <w:t xml:space="preserve">hikikomori </w:t>
      </w:r>
      <w:r w:rsidRPr="00817739">
        <w:t>youth</w:t>
      </w:r>
      <w:r w:rsidRPr="00DB5C2D">
        <w:t>—</w:t>
      </w:r>
      <w:r>
        <w:rPr>
          <w:rFonts w:hint="eastAsia"/>
        </w:rPr>
        <w:t xml:space="preserve"> </w:t>
      </w:r>
      <w:r w:rsidRPr="00817739">
        <w:t xml:space="preserve">symbolically </w:t>
      </w:r>
      <w:r>
        <w:rPr>
          <w:rFonts w:hint="eastAsia"/>
        </w:rPr>
        <w:t xml:space="preserve">constructed </w:t>
      </w:r>
      <w:r w:rsidRPr="00817739">
        <w:t xml:space="preserve">through shifts in pronouns, modal expressions, and face-work. Drawing on </w:t>
      </w:r>
      <w:proofErr w:type="spellStart"/>
      <w:r w:rsidRPr="00817739">
        <w:t>Kramsch’s</w:t>
      </w:r>
      <w:proofErr w:type="spellEnd"/>
      <w:r w:rsidRPr="00817739">
        <w:t xml:space="preserve"> theory of symbolic competence, as well as Goffman’s and Lakoff’s frameworks, this analysis </w:t>
      </w:r>
      <w:r>
        <w:t>shows</w:t>
      </w:r>
      <w:r>
        <w:rPr>
          <w:rFonts w:hint="eastAsia"/>
        </w:rPr>
        <w:t xml:space="preserve"> </w:t>
      </w:r>
      <w:r w:rsidRPr="00817739">
        <w:t>how empathy for cultural “</w:t>
      </w:r>
      <w:r>
        <w:rPr>
          <w:rFonts w:hint="eastAsia"/>
        </w:rPr>
        <w:t>o</w:t>
      </w:r>
      <w:r w:rsidRPr="00817739">
        <w:t>thers” can emerge through linguistic choices that position the self in dialogic relation to an imagined interlocutor.</w:t>
      </w:r>
    </w:p>
    <w:p w14:paraId="0E31D2FF" w14:textId="55CB4484" w:rsidR="001B518E" w:rsidRDefault="001B518E" w:rsidP="005A311A">
      <w:pPr>
        <w:pStyle w:val="L2JBody"/>
      </w:pPr>
      <w:r w:rsidRPr="00D0168C">
        <w:t xml:space="preserve">Mark’s paper </w:t>
      </w:r>
      <w:r>
        <w:rPr>
          <w:rFonts w:hint="eastAsia"/>
        </w:rPr>
        <w:t xml:space="preserve">includes </w:t>
      </w:r>
      <w:r w:rsidRPr="00D0168C">
        <w:t xml:space="preserve">a well-researched and objective analysis of the </w:t>
      </w:r>
      <w:r w:rsidRPr="00CD57C3">
        <w:rPr>
          <w:i/>
          <w:iCs/>
        </w:rPr>
        <w:t>hikikomori</w:t>
      </w:r>
      <w:r w:rsidRPr="00D0168C">
        <w:t xml:space="preserve"> phenomenon. </w:t>
      </w:r>
      <w:r w:rsidRPr="00CD57C3">
        <w:rPr>
          <w:rFonts w:hint="eastAsia"/>
        </w:rPr>
        <w:t xml:space="preserve">While that </w:t>
      </w:r>
      <w:r w:rsidRPr="00CD57C3">
        <w:t xml:space="preserve">discussion </w:t>
      </w:r>
      <w:r w:rsidRPr="00CD57C3">
        <w:rPr>
          <w:rFonts w:hint="eastAsia"/>
        </w:rPr>
        <w:t xml:space="preserve">is not detailed here, this section </w:t>
      </w:r>
      <w:r w:rsidRPr="00CD57C3">
        <w:t>focus</w:t>
      </w:r>
      <w:r w:rsidRPr="00CD57C3">
        <w:rPr>
          <w:rFonts w:hint="eastAsia"/>
        </w:rPr>
        <w:t>es</w:t>
      </w:r>
      <w:r w:rsidRPr="00CD57C3">
        <w:t xml:space="preserve"> on the conclusion, where his subjective stance </w:t>
      </w:r>
      <w:r w:rsidRPr="00CD57C3">
        <w:rPr>
          <w:rFonts w:hint="eastAsia"/>
        </w:rPr>
        <w:t xml:space="preserve">aligns with </w:t>
      </w:r>
      <w:r w:rsidRPr="00CD57C3">
        <w:t>the introduction</w:t>
      </w:r>
      <w:r w:rsidRPr="00D0168C">
        <w:t xml:space="preserve">. </w:t>
      </w:r>
      <w:r>
        <w:rPr>
          <w:rFonts w:hint="eastAsia"/>
        </w:rPr>
        <w:t>E</w:t>
      </w:r>
      <w:r w:rsidRPr="00D0168C">
        <w:t>ach sentence or clause was numbered and categorized into six speech act groups</w:t>
      </w:r>
      <w:r>
        <w:rPr>
          <w:rFonts w:hint="eastAsia"/>
        </w:rPr>
        <w:t xml:space="preserve"> (see Table</w:t>
      </w:r>
      <w:r w:rsidR="00276AEA">
        <w:t xml:space="preserve"> </w:t>
      </w:r>
      <w:r>
        <w:rPr>
          <w:rFonts w:hint="eastAsia"/>
        </w:rPr>
        <w:t>2)</w:t>
      </w:r>
      <w:r w:rsidRPr="00D0168C">
        <w:t xml:space="preserve">, </w:t>
      </w:r>
      <w:r>
        <w:rPr>
          <w:rFonts w:hint="eastAsia"/>
        </w:rPr>
        <w:t xml:space="preserve">and modal usage was </w:t>
      </w:r>
      <w:r w:rsidRPr="00D0168C">
        <w:lastRenderedPageBreak/>
        <w:t xml:space="preserve">analyzed </w:t>
      </w:r>
      <w:r>
        <w:rPr>
          <w:rFonts w:hint="eastAsia"/>
        </w:rPr>
        <w:t xml:space="preserve">alongside pronoun shifts </w:t>
      </w:r>
      <w:r w:rsidRPr="00D0168C">
        <w:t>to uncover intentions and beliefs expressed across lexical, syntactic, semantic, and pragmatic levels.</w:t>
      </w:r>
    </w:p>
    <w:p w14:paraId="688D4256" w14:textId="77777777" w:rsidR="005A311A" w:rsidRPr="005250B6" w:rsidRDefault="005A311A" w:rsidP="005A311A">
      <w:pPr>
        <w:pStyle w:val="L2JBody"/>
      </w:pPr>
    </w:p>
    <w:p w14:paraId="57E13E7F" w14:textId="77777777" w:rsidR="005A311A" w:rsidRDefault="001B518E" w:rsidP="005A311A">
      <w:pPr>
        <w:pStyle w:val="L2JFigureCallOut"/>
      </w:pPr>
      <w:r w:rsidRPr="00B6357E">
        <w:t>Table 2</w:t>
      </w:r>
    </w:p>
    <w:p w14:paraId="4014393D" w14:textId="77777777" w:rsidR="005A311A" w:rsidRDefault="005A311A" w:rsidP="001B518E">
      <w:pPr>
        <w:rPr>
          <w:rFonts w:ascii="Times New Roman" w:hAnsi="Times New Roman" w:cs="Times New Roman"/>
          <w:sz w:val="24"/>
          <w:szCs w:val="24"/>
        </w:rPr>
      </w:pPr>
    </w:p>
    <w:p w14:paraId="287846D9" w14:textId="1A041A7B" w:rsidR="001B518E" w:rsidRDefault="001B518E" w:rsidP="005A311A">
      <w:pPr>
        <w:pStyle w:val="L2JFigureTitle"/>
      </w:pPr>
      <w:r w:rsidRPr="00B6357E">
        <w:t>Speech Acts</w:t>
      </w:r>
      <w:r w:rsidR="005A311A" w:rsidRPr="00B6357E">
        <w:t xml:space="preserve">, </w:t>
      </w:r>
      <w:r w:rsidRPr="00B6357E">
        <w:t>Pronoun Usage</w:t>
      </w:r>
      <w:r w:rsidR="005A311A" w:rsidRPr="00B6357E">
        <w:t xml:space="preserve">, And </w:t>
      </w:r>
      <w:r w:rsidRPr="00B6357E">
        <w:t xml:space="preserve">Modalities </w:t>
      </w:r>
      <w:proofErr w:type="gramStart"/>
      <w:r w:rsidR="005A311A" w:rsidRPr="00B6357E">
        <w:t>In</w:t>
      </w:r>
      <w:proofErr w:type="gramEnd"/>
      <w:r w:rsidR="005A311A" w:rsidRPr="00B6357E">
        <w:t xml:space="preserve"> </w:t>
      </w:r>
      <w:r w:rsidRPr="00B6357E">
        <w:t>Mark’s Paper</w:t>
      </w:r>
      <w:r w:rsidRPr="00443427">
        <w:t xml:space="preserve">  </w:t>
      </w:r>
    </w:p>
    <w:p w14:paraId="7350C718" w14:textId="77777777" w:rsidR="005A311A" w:rsidRPr="00443427" w:rsidRDefault="005A311A" w:rsidP="005A311A">
      <w:pPr>
        <w:pStyle w:val="L2JFigureTitle"/>
      </w:pPr>
    </w:p>
    <w:tbl>
      <w:tblPr>
        <w:tblStyle w:val="TableGrid"/>
        <w:tblW w:w="0" w:type="auto"/>
        <w:tblInd w:w="265" w:type="dxa"/>
        <w:tblLook w:val="04A0" w:firstRow="1" w:lastRow="0" w:firstColumn="1" w:lastColumn="0" w:noHBand="0" w:noVBand="1"/>
      </w:tblPr>
      <w:tblGrid>
        <w:gridCol w:w="2010"/>
        <w:gridCol w:w="1680"/>
        <w:gridCol w:w="1756"/>
        <w:gridCol w:w="2919"/>
      </w:tblGrid>
      <w:tr w:rsidR="001B518E" w14:paraId="177CD677" w14:textId="77777777" w:rsidTr="00B46F8B">
        <w:trPr>
          <w:trHeight w:val="404"/>
        </w:trPr>
        <w:tc>
          <w:tcPr>
            <w:tcW w:w="2160" w:type="dxa"/>
          </w:tcPr>
          <w:p w14:paraId="2942ADE1"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Speech Act</w:t>
            </w:r>
          </w:p>
        </w:tc>
        <w:tc>
          <w:tcPr>
            <w:tcW w:w="1800" w:type="dxa"/>
          </w:tcPr>
          <w:p w14:paraId="7E15494E"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Pronoun (I)</w:t>
            </w:r>
          </w:p>
        </w:tc>
        <w:tc>
          <w:tcPr>
            <w:tcW w:w="1890" w:type="dxa"/>
          </w:tcPr>
          <w:p w14:paraId="11AA3ADC"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Pronoun (You)</w:t>
            </w:r>
          </w:p>
        </w:tc>
        <w:tc>
          <w:tcPr>
            <w:tcW w:w="3235" w:type="dxa"/>
          </w:tcPr>
          <w:p w14:paraId="4AA0D79F"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Modality</w:t>
            </w:r>
          </w:p>
        </w:tc>
      </w:tr>
      <w:tr w:rsidR="001B518E" w14:paraId="03C51D45" w14:textId="77777777" w:rsidTr="00B46F8B">
        <w:trPr>
          <w:trHeight w:val="629"/>
        </w:trPr>
        <w:tc>
          <w:tcPr>
            <w:tcW w:w="2160" w:type="dxa"/>
          </w:tcPr>
          <w:p w14:paraId="2B3C55B2"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Talk about own experience (1-5)</w:t>
            </w:r>
          </w:p>
        </w:tc>
        <w:tc>
          <w:tcPr>
            <w:tcW w:w="1800" w:type="dxa"/>
          </w:tcPr>
          <w:p w14:paraId="44B04590"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5</w:t>
            </w:r>
          </w:p>
        </w:tc>
        <w:tc>
          <w:tcPr>
            <w:tcW w:w="1890" w:type="dxa"/>
          </w:tcPr>
          <w:p w14:paraId="39696C1F"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2</w:t>
            </w:r>
          </w:p>
        </w:tc>
        <w:tc>
          <w:tcPr>
            <w:tcW w:w="3235" w:type="dxa"/>
          </w:tcPr>
          <w:p w14:paraId="1C65ADB1"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Epistemic modality</w:t>
            </w:r>
          </w:p>
        </w:tc>
      </w:tr>
      <w:tr w:rsidR="001B518E" w14:paraId="373F32C9" w14:textId="77777777" w:rsidTr="00B46F8B">
        <w:tc>
          <w:tcPr>
            <w:tcW w:w="2160" w:type="dxa"/>
          </w:tcPr>
          <w:p w14:paraId="3C009BDC"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Give advice (6-14)</w:t>
            </w:r>
          </w:p>
        </w:tc>
        <w:tc>
          <w:tcPr>
            <w:tcW w:w="1800" w:type="dxa"/>
          </w:tcPr>
          <w:p w14:paraId="7E681ECF"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0</w:t>
            </w:r>
          </w:p>
        </w:tc>
        <w:tc>
          <w:tcPr>
            <w:tcW w:w="1890" w:type="dxa"/>
          </w:tcPr>
          <w:p w14:paraId="7B72EDDF"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7</w:t>
            </w:r>
          </w:p>
        </w:tc>
        <w:tc>
          <w:tcPr>
            <w:tcW w:w="3235" w:type="dxa"/>
          </w:tcPr>
          <w:p w14:paraId="031C7BD3"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Imperative mood</w:t>
            </w:r>
          </w:p>
          <w:p w14:paraId="76C71235"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Deontic modality</w:t>
            </w:r>
          </w:p>
          <w:p w14:paraId="4E12832D"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Un-modalized assertion</w:t>
            </w:r>
          </w:p>
        </w:tc>
      </w:tr>
      <w:tr w:rsidR="001B518E" w14:paraId="3F4E6FF4" w14:textId="77777777" w:rsidTr="00B46F8B">
        <w:tc>
          <w:tcPr>
            <w:tcW w:w="2160" w:type="dxa"/>
          </w:tcPr>
          <w:p w14:paraId="0E8C0FE8"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Talk about own experience (15-19)</w:t>
            </w:r>
          </w:p>
        </w:tc>
        <w:tc>
          <w:tcPr>
            <w:tcW w:w="1800" w:type="dxa"/>
          </w:tcPr>
          <w:p w14:paraId="2E4AE451"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4</w:t>
            </w:r>
          </w:p>
        </w:tc>
        <w:tc>
          <w:tcPr>
            <w:tcW w:w="1890" w:type="dxa"/>
          </w:tcPr>
          <w:p w14:paraId="0A25B146"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0</w:t>
            </w:r>
          </w:p>
        </w:tc>
        <w:tc>
          <w:tcPr>
            <w:tcW w:w="3235" w:type="dxa"/>
          </w:tcPr>
          <w:p w14:paraId="630E8698"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Epistemic modality</w:t>
            </w:r>
          </w:p>
        </w:tc>
      </w:tr>
      <w:tr w:rsidR="001B518E" w14:paraId="5C23E243" w14:textId="77777777" w:rsidTr="00B46F8B">
        <w:trPr>
          <w:trHeight w:val="1016"/>
        </w:trPr>
        <w:tc>
          <w:tcPr>
            <w:tcW w:w="2160" w:type="dxa"/>
          </w:tcPr>
          <w:p w14:paraId="3F29AB59"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Give advice (20-23)</w:t>
            </w:r>
          </w:p>
        </w:tc>
        <w:tc>
          <w:tcPr>
            <w:tcW w:w="1800" w:type="dxa"/>
          </w:tcPr>
          <w:p w14:paraId="3C9F48A7"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0</w:t>
            </w:r>
          </w:p>
        </w:tc>
        <w:tc>
          <w:tcPr>
            <w:tcW w:w="1890" w:type="dxa"/>
          </w:tcPr>
          <w:p w14:paraId="45B307E8"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1</w:t>
            </w:r>
          </w:p>
        </w:tc>
        <w:tc>
          <w:tcPr>
            <w:tcW w:w="3235" w:type="dxa"/>
          </w:tcPr>
          <w:p w14:paraId="004335F0"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Direct</w:t>
            </w:r>
          </w:p>
          <w:p w14:paraId="2D78E5D2" w14:textId="77777777" w:rsidR="001B518E" w:rsidRPr="005A311A" w:rsidRDefault="001B518E" w:rsidP="00B46F8B">
            <w:pPr>
              <w:rPr>
                <w:rFonts w:ascii="Garamond" w:hAnsi="Garamond" w:cs="Times New Roman"/>
                <w:sz w:val="24"/>
                <w:szCs w:val="24"/>
              </w:rPr>
            </w:pPr>
            <w:proofErr w:type="spellStart"/>
            <w:r w:rsidRPr="005A311A">
              <w:rPr>
                <w:rFonts w:ascii="Garamond" w:hAnsi="Garamond" w:cs="Times New Roman"/>
                <w:sz w:val="24"/>
                <w:szCs w:val="24"/>
              </w:rPr>
              <w:t>Boulomaic</w:t>
            </w:r>
            <w:proofErr w:type="spellEnd"/>
            <w:r w:rsidRPr="005A311A">
              <w:rPr>
                <w:rFonts w:ascii="Garamond" w:hAnsi="Garamond" w:cs="Times New Roman"/>
                <w:sz w:val="24"/>
                <w:szCs w:val="24"/>
              </w:rPr>
              <w:t xml:space="preserve"> modality</w:t>
            </w:r>
          </w:p>
          <w:p w14:paraId="12157486"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Epistemic modality</w:t>
            </w:r>
          </w:p>
        </w:tc>
      </w:tr>
      <w:tr w:rsidR="001B518E" w14:paraId="62807662" w14:textId="77777777" w:rsidTr="00B46F8B">
        <w:tc>
          <w:tcPr>
            <w:tcW w:w="2160" w:type="dxa"/>
          </w:tcPr>
          <w:p w14:paraId="67AC1D46"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Talk about own experience (24-25)</w:t>
            </w:r>
          </w:p>
        </w:tc>
        <w:tc>
          <w:tcPr>
            <w:tcW w:w="1800" w:type="dxa"/>
          </w:tcPr>
          <w:p w14:paraId="50EBE6B6"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2</w:t>
            </w:r>
          </w:p>
        </w:tc>
        <w:tc>
          <w:tcPr>
            <w:tcW w:w="1890" w:type="dxa"/>
          </w:tcPr>
          <w:p w14:paraId="04FEBD9F"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0</w:t>
            </w:r>
          </w:p>
        </w:tc>
        <w:tc>
          <w:tcPr>
            <w:tcW w:w="3235" w:type="dxa"/>
          </w:tcPr>
          <w:p w14:paraId="3BBD26A6"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Epistemic modality</w:t>
            </w:r>
          </w:p>
        </w:tc>
      </w:tr>
      <w:tr w:rsidR="001B518E" w14:paraId="7E017F40" w14:textId="77777777" w:rsidTr="00B46F8B">
        <w:tc>
          <w:tcPr>
            <w:tcW w:w="2160" w:type="dxa"/>
          </w:tcPr>
          <w:p w14:paraId="754A83C3"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Give advice (26)</w:t>
            </w:r>
          </w:p>
        </w:tc>
        <w:tc>
          <w:tcPr>
            <w:tcW w:w="1800" w:type="dxa"/>
          </w:tcPr>
          <w:p w14:paraId="46ADBAD6"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2</w:t>
            </w:r>
          </w:p>
        </w:tc>
        <w:tc>
          <w:tcPr>
            <w:tcW w:w="1890" w:type="dxa"/>
          </w:tcPr>
          <w:p w14:paraId="11E58C45"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0</w:t>
            </w:r>
          </w:p>
        </w:tc>
        <w:tc>
          <w:tcPr>
            <w:tcW w:w="3235" w:type="dxa"/>
          </w:tcPr>
          <w:p w14:paraId="2E42F574" w14:textId="77777777" w:rsidR="001B518E" w:rsidRPr="005A311A" w:rsidRDefault="001B518E" w:rsidP="00B46F8B">
            <w:pPr>
              <w:rPr>
                <w:rFonts w:ascii="Garamond" w:hAnsi="Garamond" w:cs="Times New Roman"/>
                <w:sz w:val="24"/>
                <w:szCs w:val="24"/>
              </w:rPr>
            </w:pPr>
            <w:proofErr w:type="spellStart"/>
            <w:r w:rsidRPr="005A311A">
              <w:rPr>
                <w:rFonts w:ascii="Garamond" w:hAnsi="Garamond" w:cs="Times New Roman"/>
                <w:sz w:val="24"/>
                <w:szCs w:val="24"/>
              </w:rPr>
              <w:t>Boulomaic</w:t>
            </w:r>
            <w:proofErr w:type="spellEnd"/>
            <w:r w:rsidRPr="005A311A">
              <w:rPr>
                <w:rFonts w:ascii="Garamond" w:hAnsi="Garamond" w:cs="Times New Roman"/>
                <w:sz w:val="24"/>
                <w:szCs w:val="24"/>
              </w:rPr>
              <w:t xml:space="preserve"> modality</w:t>
            </w:r>
          </w:p>
          <w:p w14:paraId="59CF3A6E" w14:textId="77777777" w:rsidR="001B518E" w:rsidRPr="005A311A" w:rsidRDefault="001B518E" w:rsidP="00B46F8B">
            <w:pPr>
              <w:rPr>
                <w:rFonts w:ascii="Garamond" w:hAnsi="Garamond" w:cs="Times New Roman"/>
                <w:sz w:val="24"/>
                <w:szCs w:val="24"/>
              </w:rPr>
            </w:pPr>
            <w:r w:rsidRPr="005A311A">
              <w:rPr>
                <w:rFonts w:ascii="Garamond" w:hAnsi="Garamond" w:cs="Times New Roman"/>
                <w:sz w:val="24"/>
                <w:szCs w:val="24"/>
              </w:rPr>
              <w:t>Epistemic modality</w:t>
            </w:r>
          </w:p>
        </w:tc>
      </w:tr>
    </w:tbl>
    <w:p w14:paraId="1A7BACAB" w14:textId="77777777" w:rsidR="001B518E" w:rsidRDefault="001B518E" w:rsidP="001B518E">
      <w:pPr>
        <w:spacing w:line="480" w:lineRule="auto"/>
        <w:rPr>
          <w:rFonts w:ascii="Times New Roman" w:hAnsi="Times New Roman" w:cs="Times New Roman"/>
          <w:sz w:val="24"/>
          <w:szCs w:val="24"/>
        </w:rPr>
      </w:pPr>
    </w:p>
    <w:p w14:paraId="159BDDB0" w14:textId="77777777" w:rsidR="001B518E" w:rsidRDefault="001B518E" w:rsidP="005A311A">
      <w:pPr>
        <w:pStyle w:val="L2JBody"/>
      </w:pPr>
      <w:r w:rsidRPr="00577F44">
        <w:t xml:space="preserve">As indicated earlier, Mark’s conclusion reflects a dialogue with imagined </w:t>
      </w:r>
      <w:r w:rsidRPr="00C519C4">
        <w:rPr>
          <w:i/>
          <w:iCs/>
        </w:rPr>
        <w:t>hikikomori</w:t>
      </w:r>
      <w:r w:rsidRPr="00577F44">
        <w:t xml:space="preserve"> adolescents. Two </w:t>
      </w:r>
      <w:r>
        <w:t>primary speech</w:t>
      </w:r>
      <w:r w:rsidRPr="00577F44">
        <w:t xml:space="preserve"> acts</w:t>
      </w:r>
      <w:proofErr w:type="gramStart"/>
      <w:r w:rsidRPr="005C6F39">
        <w:t>—</w:t>
      </w:r>
      <w:r w:rsidRPr="00577F44">
        <w:t>“</w:t>
      </w:r>
      <w:proofErr w:type="gramEnd"/>
      <w:r>
        <w:rPr>
          <w:rFonts w:hint="eastAsia"/>
        </w:rPr>
        <w:t>t</w:t>
      </w:r>
      <w:r w:rsidRPr="00577F44">
        <w:t>alking about his own experience” and “</w:t>
      </w:r>
      <w:r>
        <w:rPr>
          <w:rFonts w:hint="eastAsia"/>
        </w:rPr>
        <w:t>g</w:t>
      </w:r>
      <w:r w:rsidRPr="00577F44">
        <w:t>iving advice”</w:t>
      </w:r>
      <w:r>
        <w:rPr>
          <w:rFonts w:hint="eastAsia"/>
        </w:rPr>
        <w:t xml:space="preserve"> </w:t>
      </w:r>
      <w:r w:rsidRPr="005C6F39">
        <w:t>—</w:t>
      </w:r>
      <w:r w:rsidRPr="00577F44">
        <w:t>alternate throughout the conclusion. When discuss</w:t>
      </w:r>
      <w:r>
        <w:t>ing personal</w:t>
      </w:r>
      <w:r w:rsidRPr="00577F44">
        <w:t xml:space="preserve"> experiences, </w:t>
      </w:r>
      <w:r>
        <w:rPr>
          <w:rFonts w:hint="eastAsia"/>
        </w:rPr>
        <w:t>Mark</w:t>
      </w:r>
      <w:r w:rsidRPr="00577F44">
        <w:t xml:space="preserve"> predominantly </w:t>
      </w:r>
      <w:r>
        <w:rPr>
          <w:rFonts w:hint="eastAsia"/>
        </w:rPr>
        <w:t xml:space="preserve">uses </w:t>
      </w:r>
      <w:r w:rsidRPr="00577F44">
        <w:t>epistemic modalities at both lexical and syntactic levels.</w:t>
      </w:r>
    </w:p>
    <w:p w14:paraId="3F8DA97F" w14:textId="77777777" w:rsidR="005A311A" w:rsidRDefault="005A311A" w:rsidP="005A311A">
      <w:pPr>
        <w:pStyle w:val="L2JBody"/>
      </w:pPr>
    </w:p>
    <w:p w14:paraId="179459F2" w14:textId="44487533" w:rsidR="001B518E" w:rsidRDefault="001B518E" w:rsidP="005A311A">
      <w:pPr>
        <w:pStyle w:val="L2JFigureCallOut"/>
      </w:pPr>
      <w:r w:rsidRPr="005250B6">
        <w:t>Excerpt 1</w:t>
      </w:r>
    </w:p>
    <w:p w14:paraId="0F738ED9" w14:textId="77777777" w:rsidR="005A311A" w:rsidRPr="004D5898" w:rsidRDefault="005A311A" w:rsidP="005A311A">
      <w:pPr>
        <w:pStyle w:val="L2JFigureCallOut"/>
      </w:pPr>
    </w:p>
    <w:p w14:paraId="0331C207" w14:textId="721065F9" w:rsidR="005A311A" w:rsidRDefault="001B518E" w:rsidP="005A311A">
      <w:pPr>
        <w:pStyle w:val="L2JBody"/>
        <w:ind w:firstLine="0"/>
      </w:pPr>
      <w:r w:rsidRPr="005A311A">
        <w:t xml:space="preserve">Line 2: </w:t>
      </w:r>
      <w:r w:rsidR="00276AEA">
        <w:tab/>
      </w:r>
      <w:r w:rsidRPr="005A311A">
        <w:t>I know first-hand how uncontrollable social fear can destroy your life.</w:t>
      </w:r>
      <w:r w:rsidRPr="005A311A">
        <w:br/>
        <w:t>Line 3: At one point, I could not even go to a drive-thru at a fast-food place without freaking</w:t>
      </w:r>
      <w:r w:rsidR="005A311A">
        <w:t xml:space="preserve"> </w:t>
      </w:r>
      <w:r w:rsidRPr="005A311A">
        <w:t>out.</w:t>
      </w:r>
    </w:p>
    <w:p w14:paraId="314B4473" w14:textId="26ED3680" w:rsidR="001B518E" w:rsidRDefault="001B518E" w:rsidP="005A311A">
      <w:pPr>
        <w:pStyle w:val="L2JBody"/>
        <w:ind w:firstLine="0"/>
      </w:pPr>
      <w:r w:rsidRPr="005A311A">
        <w:t>Line 5: The only way to better your situation is to try your best to face your fear.</w:t>
      </w:r>
    </w:p>
    <w:p w14:paraId="1D3EEDC8" w14:textId="77777777" w:rsidR="005A311A" w:rsidRPr="005A311A" w:rsidRDefault="005A311A" w:rsidP="005A311A">
      <w:pPr>
        <w:pStyle w:val="L2JBody"/>
      </w:pPr>
    </w:p>
    <w:p w14:paraId="2F8DB7B6" w14:textId="77777777" w:rsidR="001B518E" w:rsidRPr="005A311A" w:rsidRDefault="001B518E" w:rsidP="005A311A">
      <w:pPr>
        <w:pStyle w:val="L2JBody"/>
      </w:pPr>
      <w:bookmarkStart w:id="7" w:name="_Hlk187832239"/>
      <w:r w:rsidRPr="005A311A">
        <w:t xml:space="preserve">In Line 2, Mark uses the modal lexical verb “know” to assert confidence in his understanding of social fear. The modal auxiliary “can” further </w:t>
      </w:r>
      <w:proofErr w:type="gramStart"/>
      <w:r w:rsidRPr="005A311A">
        <w:t>emphasizes</w:t>
      </w:r>
      <w:proofErr w:type="gramEnd"/>
      <w:r w:rsidRPr="005A311A">
        <w:t xml:space="preserve"> his awareness of its potential effects. Line 3, where he recounts a specific </w:t>
      </w:r>
      <w:proofErr w:type="gramStart"/>
      <w:r w:rsidRPr="005A311A">
        <w:t>past experience</w:t>
      </w:r>
      <w:proofErr w:type="gramEnd"/>
      <w:r w:rsidRPr="005A311A">
        <w:t xml:space="preserve">, supports this claim by grounding his knowledge in personal suffering. These epistemic markers reflect a confident stance and a pragmatic effort to maintain positive face. </w:t>
      </w:r>
    </w:p>
    <w:p w14:paraId="6ACD82FA" w14:textId="77777777" w:rsidR="001B518E" w:rsidRPr="005A311A" w:rsidRDefault="001B518E" w:rsidP="005A311A">
      <w:pPr>
        <w:pStyle w:val="L2JBody"/>
      </w:pPr>
      <w:r w:rsidRPr="005A311A">
        <w:t xml:space="preserve">In Lines 2 and 3, Mark aligns himself with imagined </w:t>
      </w:r>
      <w:r w:rsidRPr="005A311A">
        <w:rPr>
          <w:i/>
          <w:iCs/>
        </w:rPr>
        <w:t>hikikomori</w:t>
      </w:r>
      <w:r w:rsidRPr="005A311A">
        <w:t xml:space="preserve"> adolescents, fostering solidarity and camaraderie (Lakoff, 1973). In Line 5, the epistemic marker “only” underscores his strong belief, positioning him as an experienced survivor of social anxiety. This leads naturally to his offer of advice. However, to minimize power differentials, he hedges in Line 4 by framing his suggestion as “my personal experience,” thereby protecting negative face. </w:t>
      </w:r>
      <w:r w:rsidRPr="005A311A">
        <w:lastRenderedPageBreak/>
        <w:t xml:space="preserve">This interplay of face-work illustrates Mark’s non-hierarchical stance and empathy toward his imagined audience.      </w:t>
      </w:r>
    </w:p>
    <w:bookmarkEnd w:id="7"/>
    <w:p w14:paraId="6926A40F" w14:textId="77777777" w:rsidR="001B518E" w:rsidRDefault="001B518E" w:rsidP="005A311A">
      <w:pPr>
        <w:pStyle w:val="L2JBody"/>
      </w:pPr>
      <w:r w:rsidRPr="005A311A">
        <w:t xml:space="preserve">In contrast to </w:t>
      </w:r>
      <w:r w:rsidRPr="005A311A">
        <w:rPr>
          <w:rFonts w:eastAsia="MS Mincho"/>
        </w:rPr>
        <w:t xml:space="preserve">the earlier </w:t>
      </w:r>
      <w:r w:rsidRPr="005A311A">
        <w:t>epistemic modalit</w:t>
      </w:r>
      <w:r w:rsidRPr="005A311A">
        <w:rPr>
          <w:rFonts w:eastAsiaTheme="minorEastAsia"/>
        </w:rPr>
        <w:t>y</w:t>
      </w:r>
      <w:r w:rsidRPr="005A311A">
        <w:t xml:space="preserve">, the following </w:t>
      </w:r>
      <w:r w:rsidRPr="005A311A">
        <w:rPr>
          <w:rFonts w:eastAsiaTheme="minorEastAsia"/>
        </w:rPr>
        <w:t xml:space="preserve">excerpt shows how </w:t>
      </w:r>
      <w:r w:rsidRPr="005A311A">
        <w:t xml:space="preserve">Mark uses deontic </w:t>
      </w:r>
      <w:r w:rsidRPr="005A311A">
        <w:rPr>
          <w:rFonts w:eastAsiaTheme="minorEastAsia"/>
        </w:rPr>
        <w:t xml:space="preserve">forms </w:t>
      </w:r>
      <w:r w:rsidRPr="005A311A">
        <w:t xml:space="preserve">to </w:t>
      </w:r>
      <w:r w:rsidRPr="005A311A">
        <w:rPr>
          <w:rFonts w:eastAsiaTheme="minorEastAsia"/>
        </w:rPr>
        <w:t xml:space="preserve">offer advice to </w:t>
      </w:r>
      <w:r w:rsidRPr="005A311A">
        <w:t>his imagined audience.</w:t>
      </w:r>
    </w:p>
    <w:p w14:paraId="67E4B961" w14:textId="77777777" w:rsidR="005A311A" w:rsidRDefault="005A311A" w:rsidP="005A311A">
      <w:pPr>
        <w:pStyle w:val="L2JFigureCallOut"/>
        <w:rPr>
          <w:rStyle w:val="Strong"/>
          <w:b w:val="0"/>
          <w:bCs w:val="0"/>
        </w:rPr>
      </w:pPr>
    </w:p>
    <w:p w14:paraId="7F5155B9" w14:textId="77777777" w:rsidR="005A311A" w:rsidRDefault="001B518E" w:rsidP="005A311A">
      <w:pPr>
        <w:pStyle w:val="L2JFigureCallOut"/>
        <w:rPr>
          <w:rStyle w:val="Strong"/>
          <w:b w:val="0"/>
          <w:bCs w:val="0"/>
        </w:rPr>
      </w:pPr>
      <w:r w:rsidRPr="005A311A">
        <w:rPr>
          <w:rStyle w:val="Strong"/>
          <w:b w:val="0"/>
          <w:bCs w:val="0"/>
        </w:rPr>
        <w:t>Excerpt 2</w:t>
      </w:r>
    </w:p>
    <w:p w14:paraId="0A70BB3A" w14:textId="4CA8B5C0" w:rsidR="001B518E" w:rsidRDefault="001B518E" w:rsidP="005A311A">
      <w:pPr>
        <w:pStyle w:val="L2JFigureCallOut"/>
      </w:pPr>
      <w:r w:rsidRPr="005A311A">
        <w:br/>
      </w:r>
      <w:r>
        <w:t>Line 6: Take this process slow at your own pace.</w:t>
      </w:r>
      <w:r>
        <w:br/>
        <w:t>Line 7: But you must try to force yourself to deal with problems head-on.</w:t>
      </w:r>
      <w:r>
        <w:br/>
        <w:t>Line 8: When you or the people around you try to act like the problem doesn’t exist,</w:t>
      </w:r>
      <w:r>
        <w:br/>
        <w:t>Line 9: that’s when things begin to worsen.</w:t>
      </w:r>
    </w:p>
    <w:p w14:paraId="6277CE23" w14:textId="77777777" w:rsidR="005A311A" w:rsidRDefault="005A311A" w:rsidP="005A311A">
      <w:pPr>
        <w:pStyle w:val="L2JFigureCallOut"/>
      </w:pPr>
    </w:p>
    <w:p w14:paraId="21CB6981" w14:textId="77777777" w:rsidR="001B518E" w:rsidRDefault="001B518E" w:rsidP="005A311A">
      <w:pPr>
        <w:pStyle w:val="L2JBody"/>
        <w:rPr>
          <w:rFonts w:eastAsiaTheme="minorEastAsia"/>
        </w:rPr>
      </w:pPr>
      <w:r>
        <w:t xml:space="preserve">In Line 6, Mark uses the imperative </w:t>
      </w:r>
      <w:r>
        <w:rPr>
          <w:rFonts w:eastAsiaTheme="minorEastAsia" w:hint="eastAsia"/>
        </w:rPr>
        <w:t xml:space="preserve">verb </w:t>
      </w:r>
      <w:r>
        <w:rPr>
          <w:rFonts w:eastAsiaTheme="minorEastAsia"/>
        </w:rPr>
        <w:t>“take,” while</w:t>
      </w:r>
      <w:r>
        <w:rPr>
          <w:rFonts w:eastAsiaTheme="minorEastAsia" w:hint="eastAsia"/>
        </w:rPr>
        <w:t xml:space="preserve"> </w:t>
      </w:r>
      <w:r>
        <w:t xml:space="preserve">in Line 7, he employs the deontic modal auxiliary “must” to </w:t>
      </w:r>
      <w:r>
        <w:rPr>
          <w:rFonts w:eastAsiaTheme="minorEastAsia" w:hint="eastAsia"/>
        </w:rPr>
        <w:t>convey obligation</w:t>
      </w:r>
      <w:r>
        <w:t xml:space="preserve">. These </w:t>
      </w:r>
      <w:r>
        <w:rPr>
          <w:rFonts w:eastAsiaTheme="minorEastAsia" w:hint="eastAsia"/>
        </w:rPr>
        <w:t xml:space="preserve">modal forms indicate both closeness and equality in </w:t>
      </w:r>
      <w:r>
        <w:t xml:space="preserve">social stance </w:t>
      </w:r>
      <w:r>
        <w:rPr>
          <w:rFonts w:eastAsiaTheme="minorEastAsia" w:hint="eastAsia"/>
        </w:rPr>
        <w:t xml:space="preserve">toward </w:t>
      </w:r>
      <w:r>
        <w:t xml:space="preserve">the imagined </w:t>
      </w:r>
      <w:r w:rsidRPr="00AC56EE">
        <w:rPr>
          <w:rFonts w:eastAsiaTheme="minorEastAsia" w:hint="eastAsia"/>
          <w:i/>
          <w:iCs/>
        </w:rPr>
        <w:t>hikikomori</w:t>
      </w:r>
      <w:r w:rsidRPr="00AC56EE">
        <w:rPr>
          <w:rFonts w:eastAsiaTheme="minorEastAsia"/>
        </w:rPr>
        <w:t xml:space="preserve"> </w:t>
      </w:r>
      <w:r w:rsidRPr="00AC56EE">
        <w:rPr>
          <w:rFonts w:eastAsiaTheme="minorEastAsia" w:hint="eastAsia"/>
        </w:rPr>
        <w:t>audience</w:t>
      </w:r>
      <w:r>
        <w:t xml:space="preserve">. He </w:t>
      </w:r>
      <w:r>
        <w:rPr>
          <w:rFonts w:eastAsiaTheme="minorEastAsia" w:hint="eastAsia"/>
        </w:rPr>
        <w:t>maintains</w:t>
      </w:r>
      <w:r>
        <w:t xml:space="preserve"> positive face by </w:t>
      </w:r>
      <w:r>
        <w:rPr>
          <w:rFonts w:eastAsiaTheme="minorEastAsia"/>
        </w:rPr>
        <w:t>expressing</w:t>
      </w:r>
      <w:r>
        <w:t xml:space="preserve"> active involvement. </w:t>
      </w:r>
    </w:p>
    <w:p w14:paraId="139B2DA4" w14:textId="77777777" w:rsidR="001B518E" w:rsidRDefault="001B518E" w:rsidP="005A311A">
      <w:pPr>
        <w:pStyle w:val="L2JBody"/>
        <w:rPr>
          <w:rFonts w:eastAsia="MS Mincho"/>
        </w:rPr>
      </w:pPr>
      <w:r>
        <w:t xml:space="preserve">In Lines 8 and 9, Mark </w:t>
      </w:r>
      <w:r>
        <w:rPr>
          <w:rFonts w:eastAsiaTheme="minorEastAsia" w:hint="eastAsia"/>
        </w:rPr>
        <w:t xml:space="preserve">shifts </w:t>
      </w:r>
      <w:r>
        <w:t xml:space="preserve">to </w:t>
      </w:r>
      <w:proofErr w:type="spellStart"/>
      <w:r>
        <w:t>unmodalized</w:t>
      </w:r>
      <w:proofErr w:type="spellEnd"/>
      <w:r>
        <w:t xml:space="preserve"> assertions to </w:t>
      </w:r>
      <w:r>
        <w:rPr>
          <w:rFonts w:eastAsiaTheme="minorEastAsia" w:hint="eastAsia"/>
        </w:rPr>
        <w:t>provide causal</w:t>
      </w:r>
      <w:r>
        <w:t xml:space="preserve"> reasoning. To soften his tone, he frames his views more generally, demonstrating deference and </w:t>
      </w:r>
      <w:r>
        <w:rPr>
          <w:rFonts w:eastAsiaTheme="minorEastAsia" w:hint="eastAsia"/>
        </w:rPr>
        <w:t xml:space="preserve">maintaining </w:t>
      </w:r>
      <w:r>
        <w:t xml:space="preserve">his negative face. </w:t>
      </w:r>
      <w:r>
        <w:rPr>
          <w:rFonts w:eastAsiaTheme="minorEastAsia" w:hint="eastAsia"/>
        </w:rPr>
        <w:t xml:space="preserve">This interplay of modality and </w:t>
      </w:r>
      <w:r>
        <w:t xml:space="preserve">face-work </w:t>
      </w:r>
      <w:r>
        <w:rPr>
          <w:rFonts w:eastAsia="MS Mincho" w:hint="eastAsia"/>
        </w:rPr>
        <w:t>reflects his empathetic positioning.</w:t>
      </w:r>
    </w:p>
    <w:p w14:paraId="4332B3C3" w14:textId="77777777" w:rsidR="001B518E" w:rsidRDefault="001B518E" w:rsidP="005A311A">
      <w:pPr>
        <w:pStyle w:val="L2JBody"/>
      </w:pPr>
      <w:r>
        <w:rPr>
          <w:rFonts w:eastAsia="MS Mincho" w:hint="eastAsia"/>
        </w:rPr>
        <w:t xml:space="preserve">Through such strategic language use, he constructs </w:t>
      </w:r>
      <w:r>
        <w:t xml:space="preserve">the imagined </w:t>
      </w:r>
      <w:r w:rsidRPr="002B4A22">
        <w:rPr>
          <w:rFonts w:eastAsiaTheme="minorEastAsia" w:hint="eastAsia"/>
          <w:i/>
          <w:iCs/>
        </w:rPr>
        <w:t>hikikomori</w:t>
      </w:r>
      <w:r>
        <w:rPr>
          <w:rFonts w:eastAsiaTheme="minorEastAsia" w:hint="eastAsia"/>
        </w:rPr>
        <w:t xml:space="preserve"> youth not as distant object of analysis but as interlocutors</w:t>
      </w:r>
      <w:r w:rsidRPr="005A5685">
        <w:rPr>
          <w:rFonts w:eastAsiaTheme="minorEastAsia"/>
        </w:rPr>
        <w:t>—</w:t>
      </w:r>
      <w:r>
        <w:rPr>
          <w:rFonts w:eastAsiaTheme="minorEastAsia" w:hint="eastAsia"/>
        </w:rPr>
        <w:t>mirroring both his past and his ethical stance. A</w:t>
      </w:r>
      <w:r>
        <w:t>s his writing progressed</w:t>
      </w:r>
      <w:r>
        <w:rPr>
          <w:rFonts w:eastAsiaTheme="minorEastAsia" w:hint="eastAsia"/>
        </w:rPr>
        <w:t xml:space="preserve">, this dialogic stance </w:t>
      </w:r>
      <w:r>
        <w:rPr>
          <w:rFonts w:eastAsiaTheme="minorEastAsia"/>
        </w:rPr>
        <w:t>becomes</w:t>
      </w:r>
      <w:r>
        <w:rPr>
          <w:rFonts w:eastAsiaTheme="minorEastAsia" w:hint="eastAsia"/>
        </w:rPr>
        <w:t xml:space="preserve"> more explicit, deepening the projection of his past self onto the imagined Japanese adolescents</w:t>
      </w:r>
      <w:r>
        <w:t>.</w:t>
      </w:r>
    </w:p>
    <w:p w14:paraId="0B2708C0" w14:textId="77777777" w:rsidR="001B518E" w:rsidRDefault="001B518E" w:rsidP="005A311A">
      <w:pPr>
        <w:pStyle w:val="L2JBody"/>
      </w:pPr>
      <w:r>
        <w:t xml:space="preserve">After offering </w:t>
      </w:r>
      <w:r>
        <w:rPr>
          <w:rFonts w:eastAsia="MS Mincho" w:hint="eastAsia"/>
        </w:rPr>
        <w:t xml:space="preserve">further </w:t>
      </w:r>
      <w:r>
        <w:t xml:space="preserve">advice to </w:t>
      </w:r>
      <w:r>
        <w:rPr>
          <w:rFonts w:eastAsiaTheme="minorEastAsia" w:hint="eastAsia"/>
        </w:rPr>
        <w:t xml:space="preserve">his </w:t>
      </w:r>
      <w:r>
        <w:t xml:space="preserve">imagined Japanese </w:t>
      </w:r>
      <w:r w:rsidRPr="002B4A22">
        <w:rPr>
          <w:i/>
          <w:iCs/>
        </w:rPr>
        <w:t>hikikomori</w:t>
      </w:r>
      <w:r>
        <w:t xml:space="preserve"> a</w:t>
      </w:r>
      <w:r>
        <w:rPr>
          <w:rFonts w:eastAsiaTheme="minorEastAsia" w:hint="eastAsia"/>
        </w:rPr>
        <w:t>udience</w:t>
      </w:r>
      <w:r>
        <w:t>, Mark shifts back to</w:t>
      </w:r>
      <w:r>
        <w:rPr>
          <w:rFonts w:eastAsiaTheme="minorEastAsia" w:hint="eastAsia"/>
        </w:rPr>
        <w:t xml:space="preserve"> an introspective stance, using</w:t>
      </w:r>
      <w:r>
        <w:t xml:space="preserve"> epistemic modality </w:t>
      </w:r>
      <w:r>
        <w:rPr>
          <w:rFonts w:eastAsiaTheme="minorEastAsia"/>
        </w:rPr>
        <w:t>to reflect</w:t>
      </w:r>
      <w:r>
        <w:t xml:space="preserve"> on </w:t>
      </w:r>
      <w:r>
        <w:rPr>
          <w:rFonts w:eastAsiaTheme="minorEastAsia" w:hint="eastAsia"/>
        </w:rPr>
        <w:t xml:space="preserve">personal </w:t>
      </w:r>
      <w:r>
        <w:t xml:space="preserve">experiences (Lines 15–19). He then </w:t>
      </w:r>
      <w:r>
        <w:rPr>
          <w:rFonts w:eastAsiaTheme="minorEastAsia" w:hint="eastAsia"/>
        </w:rPr>
        <w:t xml:space="preserve">moves again into a directive mode, employing a range of modal strategies </w:t>
      </w:r>
      <w:r>
        <w:t xml:space="preserve">in Lines 20–23. The </w:t>
      </w:r>
      <w:r>
        <w:rPr>
          <w:rFonts w:eastAsiaTheme="minorEastAsia" w:hint="eastAsia"/>
        </w:rPr>
        <w:t xml:space="preserve">following </w:t>
      </w:r>
      <w:r>
        <w:t xml:space="preserve">excerpt illustrates how </w:t>
      </w:r>
      <w:r>
        <w:rPr>
          <w:rFonts w:eastAsiaTheme="minorEastAsia" w:hint="eastAsia"/>
        </w:rPr>
        <w:t xml:space="preserve">these shifts shape his discursive perception of the </w:t>
      </w:r>
      <w:r>
        <w:t xml:space="preserve">imagined audience </w:t>
      </w:r>
      <w:r>
        <w:rPr>
          <w:rFonts w:eastAsiaTheme="minorEastAsia" w:hint="eastAsia"/>
        </w:rPr>
        <w:t xml:space="preserve">through alternating </w:t>
      </w:r>
      <w:r>
        <w:t>speech acts.</w:t>
      </w:r>
    </w:p>
    <w:p w14:paraId="44C7A474" w14:textId="77777777" w:rsidR="005A311A" w:rsidRPr="005A311A" w:rsidRDefault="005A311A" w:rsidP="005A311A">
      <w:pPr>
        <w:pStyle w:val="L2JFigureCallOut"/>
      </w:pPr>
    </w:p>
    <w:p w14:paraId="7387571C" w14:textId="39FCCC4F" w:rsidR="001B518E" w:rsidRPr="005A311A" w:rsidRDefault="001B518E" w:rsidP="005A311A">
      <w:pPr>
        <w:pStyle w:val="L2JFigureCallOut"/>
      </w:pPr>
      <w:r w:rsidRPr="005A311A">
        <w:t>Excerpt 3</w:t>
      </w:r>
    </w:p>
    <w:p w14:paraId="24699E81" w14:textId="77777777" w:rsidR="005A311A" w:rsidRDefault="005A311A" w:rsidP="005A311A">
      <w:pPr>
        <w:pStyle w:val="L2JBody"/>
        <w:ind w:firstLine="0"/>
      </w:pPr>
    </w:p>
    <w:p w14:paraId="2A25B134" w14:textId="6E2F374E" w:rsidR="001B518E" w:rsidRDefault="001B518E" w:rsidP="005A311A">
      <w:pPr>
        <w:pStyle w:val="L2JBody"/>
        <w:ind w:firstLine="0"/>
      </w:pPr>
      <w:r>
        <w:t xml:space="preserve">Line 15: Finding inner peace is one of the </w:t>
      </w:r>
      <w:r w:rsidRPr="00A85937">
        <w:rPr>
          <w:u w:val="single"/>
        </w:rPr>
        <w:t>biggest</w:t>
      </w:r>
      <w:r>
        <w:t xml:space="preserve"> key factors to get better (learn to love yourself). </w:t>
      </w:r>
    </w:p>
    <w:p w14:paraId="030BDE41" w14:textId="77777777" w:rsidR="001B518E" w:rsidRDefault="001B518E" w:rsidP="005A311A">
      <w:pPr>
        <w:pStyle w:val="L2JBody"/>
        <w:ind w:firstLine="0"/>
      </w:pPr>
      <w:r>
        <w:t xml:space="preserve">Line 16: Taking medication was </w:t>
      </w:r>
      <w:r w:rsidRPr="002D6CDE">
        <w:rPr>
          <w:u w:val="single"/>
        </w:rPr>
        <w:t>never</w:t>
      </w:r>
      <w:r>
        <w:t xml:space="preserve"> an option for me. </w:t>
      </w:r>
    </w:p>
    <w:p w14:paraId="795A063A" w14:textId="77777777" w:rsidR="001B518E" w:rsidRDefault="001B518E" w:rsidP="005A311A">
      <w:pPr>
        <w:pStyle w:val="L2JBody"/>
        <w:ind w:firstLine="0"/>
      </w:pPr>
      <w:r>
        <w:t xml:space="preserve">Line 17: I </w:t>
      </w:r>
      <w:r w:rsidRPr="00D61D54">
        <w:rPr>
          <w:u w:val="single"/>
        </w:rPr>
        <w:t>wanted</w:t>
      </w:r>
      <w:r>
        <w:t xml:space="preserve"> to do things myself.</w:t>
      </w:r>
    </w:p>
    <w:p w14:paraId="0DADDC22" w14:textId="77777777" w:rsidR="001B518E" w:rsidRDefault="001B518E" w:rsidP="005A311A">
      <w:pPr>
        <w:pStyle w:val="L2JBody"/>
        <w:ind w:firstLine="0"/>
      </w:pPr>
      <w:r>
        <w:t xml:space="preserve">Line 18: However, I know </w:t>
      </w:r>
      <w:r w:rsidRPr="00EC3406">
        <w:rPr>
          <w:u w:val="single"/>
        </w:rPr>
        <w:t>people</w:t>
      </w:r>
      <w:r>
        <w:t xml:space="preserve"> that do take medication to repress </w:t>
      </w:r>
      <w:r w:rsidRPr="00EC3406">
        <w:rPr>
          <w:u w:val="single"/>
        </w:rPr>
        <w:t>their</w:t>
      </w:r>
      <w:r w:rsidRPr="00EC3406">
        <w:t xml:space="preserve"> </w:t>
      </w:r>
      <w:r>
        <w:t xml:space="preserve">anxiety, </w:t>
      </w:r>
    </w:p>
    <w:p w14:paraId="61E2AE89" w14:textId="77777777" w:rsidR="001B518E" w:rsidRDefault="001B518E" w:rsidP="005A311A">
      <w:pPr>
        <w:pStyle w:val="L2JBody"/>
        <w:ind w:firstLine="0"/>
      </w:pPr>
      <w:r>
        <w:t xml:space="preserve">Line 19: and it </w:t>
      </w:r>
      <w:r w:rsidRPr="00EC3406">
        <w:rPr>
          <w:u w:val="single"/>
        </w:rPr>
        <w:t>seems</w:t>
      </w:r>
      <w:r>
        <w:t xml:space="preserve"> to be working for </w:t>
      </w:r>
      <w:r w:rsidRPr="00EC3406">
        <w:rPr>
          <w:u w:val="single"/>
        </w:rPr>
        <w:t>them</w:t>
      </w:r>
      <w:r>
        <w:t>.</w:t>
      </w:r>
    </w:p>
    <w:p w14:paraId="504EA1B9" w14:textId="77777777" w:rsidR="001B518E" w:rsidRDefault="001B518E" w:rsidP="005A311A">
      <w:pPr>
        <w:pStyle w:val="L2JBody"/>
        <w:ind w:firstLine="0"/>
      </w:pPr>
      <w:r>
        <w:t xml:space="preserve">Line 20: With that said, </w:t>
      </w:r>
    </w:p>
    <w:p w14:paraId="739F1BE2" w14:textId="77777777" w:rsidR="001B518E" w:rsidRDefault="001B518E" w:rsidP="005A311A">
      <w:pPr>
        <w:pStyle w:val="L2JBody"/>
        <w:ind w:firstLine="0"/>
      </w:pPr>
      <w:r>
        <w:t xml:space="preserve">Line 21: if you </w:t>
      </w:r>
      <w:r w:rsidRPr="00EC3406">
        <w:rPr>
          <w:u w:val="single"/>
        </w:rPr>
        <w:t>want</w:t>
      </w:r>
      <w:r>
        <w:t xml:space="preserve"> to get better but just can’t find it within you to do</w:t>
      </w:r>
    </w:p>
    <w:p w14:paraId="39FD9999" w14:textId="77777777" w:rsidR="001B518E" w:rsidRDefault="001B518E" w:rsidP="005A311A">
      <w:pPr>
        <w:pStyle w:val="L2JBody"/>
        <w:ind w:firstLine="0"/>
      </w:pPr>
      <w:r>
        <w:t xml:space="preserve">Line 22: </w:t>
      </w:r>
      <w:r w:rsidRPr="00EC3406">
        <w:rPr>
          <w:u w:val="single"/>
        </w:rPr>
        <w:t>please go</w:t>
      </w:r>
      <w:r>
        <w:t xml:space="preserve"> consult a doctor. </w:t>
      </w:r>
    </w:p>
    <w:p w14:paraId="50FA5D05" w14:textId="77777777" w:rsidR="001B518E" w:rsidRPr="00EB27FC" w:rsidRDefault="001B518E" w:rsidP="005A311A">
      <w:pPr>
        <w:pStyle w:val="L2JBody"/>
        <w:ind w:firstLine="0"/>
      </w:pPr>
      <w:r>
        <w:t>Line 23: sometimes, medication is the only method to bettering a mental imbalance.</w:t>
      </w:r>
    </w:p>
    <w:p w14:paraId="2A8E051F" w14:textId="77777777" w:rsidR="005A311A" w:rsidRDefault="005A311A" w:rsidP="005A311A">
      <w:pPr>
        <w:pStyle w:val="L2JBody"/>
      </w:pPr>
    </w:p>
    <w:p w14:paraId="2FCF6BDF" w14:textId="02F27563" w:rsidR="001B518E" w:rsidRDefault="001B518E" w:rsidP="005A311A">
      <w:pPr>
        <w:pStyle w:val="L2JBody"/>
      </w:pPr>
      <w:r>
        <w:t xml:space="preserve">In Line 15, Mark uses the evaluative adverb “biggest” to </w:t>
      </w:r>
      <w:r>
        <w:rPr>
          <w:rFonts w:eastAsiaTheme="minorEastAsia" w:hint="eastAsia"/>
        </w:rPr>
        <w:t xml:space="preserve">affirm his belief in personal healing through self-acceptance. </w:t>
      </w:r>
      <w:r>
        <w:t xml:space="preserve">Lines 16 and 17 </w:t>
      </w:r>
      <w:r>
        <w:rPr>
          <w:rFonts w:eastAsiaTheme="minorEastAsia" w:hint="eastAsia"/>
        </w:rPr>
        <w:t xml:space="preserve">reinforce </w:t>
      </w:r>
      <w:r>
        <w:t xml:space="preserve">this </w:t>
      </w:r>
      <w:r>
        <w:rPr>
          <w:rFonts w:eastAsiaTheme="minorEastAsia" w:hint="eastAsia"/>
        </w:rPr>
        <w:t xml:space="preserve">stance through </w:t>
      </w:r>
      <w:r>
        <w:t xml:space="preserve">his </w:t>
      </w:r>
      <w:r>
        <w:rPr>
          <w:rFonts w:eastAsiaTheme="minorEastAsia"/>
        </w:rPr>
        <w:t>rejection of</w:t>
      </w:r>
      <w:r>
        <w:t xml:space="preserve"> medication </w:t>
      </w:r>
      <w:r>
        <w:rPr>
          <w:rFonts w:eastAsiaTheme="minorEastAsia"/>
        </w:rPr>
        <w:t>and the</w:t>
      </w:r>
      <w:r>
        <w:t xml:space="preserve"> </w:t>
      </w:r>
      <w:proofErr w:type="spellStart"/>
      <w:r>
        <w:t>boulomaic</w:t>
      </w:r>
      <w:proofErr w:type="spellEnd"/>
      <w:r>
        <w:t xml:space="preserve"> modality “wanted</w:t>
      </w:r>
      <w:r>
        <w:rPr>
          <w:rFonts w:eastAsiaTheme="minorEastAsia" w:hint="eastAsia"/>
        </w:rPr>
        <w:t>,</w:t>
      </w:r>
      <w:r>
        <w:rPr>
          <w:rFonts w:eastAsiaTheme="minorEastAsia"/>
        </w:rPr>
        <w:t>”</w:t>
      </w:r>
      <w:r>
        <w:rPr>
          <w:rFonts w:eastAsiaTheme="minorEastAsia" w:hint="eastAsia"/>
        </w:rPr>
        <w:t xml:space="preserve"> which highlights personal agency. </w:t>
      </w:r>
      <w:r>
        <w:t xml:space="preserve">These lines echo </w:t>
      </w:r>
      <w:r>
        <w:rPr>
          <w:rFonts w:eastAsiaTheme="minorEastAsia" w:hint="eastAsia"/>
        </w:rPr>
        <w:t xml:space="preserve">his </w:t>
      </w:r>
      <w:r>
        <w:rPr>
          <w:rFonts w:eastAsiaTheme="minorEastAsia"/>
        </w:rPr>
        <w:t>earlier narrative</w:t>
      </w:r>
      <w:r>
        <w:rPr>
          <w:rFonts w:eastAsiaTheme="minorEastAsia" w:hint="eastAsia"/>
        </w:rPr>
        <w:t>,</w:t>
      </w:r>
      <w:r>
        <w:t xml:space="preserve"> where discovering inner strength </w:t>
      </w:r>
      <w:r>
        <w:rPr>
          <w:rFonts w:eastAsiaTheme="minorEastAsia" w:hint="eastAsia"/>
        </w:rPr>
        <w:t xml:space="preserve">marked a turning </w:t>
      </w:r>
      <w:r>
        <w:rPr>
          <w:rFonts w:eastAsiaTheme="minorEastAsia"/>
        </w:rPr>
        <w:t>point</w:t>
      </w:r>
      <w:r>
        <w:rPr>
          <w:rFonts w:eastAsiaTheme="minorEastAsia" w:hint="eastAsia"/>
        </w:rPr>
        <w:t xml:space="preserve"> in his struggle with social anxiety. </w:t>
      </w:r>
    </w:p>
    <w:p w14:paraId="436A28CC" w14:textId="77777777" w:rsidR="001B518E" w:rsidRDefault="001B518E" w:rsidP="005A311A">
      <w:pPr>
        <w:pStyle w:val="L2JBody"/>
      </w:pPr>
      <w:r>
        <w:lastRenderedPageBreak/>
        <w:t>In contrast</w:t>
      </w:r>
      <w:r>
        <w:rPr>
          <w:rFonts w:eastAsiaTheme="minorEastAsia" w:hint="eastAsia"/>
        </w:rPr>
        <w:t xml:space="preserve"> to his earlier persuasive tone, Mark adopts a more neutral stance in </w:t>
      </w:r>
      <w:r>
        <w:t>Line</w:t>
      </w:r>
      <w:r>
        <w:rPr>
          <w:rFonts w:eastAsiaTheme="minorEastAsia" w:hint="eastAsia"/>
        </w:rPr>
        <w:t>s</w:t>
      </w:r>
      <w:r>
        <w:t xml:space="preserve"> 18</w:t>
      </w:r>
      <w:r>
        <w:rPr>
          <w:rFonts w:eastAsiaTheme="minorEastAsia" w:hint="eastAsia"/>
        </w:rPr>
        <w:t xml:space="preserve"> and 19. He hedges that some people use medication for psychiatric conditions and suggest</w:t>
      </w:r>
      <w:r>
        <w:rPr>
          <w:rFonts w:eastAsiaTheme="minorEastAsia"/>
        </w:rPr>
        <w:t>s</w:t>
      </w:r>
      <w:r>
        <w:rPr>
          <w:rFonts w:eastAsiaTheme="minorEastAsia" w:hint="eastAsia"/>
        </w:rPr>
        <w:t xml:space="preserve"> it may be effective</w:t>
      </w:r>
      <w:r w:rsidRPr="00027566">
        <w:rPr>
          <w:rFonts w:eastAsiaTheme="minorEastAsia"/>
        </w:rPr>
        <w:t>—</w:t>
      </w:r>
      <w:r>
        <w:rPr>
          <w:rFonts w:eastAsiaTheme="minorEastAsia" w:hint="eastAsia"/>
        </w:rPr>
        <w:t>even though it was not his preference. By using a generalized third</w:t>
      </w:r>
      <w:r>
        <w:rPr>
          <w:rFonts w:eastAsiaTheme="minorEastAsia"/>
        </w:rPr>
        <w:t xml:space="preserve"> </w:t>
      </w:r>
      <w:r>
        <w:rPr>
          <w:rFonts w:eastAsiaTheme="minorEastAsia" w:hint="eastAsia"/>
        </w:rPr>
        <w:t>person (</w:t>
      </w:r>
      <w:r>
        <w:t>“people”</w:t>
      </w:r>
      <w:r>
        <w:rPr>
          <w:rFonts w:eastAsiaTheme="minorEastAsia" w:hint="eastAsia"/>
        </w:rPr>
        <w:t xml:space="preserve">), he </w:t>
      </w:r>
      <w:r>
        <w:t>discursively construct</w:t>
      </w:r>
      <w:r>
        <w:rPr>
          <w:rFonts w:eastAsiaTheme="minorEastAsia" w:hint="eastAsia"/>
        </w:rPr>
        <w:t>s</w:t>
      </w:r>
      <w:r>
        <w:t xml:space="preserve"> “they</w:t>
      </w:r>
      <w:r>
        <w:rPr>
          <w:rFonts w:eastAsiaTheme="minorEastAsia" w:hint="eastAsia"/>
        </w:rPr>
        <w:t>,</w:t>
      </w:r>
      <w:r>
        <w:t>” avoid</w:t>
      </w:r>
      <w:r>
        <w:rPr>
          <w:rFonts w:eastAsiaTheme="minorEastAsia" w:hint="eastAsia"/>
        </w:rPr>
        <w:t>ing</w:t>
      </w:r>
      <w:r>
        <w:t xml:space="preserve"> imposing </w:t>
      </w:r>
      <w:r>
        <w:rPr>
          <w:rFonts w:eastAsiaTheme="minorEastAsia" w:hint="eastAsia"/>
        </w:rPr>
        <w:t xml:space="preserve">on the </w:t>
      </w:r>
      <w:r>
        <w:t>imagined Japanese audience. The epistemic modal “seems” reflects</w:t>
      </w:r>
      <w:r>
        <w:rPr>
          <w:rFonts w:eastAsiaTheme="minorEastAsia" w:hint="eastAsia"/>
        </w:rPr>
        <w:t xml:space="preserve"> both</w:t>
      </w:r>
      <w:r>
        <w:t xml:space="preserve"> his knowledge of alternative</w:t>
      </w:r>
      <w:r>
        <w:rPr>
          <w:rFonts w:eastAsiaTheme="minorEastAsia" w:hint="eastAsia"/>
        </w:rPr>
        <w:t>s</w:t>
      </w:r>
      <w:r>
        <w:t xml:space="preserve"> </w:t>
      </w:r>
      <w:r>
        <w:rPr>
          <w:rFonts w:eastAsiaTheme="minorEastAsia" w:hint="eastAsia"/>
        </w:rPr>
        <w:t xml:space="preserve">and </w:t>
      </w:r>
      <w:r>
        <w:t xml:space="preserve">his </w:t>
      </w:r>
      <w:r>
        <w:rPr>
          <w:rFonts w:eastAsiaTheme="minorEastAsia" w:hint="eastAsia"/>
        </w:rPr>
        <w:t>effort to preserve the audience</w:t>
      </w:r>
      <w:r>
        <w:rPr>
          <w:rFonts w:eastAsiaTheme="minorEastAsia"/>
        </w:rPr>
        <w:t>’</w:t>
      </w:r>
      <w:r>
        <w:rPr>
          <w:rFonts w:eastAsiaTheme="minorEastAsia" w:hint="eastAsia"/>
        </w:rPr>
        <w:t xml:space="preserve">s </w:t>
      </w:r>
      <w:proofErr w:type="gramStart"/>
      <w:r>
        <w:t>negative-face</w:t>
      </w:r>
      <w:proofErr w:type="gramEnd"/>
      <w:r>
        <w:t xml:space="preserve">. </w:t>
      </w:r>
      <w:r w:rsidRPr="00DF0E0C">
        <w:rPr>
          <w:rFonts w:eastAsiaTheme="minorEastAsia" w:hint="eastAsia"/>
        </w:rPr>
        <w:t>Through</w:t>
      </w:r>
      <w:r>
        <w:rPr>
          <w:rFonts w:eastAsiaTheme="minorEastAsia" w:hint="eastAsia"/>
        </w:rPr>
        <w:t xml:space="preserve"> this</w:t>
      </w:r>
      <w:r>
        <w:t xml:space="preserve"> hedging</w:t>
      </w:r>
      <w:r>
        <w:rPr>
          <w:rFonts w:eastAsiaTheme="minorEastAsia" w:hint="eastAsia"/>
        </w:rPr>
        <w:t xml:space="preserve">, </w:t>
      </w:r>
      <w:r>
        <w:t>Mark shows respect for imagined audience</w:t>
      </w:r>
      <w:r>
        <w:rPr>
          <w:rFonts w:eastAsiaTheme="minorEastAsia" w:hint="eastAsia"/>
        </w:rPr>
        <w:t xml:space="preserve"> readers</w:t>
      </w:r>
      <w:r>
        <w:t xml:space="preserve"> who may seek different remedies. </w:t>
      </w:r>
      <w:r>
        <w:rPr>
          <w:rFonts w:eastAsiaTheme="minorEastAsia" w:hint="eastAsia"/>
        </w:rPr>
        <w:t>F</w:t>
      </w:r>
      <w:r>
        <w:t xml:space="preserve">ollowing this deference, he </w:t>
      </w:r>
      <w:r>
        <w:rPr>
          <w:rFonts w:eastAsiaTheme="minorEastAsia" w:hint="eastAsia"/>
        </w:rPr>
        <w:t xml:space="preserve">reengages </w:t>
      </w:r>
      <w:r>
        <w:t xml:space="preserve">by giving advice. The adverb “please” </w:t>
      </w:r>
      <w:r>
        <w:rPr>
          <w:rFonts w:eastAsiaTheme="minorEastAsia" w:hint="eastAsia"/>
        </w:rPr>
        <w:t>(</w:t>
      </w:r>
      <w:r>
        <w:t>Line 22</w:t>
      </w:r>
      <w:r>
        <w:rPr>
          <w:rFonts w:eastAsiaTheme="minorEastAsia" w:hint="eastAsia"/>
        </w:rPr>
        <w:t>)</w:t>
      </w:r>
      <w:r>
        <w:t xml:space="preserve"> clearly </w:t>
      </w:r>
      <w:r>
        <w:rPr>
          <w:rFonts w:eastAsiaTheme="minorEastAsia" w:hint="eastAsia"/>
        </w:rPr>
        <w:t xml:space="preserve">expresses an </w:t>
      </w:r>
      <w:r>
        <w:t>empathetic</w:t>
      </w:r>
      <w:r>
        <w:rPr>
          <w:rFonts w:eastAsiaTheme="minorEastAsia" w:hint="eastAsia"/>
        </w:rPr>
        <w:t xml:space="preserve"> stance and</w:t>
      </w:r>
      <w:r>
        <w:t xml:space="preserve"> positive face </w:t>
      </w:r>
      <w:r>
        <w:rPr>
          <w:rFonts w:eastAsiaTheme="minorEastAsia" w:hint="eastAsia"/>
        </w:rPr>
        <w:t>orientation</w:t>
      </w:r>
      <w:r>
        <w:t>.</w:t>
      </w:r>
    </w:p>
    <w:p w14:paraId="5AABEB55" w14:textId="77777777" w:rsidR="001B518E" w:rsidRDefault="001B518E" w:rsidP="005A311A">
      <w:pPr>
        <w:pStyle w:val="L2JBody"/>
        <w:rPr>
          <w:rFonts w:eastAsiaTheme="minorEastAsia"/>
        </w:rPr>
      </w:pPr>
      <w:r w:rsidRPr="009460A2">
        <w:t xml:space="preserve">The discourse analysis of Mark’s use of modalities </w:t>
      </w:r>
      <w:r>
        <w:rPr>
          <w:rFonts w:eastAsiaTheme="minorEastAsia" w:hint="eastAsia"/>
        </w:rPr>
        <w:t xml:space="preserve">and </w:t>
      </w:r>
      <w:r w:rsidRPr="009460A2">
        <w:t xml:space="preserve">face-work reveals </w:t>
      </w:r>
      <w:r>
        <w:rPr>
          <w:rFonts w:eastAsiaTheme="minorEastAsia" w:hint="eastAsia"/>
        </w:rPr>
        <w:t>how he</w:t>
      </w:r>
      <w:r w:rsidRPr="009460A2">
        <w:t xml:space="preserve"> discursive</w:t>
      </w:r>
      <w:r>
        <w:rPr>
          <w:rFonts w:eastAsiaTheme="minorEastAsia" w:hint="eastAsia"/>
        </w:rPr>
        <w:t>ly</w:t>
      </w:r>
      <w:r w:rsidRPr="009460A2">
        <w:t xml:space="preserve"> construct</w:t>
      </w:r>
      <w:r>
        <w:rPr>
          <w:rFonts w:eastAsiaTheme="minorEastAsia" w:hint="eastAsia"/>
        </w:rPr>
        <w:t>s</w:t>
      </w:r>
      <w:r w:rsidRPr="009460A2">
        <w:t xml:space="preserve"> imagin</w:t>
      </w:r>
      <w:r>
        <w:rPr>
          <w:rFonts w:eastAsiaTheme="minorEastAsia" w:hint="eastAsia"/>
        </w:rPr>
        <w:t>ed</w:t>
      </w:r>
      <w:r w:rsidRPr="009460A2">
        <w:t xml:space="preserve"> Japanese </w:t>
      </w:r>
      <w:r w:rsidRPr="002B4A22">
        <w:rPr>
          <w:i/>
          <w:iCs/>
        </w:rPr>
        <w:t>hikikomori</w:t>
      </w:r>
      <w:r w:rsidRPr="009460A2">
        <w:t xml:space="preserve"> </w:t>
      </w:r>
      <w:r>
        <w:rPr>
          <w:rFonts w:eastAsiaTheme="minorEastAsia" w:hint="eastAsia"/>
        </w:rPr>
        <w:t>youth</w:t>
      </w:r>
      <w:r w:rsidRPr="009460A2">
        <w:t xml:space="preserve"> through a projection process </w:t>
      </w:r>
      <w:r>
        <w:rPr>
          <w:rFonts w:eastAsiaTheme="minorEastAsia" w:hint="eastAsia"/>
        </w:rPr>
        <w:t xml:space="preserve">rooted in </w:t>
      </w:r>
      <w:r w:rsidRPr="009460A2">
        <w:t xml:space="preserve">his past. </w:t>
      </w:r>
      <w:r>
        <w:rPr>
          <w:rFonts w:eastAsiaTheme="minorEastAsia" w:hint="eastAsia"/>
        </w:rPr>
        <w:t xml:space="preserve">His shifting stance suggests that </w:t>
      </w:r>
      <w:r w:rsidRPr="009460A2">
        <w:t xml:space="preserve">he was not merely engaging in dialogue </w:t>
      </w:r>
      <w:r>
        <w:rPr>
          <w:rFonts w:eastAsiaTheme="minorEastAsia" w:hint="eastAsia"/>
        </w:rPr>
        <w:t>but genuinely</w:t>
      </w:r>
      <w:r w:rsidRPr="009460A2">
        <w:t xml:space="preserve"> feeling empathy for </w:t>
      </w:r>
      <w:r>
        <w:rPr>
          <w:rFonts w:eastAsiaTheme="minorEastAsia" w:hint="eastAsia"/>
        </w:rPr>
        <w:t>his imagined audience</w:t>
      </w:r>
      <w:r w:rsidRPr="009460A2">
        <w:t xml:space="preserve">. This phenomenon emerged from the dynamic projection process </w:t>
      </w:r>
      <w:r>
        <w:rPr>
          <w:rFonts w:eastAsia="MS Mincho" w:hint="eastAsia"/>
        </w:rPr>
        <w:t xml:space="preserve">unfolding </w:t>
      </w:r>
      <w:r w:rsidRPr="009460A2">
        <w:t>in multiple stages. Mark’s effort to establish a personal connection to the topic</w:t>
      </w:r>
      <w:r w:rsidRPr="00027566">
        <w:rPr>
          <w:rFonts w:eastAsiaTheme="minorEastAsia"/>
        </w:rPr>
        <w:t>—</w:t>
      </w:r>
      <w:r>
        <w:rPr>
          <w:rFonts w:eastAsiaTheme="minorEastAsia" w:hint="eastAsia"/>
        </w:rPr>
        <w:t>grounded in shared suffering</w:t>
      </w:r>
      <w:r w:rsidRPr="00027566">
        <w:rPr>
          <w:rFonts w:eastAsiaTheme="minorEastAsia"/>
        </w:rPr>
        <w:t>—</w:t>
      </w:r>
      <w:r>
        <w:rPr>
          <w:rFonts w:eastAsiaTheme="minorEastAsia" w:hint="eastAsia"/>
        </w:rPr>
        <w:t>enabled</w:t>
      </w:r>
      <w:r w:rsidRPr="009460A2">
        <w:t xml:space="preserve"> him to view himself in the mirror of Japanese </w:t>
      </w:r>
      <w:r w:rsidRPr="002B4A22">
        <w:rPr>
          <w:i/>
          <w:iCs/>
        </w:rPr>
        <w:t>hikikomori</w:t>
      </w:r>
      <w:r w:rsidRPr="009460A2">
        <w:t xml:space="preserve"> youth</w:t>
      </w:r>
      <w:r>
        <w:rPr>
          <w:rFonts w:eastAsiaTheme="minorEastAsia" w:hint="eastAsia"/>
        </w:rPr>
        <w:t>.</w:t>
      </w:r>
      <w:r w:rsidRPr="009460A2">
        <w:t xml:space="preserve"> This common ground became a </w:t>
      </w:r>
      <w:r>
        <w:rPr>
          <w:rFonts w:eastAsiaTheme="minorEastAsia" w:hint="eastAsia"/>
        </w:rPr>
        <w:t>crucial</w:t>
      </w:r>
      <w:r w:rsidRPr="009460A2">
        <w:t xml:space="preserve"> context</w:t>
      </w:r>
      <w:r>
        <w:rPr>
          <w:rFonts w:eastAsiaTheme="minorEastAsia" w:hint="eastAsia"/>
        </w:rPr>
        <w:t>ual anchor</w:t>
      </w:r>
      <w:r w:rsidRPr="009460A2">
        <w:t xml:space="preserve">, </w:t>
      </w:r>
      <w:r>
        <w:rPr>
          <w:rFonts w:eastAsiaTheme="minorEastAsia" w:hint="eastAsia"/>
        </w:rPr>
        <w:t xml:space="preserve">allowing </w:t>
      </w:r>
      <w:r w:rsidRPr="009460A2">
        <w:t xml:space="preserve">him to project his past onto the research content and construct </w:t>
      </w:r>
      <w:r>
        <w:rPr>
          <w:rFonts w:eastAsiaTheme="minorEastAsia" w:hint="eastAsia"/>
        </w:rPr>
        <w:t>his</w:t>
      </w:r>
      <w:r w:rsidRPr="009460A2">
        <w:t xml:space="preserve"> imagined Japanese </w:t>
      </w:r>
      <w:r>
        <w:rPr>
          <w:rFonts w:eastAsiaTheme="minorEastAsia" w:hint="eastAsia"/>
        </w:rPr>
        <w:t>interlocutors with empathy and symbolic resonance.</w:t>
      </w:r>
      <w:r w:rsidRPr="009460A2">
        <w:t xml:space="preserve"> As his writing progressed, Mark deliberately shifted </w:t>
      </w:r>
      <w:r>
        <w:rPr>
          <w:rFonts w:eastAsiaTheme="minorEastAsia" w:hint="eastAsia"/>
        </w:rPr>
        <w:t xml:space="preserve">the </w:t>
      </w:r>
      <w:r w:rsidRPr="009460A2">
        <w:t xml:space="preserve">position </w:t>
      </w:r>
      <w:r>
        <w:rPr>
          <w:rFonts w:eastAsiaTheme="minorEastAsia" w:hint="eastAsia"/>
        </w:rPr>
        <w:t xml:space="preserve">of </w:t>
      </w:r>
      <w:r w:rsidRPr="009460A2">
        <w:t xml:space="preserve">a victim to </w:t>
      </w:r>
      <w:r>
        <w:rPr>
          <w:rFonts w:eastAsiaTheme="minorEastAsia" w:hint="eastAsia"/>
        </w:rPr>
        <w:t xml:space="preserve">that of </w:t>
      </w:r>
      <w:r w:rsidRPr="009460A2">
        <w:t xml:space="preserve">a survivor retrospectively observing his past. By the conclusion, </w:t>
      </w:r>
      <w:r>
        <w:rPr>
          <w:rFonts w:eastAsiaTheme="minorEastAsia" w:hint="eastAsia"/>
        </w:rPr>
        <w:t>his</w:t>
      </w:r>
      <w:r w:rsidRPr="009460A2">
        <w:t xml:space="preserve"> memory of past </w:t>
      </w:r>
      <w:r>
        <w:rPr>
          <w:rFonts w:eastAsiaTheme="minorEastAsia" w:hint="eastAsia"/>
        </w:rPr>
        <w:t xml:space="preserve">suffering </w:t>
      </w:r>
      <w:r w:rsidRPr="009460A2">
        <w:t>evoked empathy for th</w:t>
      </w:r>
      <w:r>
        <w:rPr>
          <w:rFonts w:eastAsiaTheme="minorEastAsia" w:hint="eastAsia"/>
        </w:rPr>
        <w:t>e</w:t>
      </w:r>
      <w:r w:rsidRPr="009460A2">
        <w:t xml:space="preserve"> imagined Japanese </w:t>
      </w:r>
      <w:r>
        <w:rPr>
          <w:rFonts w:eastAsiaTheme="minorEastAsia" w:hint="eastAsia"/>
        </w:rPr>
        <w:t xml:space="preserve">youth, whom he treated as real. </w:t>
      </w:r>
      <w:r w:rsidRPr="009460A2">
        <w:rPr>
          <w:rStyle w:val="Strong"/>
          <w:b w:val="0"/>
        </w:rPr>
        <w:t xml:space="preserve">At that moment, memory and imagination intertwined to </w:t>
      </w:r>
      <w:r>
        <w:rPr>
          <w:rStyle w:val="Strong"/>
          <w:rFonts w:eastAsiaTheme="minorEastAsia" w:hint="eastAsia"/>
          <w:b w:val="0"/>
        </w:rPr>
        <w:t>generate</w:t>
      </w:r>
      <w:r w:rsidRPr="009460A2">
        <w:rPr>
          <w:rStyle w:val="Strong"/>
          <w:b w:val="0"/>
        </w:rPr>
        <w:t xml:space="preserve"> a “third space,” where, as </w:t>
      </w:r>
      <w:proofErr w:type="spellStart"/>
      <w:r w:rsidRPr="009460A2">
        <w:rPr>
          <w:rStyle w:val="Strong"/>
          <w:b w:val="0"/>
        </w:rPr>
        <w:t>Kramsch</w:t>
      </w:r>
      <w:proofErr w:type="spellEnd"/>
      <w:r w:rsidRPr="009460A2">
        <w:rPr>
          <w:rStyle w:val="Strong"/>
          <w:b w:val="0"/>
        </w:rPr>
        <w:t xml:space="preserve"> explains, “</w:t>
      </w:r>
      <w:r w:rsidRPr="00436669">
        <w:rPr>
          <w:rStyle w:val="Strong"/>
          <w:b w:val="0"/>
        </w:rPr>
        <w:t>two different symbolic systems, instead of conflicting with one another, find a way of operating together through an act of translation, creating new meanings in the process</w:t>
      </w:r>
      <w:r w:rsidRPr="009460A2">
        <w:rPr>
          <w:rStyle w:val="Strong"/>
          <w:b w:val="0"/>
        </w:rPr>
        <w:t>” (</w:t>
      </w:r>
      <w:proofErr w:type="spellStart"/>
      <w:r w:rsidRPr="009460A2">
        <w:rPr>
          <w:rStyle w:val="Strong"/>
          <w:b w:val="0"/>
        </w:rPr>
        <w:t>Kramsch</w:t>
      </w:r>
      <w:proofErr w:type="spellEnd"/>
      <w:r w:rsidRPr="009460A2">
        <w:rPr>
          <w:rStyle w:val="Strong"/>
          <w:b w:val="0"/>
        </w:rPr>
        <w:t>, 2009, p. 200).</w:t>
      </w:r>
      <w:r w:rsidRPr="009460A2">
        <w:rPr>
          <w:b/>
          <w:bCs/>
        </w:rPr>
        <w:t xml:space="preserve"> </w:t>
      </w:r>
      <w:r w:rsidRPr="009460A2">
        <w:t xml:space="preserve">In this space, Mark, </w:t>
      </w:r>
      <w:r>
        <w:rPr>
          <w:rFonts w:eastAsiaTheme="minorEastAsia" w:hint="eastAsia"/>
        </w:rPr>
        <w:t>not only saw the</w:t>
      </w:r>
      <w:r w:rsidRPr="009460A2">
        <w:t xml:space="preserve"> Japanese </w:t>
      </w:r>
      <w:r>
        <w:rPr>
          <w:rFonts w:eastAsiaTheme="minorEastAsia" w:hint="eastAsia"/>
        </w:rPr>
        <w:t>o</w:t>
      </w:r>
      <w:r w:rsidRPr="009460A2">
        <w:t xml:space="preserve">ther in </w:t>
      </w:r>
      <w:r>
        <w:rPr>
          <w:rFonts w:eastAsiaTheme="minorEastAsia" w:hint="eastAsia"/>
        </w:rPr>
        <w:t>himself</w:t>
      </w:r>
      <w:r w:rsidRPr="00730968">
        <w:rPr>
          <w:rFonts w:eastAsiaTheme="minorEastAsia"/>
        </w:rPr>
        <w:t>—</w:t>
      </w:r>
      <w:r w:rsidRPr="009460A2">
        <w:t xml:space="preserve">imagining </w:t>
      </w:r>
      <w:r>
        <w:rPr>
          <w:rFonts w:eastAsiaTheme="minorEastAsia" w:hint="eastAsia"/>
        </w:rPr>
        <w:t>the</w:t>
      </w:r>
      <w:r w:rsidRPr="009460A2">
        <w:t xml:space="preserve"> unimaginable</w:t>
      </w:r>
      <w:r w:rsidRPr="00730968">
        <w:rPr>
          <w:rFonts w:eastAsiaTheme="minorEastAsia"/>
        </w:rPr>
        <w:t>—</w:t>
      </w:r>
      <w:r>
        <w:rPr>
          <w:rFonts w:eastAsiaTheme="minorEastAsia" w:hint="eastAsia"/>
        </w:rPr>
        <w:t xml:space="preserve">but also extended care to them as if they were his peers. </w:t>
      </w:r>
    </w:p>
    <w:p w14:paraId="043AEC4B" w14:textId="77777777" w:rsidR="005A311A" w:rsidRPr="005A311A" w:rsidRDefault="005A311A" w:rsidP="005A311A">
      <w:pPr>
        <w:pStyle w:val="L2JH2"/>
      </w:pPr>
    </w:p>
    <w:p w14:paraId="106FF1D3" w14:textId="39F4BF80" w:rsidR="001B518E" w:rsidRPr="005A311A" w:rsidRDefault="001B518E" w:rsidP="005A311A">
      <w:pPr>
        <w:pStyle w:val="L2JH2"/>
      </w:pPr>
      <w:r w:rsidRPr="005A311A">
        <w:t xml:space="preserve">The </w:t>
      </w:r>
      <w:r w:rsidR="005A311A" w:rsidRPr="005A311A">
        <w:t xml:space="preserve">Case </w:t>
      </w:r>
      <w:proofErr w:type="gramStart"/>
      <w:r w:rsidR="005A311A" w:rsidRPr="005A311A">
        <w:t>Of</w:t>
      </w:r>
      <w:proofErr w:type="gramEnd"/>
      <w:r w:rsidR="005A311A" w:rsidRPr="005A311A">
        <w:t xml:space="preserve"> </w:t>
      </w:r>
      <w:r w:rsidRPr="005A311A">
        <w:t>Kevin</w:t>
      </w:r>
      <w:r w:rsidR="005A311A" w:rsidRPr="005A311A">
        <w:t xml:space="preserve">: </w:t>
      </w:r>
      <w:r w:rsidRPr="005A311A">
        <w:t xml:space="preserve">Oriental </w:t>
      </w:r>
      <w:r w:rsidR="005A311A" w:rsidRPr="005A311A">
        <w:t>Discourse With “Imperial Eyes”</w:t>
      </w:r>
    </w:p>
    <w:p w14:paraId="23FEA793" w14:textId="77777777" w:rsidR="000F3592" w:rsidRDefault="000F3592" w:rsidP="000F3592">
      <w:pPr>
        <w:pStyle w:val="L2JBody"/>
        <w:ind w:firstLine="0"/>
      </w:pPr>
    </w:p>
    <w:p w14:paraId="319CEC3E" w14:textId="15E241B0" w:rsidR="001B518E" w:rsidRPr="005A311A" w:rsidRDefault="001B518E" w:rsidP="000F3592">
      <w:pPr>
        <w:pStyle w:val="L2JBody"/>
        <w:ind w:firstLine="0"/>
      </w:pPr>
      <w:r w:rsidRPr="005A311A">
        <w:t xml:space="preserve">This section contrasts Mark’s </w:t>
      </w:r>
      <w:r w:rsidRPr="005A311A">
        <w:rPr>
          <w:rFonts w:hint="eastAsia"/>
        </w:rPr>
        <w:t xml:space="preserve">symbolic </w:t>
      </w:r>
      <w:r w:rsidRPr="005A311A">
        <w:t>empath</w:t>
      </w:r>
      <w:r w:rsidRPr="005A311A">
        <w:rPr>
          <w:rFonts w:hint="eastAsia"/>
        </w:rPr>
        <w:t xml:space="preserve">y </w:t>
      </w:r>
      <w:r w:rsidRPr="005A311A">
        <w:t xml:space="preserve">with Kevin’s discourse, which </w:t>
      </w:r>
      <w:r w:rsidRPr="005A311A">
        <w:rPr>
          <w:rFonts w:hint="eastAsia"/>
        </w:rPr>
        <w:t>illustrates</w:t>
      </w:r>
      <w:r w:rsidRPr="005A311A">
        <w:t xml:space="preserve"> how Orientalist ideologies </w:t>
      </w:r>
      <w:r w:rsidRPr="005A311A">
        <w:rPr>
          <w:rFonts w:hint="eastAsia"/>
        </w:rPr>
        <w:t>may</w:t>
      </w:r>
      <w:r w:rsidRPr="005A311A">
        <w:t xml:space="preserve"> persist even among students with </w:t>
      </w:r>
      <w:r w:rsidRPr="005A311A">
        <w:rPr>
          <w:rFonts w:hint="eastAsia"/>
        </w:rPr>
        <w:t>extensive</w:t>
      </w:r>
      <w:r w:rsidRPr="005A311A">
        <w:t xml:space="preserve"> exposure to Japanese culture. </w:t>
      </w:r>
      <w:r w:rsidRPr="005A311A">
        <w:rPr>
          <w:rFonts w:hint="eastAsia"/>
        </w:rPr>
        <w:t xml:space="preserve">Unlike Mark, who engaged in dialogic reflection </w:t>
      </w:r>
      <w:r w:rsidRPr="005A311A">
        <w:t xml:space="preserve">through narrative </w:t>
      </w:r>
      <w:r w:rsidRPr="005A311A">
        <w:rPr>
          <w:rFonts w:hint="eastAsia"/>
        </w:rPr>
        <w:t xml:space="preserve">and stance-shifting, </w:t>
      </w:r>
      <w:r w:rsidRPr="005A311A">
        <w:t>Kevin</w:t>
      </w:r>
      <w:r w:rsidRPr="005A311A">
        <w:rPr>
          <w:rFonts w:hint="eastAsia"/>
        </w:rPr>
        <w:t xml:space="preserve"> </w:t>
      </w:r>
      <w:r w:rsidRPr="005A311A">
        <w:t>reproduce</w:t>
      </w:r>
      <w:r w:rsidRPr="005A311A">
        <w:rPr>
          <w:rFonts w:hint="eastAsia"/>
        </w:rPr>
        <w:t>s</w:t>
      </w:r>
      <w:r w:rsidRPr="005A311A">
        <w:t xml:space="preserve"> essentialist </w:t>
      </w:r>
      <w:r w:rsidRPr="005A311A">
        <w:rPr>
          <w:rFonts w:hint="eastAsia"/>
        </w:rPr>
        <w:t xml:space="preserve">and reductive image of </w:t>
      </w:r>
      <w:r w:rsidRPr="005A311A">
        <w:t>Japan</w:t>
      </w:r>
      <w:r w:rsidRPr="005A311A">
        <w:rPr>
          <w:rFonts w:hint="eastAsia"/>
        </w:rPr>
        <w:t xml:space="preserve"> by uncritically echoing dominant cultural tropes</w:t>
      </w:r>
      <w:r w:rsidRPr="005A311A">
        <w:t xml:space="preserve">. Drawing on Orientalism (Said, 1978), </w:t>
      </w:r>
      <w:r w:rsidRPr="005A311A">
        <w:rPr>
          <w:rFonts w:hint="eastAsia"/>
        </w:rPr>
        <w:t xml:space="preserve">discourse and </w:t>
      </w:r>
      <w:r w:rsidRPr="005A311A">
        <w:t>power (Foucault, 1977), th</w:t>
      </w:r>
      <w:r w:rsidRPr="005A311A">
        <w:rPr>
          <w:rFonts w:hint="eastAsia"/>
        </w:rPr>
        <w:t xml:space="preserve">is </w:t>
      </w:r>
      <w:r w:rsidRPr="005A311A">
        <w:t>analysis examines</w:t>
      </w:r>
      <w:r w:rsidRPr="005A311A">
        <w:rPr>
          <w:rFonts w:hint="eastAsia"/>
        </w:rPr>
        <w:t xml:space="preserve"> </w:t>
      </w:r>
      <w:r w:rsidRPr="005A311A">
        <w:t xml:space="preserve">how </w:t>
      </w:r>
      <w:r w:rsidRPr="005A311A">
        <w:rPr>
          <w:rFonts w:hint="eastAsia"/>
        </w:rPr>
        <w:t xml:space="preserve">a lack of empathy and critical awareness can cause </w:t>
      </w:r>
      <w:r w:rsidRPr="005A311A">
        <w:t xml:space="preserve">learners </w:t>
      </w:r>
      <w:r w:rsidRPr="005A311A">
        <w:rPr>
          <w:rFonts w:hint="eastAsia"/>
        </w:rPr>
        <w:t xml:space="preserve">to reinforce global hierarchies. </w:t>
      </w:r>
    </w:p>
    <w:p w14:paraId="6C1FD007" w14:textId="77777777" w:rsidR="001B518E" w:rsidRPr="005A311A" w:rsidRDefault="001B518E" w:rsidP="005A311A">
      <w:pPr>
        <w:pStyle w:val="L2JBody"/>
      </w:pPr>
      <w:r w:rsidRPr="005A311A">
        <w:t>Kevin, an African American male student double major</w:t>
      </w:r>
      <w:r w:rsidRPr="005A311A">
        <w:rPr>
          <w:rFonts w:hint="eastAsia"/>
        </w:rPr>
        <w:t>ing</w:t>
      </w:r>
      <w:r w:rsidRPr="005A311A">
        <w:t xml:space="preserve"> in Japanese and business</w:t>
      </w:r>
      <w:r w:rsidRPr="005A311A">
        <w:rPr>
          <w:rFonts w:hint="eastAsia"/>
        </w:rPr>
        <w:t xml:space="preserve">, had taken several </w:t>
      </w:r>
      <w:r w:rsidRPr="005A311A">
        <w:t xml:space="preserve">Japanese-related courses and </w:t>
      </w:r>
      <w:r w:rsidRPr="005A311A">
        <w:rPr>
          <w:rFonts w:hint="eastAsia"/>
        </w:rPr>
        <w:t>studied abroad for</w:t>
      </w:r>
      <w:r w:rsidRPr="005A311A">
        <w:t xml:space="preserve"> six months</w:t>
      </w:r>
      <w:r w:rsidRPr="005A311A">
        <w:rPr>
          <w:rFonts w:hint="eastAsia"/>
        </w:rPr>
        <w:t xml:space="preserve">. He expressed strong interest in Japanese </w:t>
      </w:r>
      <w:r w:rsidRPr="005A311A">
        <w:t>culture</w:t>
      </w:r>
      <w:r w:rsidRPr="005A311A">
        <w:rPr>
          <w:rFonts w:hint="eastAsia"/>
        </w:rPr>
        <w:t xml:space="preserve"> and</w:t>
      </w:r>
      <w:r w:rsidRPr="005A311A">
        <w:t xml:space="preserve"> aspire</w:t>
      </w:r>
      <w:r w:rsidRPr="005A311A">
        <w:rPr>
          <w:rFonts w:hint="eastAsia"/>
        </w:rPr>
        <w:t>d</w:t>
      </w:r>
      <w:r w:rsidRPr="005A311A">
        <w:t xml:space="preserve"> to work for a Japanese corporation. At first glance, he appears to embody the </w:t>
      </w:r>
      <w:r w:rsidRPr="005A311A">
        <w:rPr>
          <w:rFonts w:hint="eastAsia"/>
        </w:rPr>
        <w:t xml:space="preserve">image of </w:t>
      </w:r>
      <w:r w:rsidRPr="005A311A">
        <w:t>a “Japanophile</w:t>
      </w:r>
      <w:r w:rsidRPr="005A311A">
        <w:rPr>
          <w:rFonts w:hint="eastAsia"/>
        </w:rPr>
        <w:t>.</w:t>
      </w:r>
      <w:r w:rsidRPr="005A311A">
        <w:t xml:space="preserve">” However, his writing on </w:t>
      </w:r>
      <w:r w:rsidRPr="00756353">
        <w:rPr>
          <w:i/>
          <w:iCs/>
        </w:rPr>
        <w:t>hikikomori</w:t>
      </w:r>
      <w:r w:rsidRPr="00756353">
        <w:rPr>
          <w:rFonts w:hint="eastAsia"/>
          <w:i/>
          <w:iCs/>
        </w:rPr>
        <w:t xml:space="preserve"> </w:t>
      </w:r>
      <w:r w:rsidRPr="005A311A">
        <w:rPr>
          <w:rFonts w:hint="eastAsia"/>
        </w:rPr>
        <w:t xml:space="preserve">and depression reveals how pervasive Orientalist narratives in U.S. culture can </w:t>
      </w:r>
      <w:r w:rsidRPr="005A311A">
        <w:t>shape learners’ perceptions—</w:t>
      </w:r>
      <w:r w:rsidRPr="005A311A">
        <w:rPr>
          <w:rFonts w:hint="eastAsia"/>
        </w:rPr>
        <w:t xml:space="preserve"> e</w:t>
      </w:r>
      <w:r w:rsidRPr="005A311A">
        <w:t>ven among those</w:t>
      </w:r>
      <w:r w:rsidRPr="005A311A">
        <w:rPr>
          <w:rFonts w:hint="eastAsia"/>
        </w:rPr>
        <w:t xml:space="preserve"> with firsthand experience</w:t>
      </w:r>
      <w:r w:rsidRPr="005A311A">
        <w:t>—</w:t>
      </w:r>
      <w:r w:rsidRPr="005A311A">
        <w:rPr>
          <w:rFonts w:hint="eastAsia"/>
        </w:rPr>
        <w:t xml:space="preserve">if critical reflection is absent. </w:t>
      </w:r>
    </w:p>
    <w:p w14:paraId="1B7C7DA7" w14:textId="77777777" w:rsidR="001B518E" w:rsidRDefault="001B518E" w:rsidP="005A311A">
      <w:pPr>
        <w:pStyle w:val="L2JBody"/>
      </w:pPr>
      <w:r w:rsidRPr="005A311A">
        <w:t xml:space="preserve">Kevin’s </w:t>
      </w:r>
      <w:r w:rsidRPr="005A311A">
        <w:rPr>
          <w:rFonts w:hint="eastAsia"/>
        </w:rPr>
        <w:t xml:space="preserve">six-page </w:t>
      </w:r>
      <w:r w:rsidRPr="005A311A">
        <w:t>final paper mirrored Mark’s</w:t>
      </w:r>
      <w:r w:rsidRPr="005A311A">
        <w:rPr>
          <w:rFonts w:hint="eastAsia"/>
        </w:rPr>
        <w:t xml:space="preserve"> structure</w:t>
      </w:r>
      <w:r w:rsidRPr="005A311A">
        <w:t xml:space="preserve">, </w:t>
      </w:r>
      <w:r w:rsidRPr="005A311A">
        <w:rPr>
          <w:rFonts w:hint="eastAsia"/>
        </w:rPr>
        <w:t xml:space="preserve">covering </w:t>
      </w:r>
      <w:r w:rsidRPr="005A311A">
        <w:t>historical, psychological, socioeconomic, and sociocultural aspects</w:t>
      </w:r>
      <w:r w:rsidRPr="005A311A">
        <w:rPr>
          <w:rFonts w:hint="eastAsia"/>
        </w:rPr>
        <w:t>.</w:t>
      </w:r>
      <w:r w:rsidRPr="005A311A">
        <w:t xml:space="preserve"> However, unlike Mark, Kevin</w:t>
      </w:r>
      <w:r w:rsidRPr="005A311A">
        <w:rPr>
          <w:rFonts w:hint="eastAsia"/>
        </w:rPr>
        <w:t xml:space="preserve"> exhibited no </w:t>
      </w:r>
      <w:r w:rsidRPr="005A311A">
        <w:t>contrastive use of first- and second-person pronouns or a dialog</w:t>
      </w:r>
      <w:r w:rsidRPr="005A311A">
        <w:rPr>
          <w:rFonts w:hint="eastAsia"/>
        </w:rPr>
        <w:t xml:space="preserve">ic engagement </w:t>
      </w:r>
      <w:r w:rsidRPr="005A311A">
        <w:t xml:space="preserve">with imagined Japanese </w:t>
      </w:r>
      <w:r w:rsidRPr="005A311A">
        <w:rPr>
          <w:rFonts w:hint="eastAsia"/>
        </w:rPr>
        <w:t>interlocutors</w:t>
      </w:r>
      <w:r w:rsidRPr="005A311A">
        <w:t xml:space="preserve">. Consequently, analyzing first- and second-person </w:t>
      </w:r>
      <w:r w:rsidRPr="005A311A">
        <w:lastRenderedPageBreak/>
        <w:t xml:space="preserve">pronouns </w:t>
      </w:r>
      <w:r w:rsidRPr="005A311A">
        <w:rPr>
          <w:rFonts w:hint="eastAsia"/>
        </w:rPr>
        <w:t>in relation to</w:t>
      </w:r>
      <w:r w:rsidRPr="005A311A">
        <w:t xml:space="preserve"> speech act</w:t>
      </w:r>
      <w:r w:rsidRPr="005A311A">
        <w:rPr>
          <w:rFonts w:hint="eastAsia"/>
        </w:rPr>
        <w:t>s</w:t>
      </w:r>
      <w:r w:rsidRPr="005A311A">
        <w:t>—</w:t>
      </w:r>
      <w:r w:rsidRPr="005A311A">
        <w:rPr>
          <w:rFonts w:hint="eastAsia"/>
        </w:rPr>
        <w:t>as done with Mark</w:t>
      </w:r>
      <w:r w:rsidRPr="005A311A">
        <w:t>—would not yield meaningful insights</w:t>
      </w:r>
      <w:r w:rsidRPr="005A311A">
        <w:rPr>
          <w:rFonts w:hint="eastAsia"/>
        </w:rPr>
        <w:t xml:space="preserve"> in Kevin</w:t>
      </w:r>
      <w:r w:rsidRPr="005A311A">
        <w:t>’</w:t>
      </w:r>
      <w:r w:rsidRPr="005A311A">
        <w:rPr>
          <w:rFonts w:hint="eastAsia"/>
        </w:rPr>
        <w:t>s case</w:t>
      </w:r>
      <w:r w:rsidRPr="005A311A">
        <w:t xml:space="preserve">. Instead, as </w:t>
      </w:r>
      <w:r w:rsidRPr="005A311A">
        <w:rPr>
          <w:rFonts w:hint="eastAsia"/>
        </w:rPr>
        <w:t xml:space="preserve">shown in Table 3, he </w:t>
      </w:r>
      <w:r w:rsidRPr="005A311A">
        <w:t>employed “</w:t>
      </w:r>
      <w:r w:rsidRPr="005A311A">
        <w:rPr>
          <w:rFonts w:hint="eastAsia"/>
        </w:rPr>
        <w:t>I</w:t>
      </w:r>
      <w:r w:rsidRPr="005A311A">
        <w:t>”</w:t>
      </w:r>
      <w:r w:rsidRPr="005A311A">
        <w:rPr>
          <w:rFonts w:hint="eastAsia"/>
        </w:rPr>
        <w:t xml:space="preserve"> and </w:t>
      </w:r>
      <w:r w:rsidRPr="005A311A">
        <w:t>“</w:t>
      </w:r>
      <w:r w:rsidRPr="005A311A">
        <w:rPr>
          <w:rFonts w:hint="eastAsia"/>
        </w:rPr>
        <w:t>they</w:t>
      </w:r>
      <w:r w:rsidRPr="005A311A">
        <w:t>”</w:t>
      </w:r>
      <w:r w:rsidRPr="005A311A">
        <w:rPr>
          <w:rFonts w:hint="eastAsia"/>
        </w:rPr>
        <w:t xml:space="preserve"> in contrastive ways. </w:t>
      </w:r>
    </w:p>
    <w:p w14:paraId="05509F90" w14:textId="77777777" w:rsidR="005A311A" w:rsidRPr="005A311A" w:rsidRDefault="005A311A" w:rsidP="005A311A">
      <w:pPr>
        <w:pStyle w:val="L2JBody"/>
      </w:pPr>
    </w:p>
    <w:p w14:paraId="147EBF3E" w14:textId="77777777" w:rsidR="005A311A" w:rsidRDefault="001B518E" w:rsidP="005A311A">
      <w:pPr>
        <w:pStyle w:val="L2JFigureCallOut"/>
      </w:pPr>
      <w:r w:rsidRPr="005A311A">
        <w:t>Table 3</w:t>
      </w:r>
    </w:p>
    <w:p w14:paraId="6A8D3B58" w14:textId="77777777" w:rsidR="005A311A" w:rsidRPr="005A311A" w:rsidRDefault="005A311A" w:rsidP="005A311A">
      <w:pPr>
        <w:pStyle w:val="L2JFigureCallOut"/>
      </w:pPr>
    </w:p>
    <w:p w14:paraId="63A67341" w14:textId="77777777" w:rsidR="005A311A" w:rsidRPr="005A311A" w:rsidRDefault="001B518E" w:rsidP="005A311A">
      <w:pPr>
        <w:pStyle w:val="L2JFigureTitle"/>
      </w:pPr>
      <w:r w:rsidRPr="005A311A">
        <w:t>Pronoun Usage in Kevin’s Paper by Thematic Section</w:t>
      </w:r>
    </w:p>
    <w:p w14:paraId="11ED32BB" w14:textId="5D7B70E2" w:rsidR="001B518E" w:rsidRPr="005A311A" w:rsidRDefault="001B518E" w:rsidP="001B518E">
      <w:pPr>
        <w:tabs>
          <w:tab w:val="left" w:pos="7420"/>
        </w:tabs>
        <w:rPr>
          <w:rFonts w:ascii="Garamond" w:hAnsi="Garamond" w:cs="Times New Roman"/>
          <w:sz w:val="24"/>
          <w:szCs w:val="24"/>
        </w:rPr>
      </w:pPr>
      <w:r w:rsidRPr="005A311A">
        <w:rPr>
          <w:rFonts w:ascii="Garamond" w:hAnsi="Garamond" w:cs="Times New Roman"/>
          <w:sz w:val="24"/>
          <w:szCs w:val="24"/>
        </w:rPr>
        <w:tab/>
      </w:r>
    </w:p>
    <w:tbl>
      <w:tblPr>
        <w:tblStyle w:val="TableGrid"/>
        <w:tblW w:w="0" w:type="auto"/>
        <w:tblInd w:w="355" w:type="dxa"/>
        <w:tblLook w:val="04A0" w:firstRow="1" w:lastRow="0" w:firstColumn="1" w:lastColumn="0" w:noHBand="0" w:noVBand="1"/>
      </w:tblPr>
      <w:tblGrid>
        <w:gridCol w:w="1950"/>
        <w:gridCol w:w="1497"/>
        <w:gridCol w:w="886"/>
        <w:gridCol w:w="3942"/>
      </w:tblGrid>
      <w:tr w:rsidR="001B518E" w:rsidRPr="005A311A" w14:paraId="36F106CD" w14:textId="77777777" w:rsidTr="00B46F8B">
        <w:trPr>
          <w:trHeight w:val="440"/>
        </w:trPr>
        <w:tc>
          <w:tcPr>
            <w:tcW w:w="2070" w:type="dxa"/>
          </w:tcPr>
          <w:p w14:paraId="53BFF936"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Structure</w:t>
            </w:r>
          </w:p>
        </w:tc>
        <w:tc>
          <w:tcPr>
            <w:tcW w:w="1620" w:type="dxa"/>
          </w:tcPr>
          <w:p w14:paraId="06C87F30"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Number of “I”</w:t>
            </w:r>
          </w:p>
        </w:tc>
        <w:tc>
          <w:tcPr>
            <w:tcW w:w="900" w:type="dxa"/>
          </w:tcPr>
          <w:p w14:paraId="54C3FD7F"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“You”</w:t>
            </w:r>
          </w:p>
        </w:tc>
        <w:tc>
          <w:tcPr>
            <w:tcW w:w="4405" w:type="dxa"/>
          </w:tcPr>
          <w:p w14:paraId="7DE0DFA7"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 xml:space="preserve"> “They”</w:t>
            </w:r>
          </w:p>
        </w:tc>
      </w:tr>
      <w:tr w:rsidR="001B518E" w:rsidRPr="005A311A" w14:paraId="6E30D294" w14:textId="77777777" w:rsidTr="00B46F8B">
        <w:trPr>
          <w:trHeight w:val="404"/>
        </w:trPr>
        <w:tc>
          <w:tcPr>
            <w:tcW w:w="2070" w:type="dxa"/>
          </w:tcPr>
          <w:p w14:paraId="579EA6FC"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Introduction</w:t>
            </w:r>
          </w:p>
        </w:tc>
        <w:tc>
          <w:tcPr>
            <w:tcW w:w="1620" w:type="dxa"/>
          </w:tcPr>
          <w:p w14:paraId="7C78FA71"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8</w:t>
            </w:r>
          </w:p>
        </w:tc>
        <w:tc>
          <w:tcPr>
            <w:tcW w:w="900" w:type="dxa"/>
          </w:tcPr>
          <w:p w14:paraId="482CCCA4"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0</w:t>
            </w:r>
          </w:p>
        </w:tc>
        <w:tc>
          <w:tcPr>
            <w:tcW w:w="4405" w:type="dxa"/>
          </w:tcPr>
          <w:p w14:paraId="79B398B3"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 xml:space="preserve">5 </w:t>
            </w:r>
          </w:p>
          <w:p w14:paraId="79F60528"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5 = designates Japanese exchange students</w:t>
            </w:r>
          </w:p>
        </w:tc>
      </w:tr>
      <w:tr w:rsidR="001B518E" w:rsidRPr="005A311A" w14:paraId="4A5172ED" w14:textId="77777777" w:rsidTr="00B46F8B">
        <w:tc>
          <w:tcPr>
            <w:tcW w:w="2070" w:type="dxa"/>
          </w:tcPr>
          <w:p w14:paraId="620B6C21"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General &amp; Historical &amp; Psychological Aspect</w:t>
            </w:r>
          </w:p>
        </w:tc>
        <w:tc>
          <w:tcPr>
            <w:tcW w:w="1620" w:type="dxa"/>
          </w:tcPr>
          <w:p w14:paraId="6B400B46"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15</w:t>
            </w:r>
          </w:p>
          <w:p w14:paraId="12FD5BBE"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 xml:space="preserve">(1) </w:t>
            </w:r>
          </w:p>
        </w:tc>
        <w:tc>
          <w:tcPr>
            <w:tcW w:w="900" w:type="dxa"/>
          </w:tcPr>
          <w:p w14:paraId="1CB53D4D"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0</w:t>
            </w:r>
          </w:p>
        </w:tc>
        <w:tc>
          <w:tcPr>
            <w:tcW w:w="4405" w:type="dxa"/>
          </w:tcPr>
          <w:p w14:paraId="6FFD6C11"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9</w:t>
            </w:r>
          </w:p>
          <w:p w14:paraId="6827B1BF"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8 = Japanese people in general</w:t>
            </w:r>
          </w:p>
          <w:p w14:paraId="55DAEA0A" w14:textId="77777777" w:rsidR="001B518E" w:rsidRPr="005A311A" w:rsidRDefault="001B518E" w:rsidP="00B46F8B">
            <w:pPr>
              <w:pStyle w:val="ListParagraph"/>
              <w:rPr>
                <w:rFonts w:ascii="Garamond" w:hAnsi="Garamond" w:cs="Times New Roman"/>
                <w:sz w:val="24"/>
                <w:szCs w:val="24"/>
              </w:rPr>
            </w:pPr>
            <w:r w:rsidRPr="005A311A">
              <w:rPr>
                <w:rFonts w:ascii="Garamond" w:hAnsi="Garamond" w:cs="Times New Roman"/>
                <w:sz w:val="24"/>
                <w:szCs w:val="24"/>
              </w:rPr>
              <w:t>1 = Japanese school children</w:t>
            </w:r>
          </w:p>
        </w:tc>
      </w:tr>
      <w:tr w:rsidR="001B518E" w:rsidRPr="005A311A" w14:paraId="0E095A52" w14:textId="77777777" w:rsidTr="00B46F8B">
        <w:tc>
          <w:tcPr>
            <w:tcW w:w="2070" w:type="dxa"/>
          </w:tcPr>
          <w:p w14:paraId="31B2BA27"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Socio-economic Aspect</w:t>
            </w:r>
          </w:p>
        </w:tc>
        <w:tc>
          <w:tcPr>
            <w:tcW w:w="1620" w:type="dxa"/>
          </w:tcPr>
          <w:p w14:paraId="309C2BA8"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1</w:t>
            </w:r>
          </w:p>
          <w:p w14:paraId="72439C6D"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(1)</w:t>
            </w:r>
          </w:p>
        </w:tc>
        <w:tc>
          <w:tcPr>
            <w:tcW w:w="900" w:type="dxa"/>
          </w:tcPr>
          <w:p w14:paraId="26D4FDFB"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0</w:t>
            </w:r>
          </w:p>
        </w:tc>
        <w:tc>
          <w:tcPr>
            <w:tcW w:w="4405" w:type="dxa"/>
          </w:tcPr>
          <w:p w14:paraId="54204DBD"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6</w:t>
            </w:r>
          </w:p>
          <w:p w14:paraId="76533767" w14:textId="77777777" w:rsidR="001B518E" w:rsidRPr="005A311A" w:rsidRDefault="001B518E" w:rsidP="00B46F8B">
            <w:pPr>
              <w:pStyle w:val="ListParagraph"/>
              <w:rPr>
                <w:rFonts w:ascii="Garamond" w:hAnsi="Garamond" w:cs="Times New Roman"/>
                <w:sz w:val="24"/>
                <w:szCs w:val="24"/>
              </w:rPr>
            </w:pPr>
            <w:r w:rsidRPr="005A311A">
              <w:rPr>
                <w:rFonts w:ascii="Garamond" w:hAnsi="Garamond" w:cs="Times New Roman"/>
                <w:sz w:val="24"/>
                <w:szCs w:val="24"/>
              </w:rPr>
              <w:t>1 = Japanese people</w:t>
            </w:r>
          </w:p>
          <w:p w14:paraId="71817243" w14:textId="77777777" w:rsidR="001B518E" w:rsidRPr="005A311A" w:rsidRDefault="001B518E" w:rsidP="00B46F8B">
            <w:pPr>
              <w:pStyle w:val="ListParagraph"/>
              <w:rPr>
                <w:rFonts w:ascii="Garamond" w:hAnsi="Garamond" w:cs="Times New Roman"/>
                <w:sz w:val="24"/>
                <w:szCs w:val="24"/>
              </w:rPr>
            </w:pPr>
            <w:r w:rsidRPr="005A311A">
              <w:rPr>
                <w:rFonts w:ascii="Garamond" w:hAnsi="Garamond" w:cs="Times New Roman"/>
                <w:sz w:val="24"/>
                <w:szCs w:val="24"/>
              </w:rPr>
              <w:t>5 = NEET &amp; Otaku</w:t>
            </w:r>
          </w:p>
        </w:tc>
      </w:tr>
      <w:tr w:rsidR="001B518E" w:rsidRPr="005A311A" w14:paraId="11B2D787" w14:textId="77777777" w:rsidTr="00B46F8B">
        <w:tc>
          <w:tcPr>
            <w:tcW w:w="2070" w:type="dxa"/>
          </w:tcPr>
          <w:p w14:paraId="17DAB782"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Socio-cultural Aspect</w:t>
            </w:r>
          </w:p>
        </w:tc>
        <w:tc>
          <w:tcPr>
            <w:tcW w:w="1620" w:type="dxa"/>
          </w:tcPr>
          <w:p w14:paraId="3CBEC726"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5</w:t>
            </w:r>
          </w:p>
          <w:p w14:paraId="7DEADD3C"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(5)</w:t>
            </w:r>
          </w:p>
        </w:tc>
        <w:tc>
          <w:tcPr>
            <w:tcW w:w="900" w:type="dxa"/>
          </w:tcPr>
          <w:p w14:paraId="36363E3C"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0</w:t>
            </w:r>
          </w:p>
        </w:tc>
        <w:tc>
          <w:tcPr>
            <w:tcW w:w="4405" w:type="dxa"/>
          </w:tcPr>
          <w:p w14:paraId="59FE4BCD"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5</w:t>
            </w:r>
          </w:p>
          <w:p w14:paraId="0BAEE6AB" w14:textId="77777777" w:rsidR="001B518E" w:rsidRPr="005A311A" w:rsidRDefault="001B518E" w:rsidP="00B46F8B">
            <w:pPr>
              <w:pStyle w:val="ListParagraph"/>
              <w:ind w:left="1080"/>
              <w:rPr>
                <w:rFonts w:ascii="Garamond" w:hAnsi="Garamond" w:cs="Times New Roman"/>
                <w:sz w:val="24"/>
                <w:szCs w:val="24"/>
              </w:rPr>
            </w:pPr>
            <w:r w:rsidRPr="005A311A">
              <w:rPr>
                <w:rFonts w:ascii="Garamond" w:hAnsi="Garamond" w:cs="Times New Roman"/>
                <w:sz w:val="24"/>
                <w:szCs w:val="24"/>
              </w:rPr>
              <w:t>3= Japanese people</w:t>
            </w:r>
          </w:p>
          <w:p w14:paraId="4FD3F6E0" w14:textId="77777777" w:rsidR="001B518E" w:rsidRPr="005A311A" w:rsidRDefault="001B518E" w:rsidP="00B46F8B">
            <w:pPr>
              <w:pStyle w:val="ListParagraph"/>
              <w:rPr>
                <w:rFonts w:ascii="Garamond" w:hAnsi="Garamond" w:cs="Times New Roman"/>
                <w:sz w:val="24"/>
                <w:szCs w:val="24"/>
              </w:rPr>
            </w:pPr>
            <w:r w:rsidRPr="005A311A">
              <w:rPr>
                <w:rFonts w:ascii="Garamond" w:hAnsi="Garamond" w:cs="Times New Roman"/>
                <w:sz w:val="24"/>
                <w:szCs w:val="24"/>
              </w:rPr>
              <w:t>2 = Japanese suicide victims</w:t>
            </w:r>
          </w:p>
        </w:tc>
      </w:tr>
      <w:tr w:rsidR="001B518E" w:rsidRPr="005A311A" w14:paraId="64E4AC3A" w14:textId="77777777" w:rsidTr="00B46F8B">
        <w:tc>
          <w:tcPr>
            <w:tcW w:w="2070" w:type="dxa"/>
          </w:tcPr>
          <w:p w14:paraId="15031BF4"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Conclusion</w:t>
            </w:r>
          </w:p>
        </w:tc>
        <w:tc>
          <w:tcPr>
            <w:tcW w:w="1620" w:type="dxa"/>
          </w:tcPr>
          <w:p w14:paraId="3354252D"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6</w:t>
            </w:r>
          </w:p>
          <w:p w14:paraId="3E22F867"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(1)</w:t>
            </w:r>
          </w:p>
        </w:tc>
        <w:tc>
          <w:tcPr>
            <w:tcW w:w="900" w:type="dxa"/>
          </w:tcPr>
          <w:p w14:paraId="5EA06514"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0</w:t>
            </w:r>
          </w:p>
        </w:tc>
        <w:tc>
          <w:tcPr>
            <w:tcW w:w="4405" w:type="dxa"/>
          </w:tcPr>
          <w:p w14:paraId="4A528C0D"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1</w:t>
            </w:r>
          </w:p>
          <w:p w14:paraId="5BD3BC1E"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1= Japanese people</w:t>
            </w:r>
          </w:p>
        </w:tc>
      </w:tr>
      <w:tr w:rsidR="001B518E" w:rsidRPr="005A311A" w14:paraId="124CBE27" w14:textId="77777777" w:rsidTr="00B46F8B">
        <w:tc>
          <w:tcPr>
            <w:tcW w:w="2070" w:type="dxa"/>
          </w:tcPr>
          <w:p w14:paraId="33B02B67"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Total</w:t>
            </w:r>
          </w:p>
        </w:tc>
        <w:tc>
          <w:tcPr>
            <w:tcW w:w="1620" w:type="dxa"/>
          </w:tcPr>
          <w:p w14:paraId="087DCB57"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35</w:t>
            </w:r>
          </w:p>
        </w:tc>
        <w:tc>
          <w:tcPr>
            <w:tcW w:w="900" w:type="dxa"/>
          </w:tcPr>
          <w:p w14:paraId="5CEE6F91"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0</w:t>
            </w:r>
          </w:p>
        </w:tc>
        <w:tc>
          <w:tcPr>
            <w:tcW w:w="4405" w:type="dxa"/>
          </w:tcPr>
          <w:p w14:paraId="423AF8E6" w14:textId="77777777" w:rsidR="001B518E" w:rsidRPr="005A311A" w:rsidRDefault="001B518E" w:rsidP="00B46F8B">
            <w:pPr>
              <w:jc w:val="center"/>
              <w:rPr>
                <w:rFonts w:ascii="Garamond" w:hAnsi="Garamond" w:cs="Times New Roman"/>
                <w:sz w:val="24"/>
                <w:szCs w:val="24"/>
              </w:rPr>
            </w:pPr>
            <w:r w:rsidRPr="005A311A">
              <w:rPr>
                <w:rFonts w:ascii="Garamond" w:hAnsi="Garamond" w:cs="Times New Roman"/>
                <w:sz w:val="24"/>
                <w:szCs w:val="24"/>
              </w:rPr>
              <w:t>26</w:t>
            </w:r>
          </w:p>
          <w:p w14:paraId="6B6B669E" w14:textId="77777777" w:rsidR="001B518E" w:rsidRPr="005A311A" w:rsidRDefault="001B518E" w:rsidP="00B46F8B">
            <w:pPr>
              <w:jc w:val="center"/>
              <w:rPr>
                <w:rFonts w:ascii="Garamond" w:hAnsi="Garamond" w:cs="Times New Roman"/>
                <w:sz w:val="24"/>
                <w:szCs w:val="24"/>
              </w:rPr>
            </w:pPr>
          </w:p>
        </w:tc>
      </w:tr>
    </w:tbl>
    <w:p w14:paraId="2527904C" w14:textId="77777777" w:rsidR="001B518E" w:rsidRPr="005A311A" w:rsidRDefault="001B518E" w:rsidP="001B518E">
      <w:pPr>
        <w:spacing w:line="480" w:lineRule="auto"/>
        <w:rPr>
          <w:rFonts w:ascii="Garamond" w:hAnsi="Garamond" w:cs="Times New Roman"/>
          <w:sz w:val="24"/>
          <w:szCs w:val="24"/>
        </w:rPr>
      </w:pPr>
      <w:bookmarkStart w:id="8" w:name="_Hlk187834177"/>
    </w:p>
    <w:p w14:paraId="79D77AF0" w14:textId="77777777" w:rsidR="001B518E" w:rsidRPr="005A311A" w:rsidRDefault="001B518E" w:rsidP="005A311A">
      <w:pPr>
        <w:pStyle w:val="L2JBody"/>
      </w:pPr>
      <w:r w:rsidRPr="005A311A">
        <w:t xml:space="preserve">Kevin used </w:t>
      </w:r>
      <w:proofErr w:type="gramStart"/>
      <w:r w:rsidRPr="005A311A">
        <w:t>“they”</w:t>
      </w:r>
      <w:proofErr w:type="gramEnd"/>
      <w:r w:rsidRPr="005A311A">
        <w:t xml:space="preserve"> to objectify the Japanese people as research </w:t>
      </w:r>
      <w:r w:rsidRPr="005A311A">
        <w:rPr>
          <w:rFonts w:hint="eastAsia"/>
        </w:rPr>
        <w:t>subjects</w:t>
      </w:r>
      <w:r w:rsidRPr="005A311A">
        <w:t xml:space="preserve">, while </w:t>
      </w:r>
      <w:r w:rsidRPr="005A311A">
        <w:rPr>
          <w:rFonts w:hint="eastAsia"/>
        </w:rPr>
        <w:t>using</w:t>
      </w:r>
      <w:r w:rsidRPr="005A311A">
        <w:t xml:space="preserve"> </w:t>
      </w:r>
      <w:proofErr w:type="gramStart"/>
      <w:r w:rsidRPr="005A311A">
        <w:t>“I”</w:t>
      </w:r>
      <w:proofErr w:type="gramEnd"/>
      <w:r w:rsidRPr="005A311A">
        <w:t xml:space="preserve"> to assert </w:t>
      </w:r>
      <w:r w:rsidRPr="005A311A">
        <w:rPr>
          <w:rFonts w:hint="eastAsia"/>
        </w:rPr>
        <w:t xml:space="preserve">his authorial </w:t>
      </w:r>
      <w:r w:rsidRPr="005A311A">
        <w:t xml:space="preserve">stance. </w:t>
      </w:r>
      <w:r w:rsidRPr="005A311A">
        <w:rPr>
          <w:rFonts w:hint="eastAsia"/>
        </w:rPr>
        <w:t xml:space="preserve">Although such contrast is not uncommon in </w:t>
      </w:r>
      <w:r w:rsidRPr="005A311A">
        <w:t xml:space="preserve">in student </w:t>
      </w:r>
      <w:r w:rsidRPr="005A311A">
        <w:rPr>
          <w:rFonts w:hint="eastAsia"/>
        </w:rPr>
        <w:t>writing, w</w:t>
      </w:r>
      <w:r w:rsidRPr="005A311A">
        <w:t xml:space="preserve">hat </w:t>
      </w:r>
      <w:r w:rsidRPr="005A311A">
        <w:rPr>
          <w:rFonts w:hint="eastAsia"/>
        </w:rPr>
        <w:t xml:space="preserve">stands out is how his </w:t>
      </w:r>
      <w:r w:rsidRPr="005A311A">
        <w:t>use of “</w:t>
      </w:r>
      <w:r w:rsidRPr="005A311A">
        <w:rPr>
          <w:rFonts w:hint="eastAsia"/>
        </w:rPr>
        <w:t>I</w:t>
      </w:r>
      <w:r w:rsidRPr="005A311A">
        <w:t>”</w:t>
      </w:r>
      <w:r w:rsidRPr="005A311A">
        <w:rPr>
          <w:rFonts w:hint="eastAsia"/>
        </w:rPr>
        <w:t xml:space="preserve"> is closely tied to the epistemic modal </w:t>
      </w:r>
      <w:r w:rsidRPr="005A311A">
        <w:t>“</w:t>
      </w:r>
      <w:r w:rsidRPr="005A311A">
        <w:rPr>
          <w:rFonts w:hint="eastAsia"/>
        </w:rPr>
        <w:t>I believe.</w:t>
      </w:r>
      <w:r w:rsidRPr="005A311A">
        <w:t>”</w:t>
      </w:r>
      <w:r w:rsidRPr="005A311A">
        <w:rPr>
          <w:rFonts w:hint="eastAsia"/>
        </w:rPr>
        <w:t xml:space="preserve"> This pattern reinforces an </w:t>
      </w:r>
      <w:r w:rsidRPr="005A311A">
        <w:t xml:space="preserve">Orientalist stance, portraying the Japanese as </w:t>
      </w:r>
      <w:r w:rsidRPr="005A311A">
        <w:rPr>
          <w:rFonts w:hint="eastAsia"/>
        </w:rPr>
        <w:t xml:space="preserve">a generalized </w:t>
      </w:r>
      <w:r w:rsidRPr="005A311A">
        <w:t>“</w:t>
      </w:r>
      <w:r w:rsidRPr="005A311A">
        <w:rPr>
          <w:rFonts w:hint="eastAsia"/>
        </w:rPr>
        <w:t>o</w:t>
      </w:r>
      <w:r w:rsidRPr="005A311A">
        <w:t xml:space="preserve">ther.” </w:t>
      </w:r>
    </w:p>
    <w:p w14:paraId="5A944664" w14:textId="77777777" w:rsidR="001B518E" w:rsidRDefault="001B518E" w:rsidP="005A311A">
      <w:pPr>
        <w:pStyle w:val="L2JBody"/>
      </w:pPr>
      <w:r w:rsidRPr="005A311A">
        <w:t>In his analysis of hikikomori</w:t>
      </w:r>
      <w:r w:rsidRPr="005A311A">
        <w:rPr>
          <w:rFonts w:hint="eastAsia"/>
        </w:rPr>
        <w:t xml:space="preserve">, Kevin introduces what </w:t>
      </w:r>
      <w:r w:rsidRPr="005A311A">
        <w:t xml:space="preserve">he </w:t>
      </w:r>
      <w:r w:rsidRPr="005A311A">
        <w:rPr>
          <w:rFonts w:hint="eastAsia"/>
        </w:rPr>
        <w:t>calls the</w:t>
      </w:r>
      <w:r w:rsidRPr="005A311A">
        <w:t xml:space="preserve"> “KITY”</w:t>
      </w:r>
      <w:r w:rsidRPr="005A311A">
        <w:rPr>
          <w:rFonts w:hint="eastAsia"/>
        </w:rPr>
        <w:t xml:space="preserve"> mindset</w:t>
      </w:r>
      <w:r w:rsidRPr="005A311A">
        <w:t>—</w:t>
      </w:r>
      <w:r w:rsidRPr="005A311A">
        <w:rPr>
          <w:rFonts w:hint="eastAsia"/>
        </w:rPr>
        <w:t xml:space="preserve">short </w:t>
      </w:r>
      <w:r w:rsidRPr="005A311A">
        <w:t xml:space="preserve">for “Keep It </w:t>
      </w:r>
      <w:r w:rsidRPr="005A311A">
        <w:rPr>
          <w:rFonts w:hint="eastAsia"/>
        </w:rPr>
        <w:t>t</w:t>
      </w:r>
      <w:r w:rsidRPr="005A311A">
        <w:t>o Yourself” —</w:t>
      </w:r>
      <w:r w:rsidRPr="005A311A">
        <w:rPr>
          <w:rFonts w:hint="eastAsia"/>
        </w:rPr>
        <w:t>as a central explanatory concept</w:t>
      </w:r>
      <w:r w:rsidRPr="005A311A">
        <w:t xml:space="preserve">. He </w:t>
      </w:r>
      <w:r w:rsidRPr="005A311A">
        <w:rPr>
          <w:rFonts w:hint="eastAsia"/>
        </w:rPr>
        <w:t>argues that Japanese society discourages open discussion of mental health, resulting in untreated depression and social withdrawal. In the introduction, he writes:</w:t>
      </w:r>
    </w:p>
    <w:p w14:paraId="06B229DE" w14:textId="77777777" w:rsidR="005A311A" w:rsidRPr="005A311A" w:rsidRDefault="005A311A" w:rsidP="005A311A">
      <w:pPr>
        <w:pStyle w:val="L2JBody"/>
      </w:pPr>
    </w:p>
    <w:bookmarkEnd w:id="8"/>
    <w:p w14:paraId="055D5840" w14:textId="77777777" w:rsidR="001B518E" w:rsidRDefault="001B518E" w:rsidP="005A311A">
      <w:pPr>
        <w:pStyle w:val="L2JBlockQuote"/>
      </w:pPr>
      <w:r w:rsidRPr="005A311A">
        <w:t xml:space="preserve">From the little experience I’ve had communicating with Japanese people, I found this   statement (KITY) to be quite accurate as they rarely have ever brought up subjects that were troubling them and would often dismiss me if I showed concerned about their troubles…I believe (emphasis added) it’s because of the “KITY” mindset that Japan has such a struggle when it comes to dealing with depression.  </w:t>
      </w:r>
      <w:r w:rsidRPr="005A311A">
        <w:rPr>
          <w:highlight w:val="yellow"/>
        </w:rPr>
        <w:t xml:space="preserve"> </w:t>
      </w:r>
    </w:p>
    <w:p w14:paraId="6C9565C2" w14:textId="77777777" w:rsidR="005A311A" w:rsidRPr="005A311A" w:rsidRDefault="005A311A" w:rsidP="005A311A">
      <w:pPr>
        <w:pStyle w:val="L2JBlockQuote"/>
      </w:pPr>
    </w:p>
    <w:p w14:paraId="690F54A2" w14:textId="77777777" w:rsidR="001B518E" w:rsidRPr="0099789C" w:rsidRDefault="001B518E" w:rsidP="005A311A">
      <w:pPr>
        <w:pStyle w:val="L2JBody"/>
      </w:pPr>
      <w:r>
        <w:rPr>
          <w:rFonts w:hint="eastAsia"/>
        </w:rPr>
        <w:t xml:space="preserve">Here, </w:t>
      </w:r>
      <w:r>
        <w:t>“</w:t>
      </w:r>
      <w:r>
        <w:rPr>
          <w:rFonts w:hint="eastAsia"/>
        </w:rPr>
        <w:t>they</w:t>
      </w:r>
      <w:r>
        <w:t>”</w:t>
      </w:r>
      <w:r>
        <w:rPr>
          <w:rFonts w:hint="eastAsia"/>
        </w:rPr>
        <w:t xml:space="preserve"> </w:t>
      </w:r>
      <w:r w:rsidRPr="0099789C">
        <w:t xml:space="preserve">clearly refers to </w:t>
      </w:r>
      <w:r>
        <w:rPr>
          <w:rFonts w:hint="eastAsia"/>
        </w:rPr>
        <w:t xml:space="preserve">past </w:t>
      </w:r>
      <w:r w:rsidRPr="0099789C">
        <w:t xml:space="preserve">Japanese </w:t>
      </w:r>
      <w:r>
        <w:rPr>
          <w:rFonts w:hint="eastAsia"/>
        </w:rPr>
        <w:t xml:space="preserve">acquaintances, </w:t>
      </w:r>
      <w:r w:rsidRPr="0099789C">
        <w:t>while “I</w:t>
      </w:r>
      <w:r>
        <w:rPr>
          <w:rFonts w:hint="eastAsia"/>
        </w:rPr>
        <w:t xml:space="preserve"> believe</w:t>
      </w:r>
      <w:r w:rsidRPr="0099789C">
        <w:t xml:space="preserve">” </w:t>
      </w:r>
      <w:r>
        <w:rPr>
          <w:rFonts w:hint="eastAsia"/>
        </w:rPr>
        <w:t xml:space="preserve">signals his subjective claim. This early framing, though initially plausible, becomes increasingly assertive as his paper progresses. </w:t>
      </w:r>
    </w:p>
    <w:p w14:paraId="0C2EAC56" w14:textId="77777777" w:rsidR="001B518E" w:rsidRDefault="001B518E" w:rsidP="005A311A">
      <w:pPr>
        <w:pStyle w:val="L2JBody"/>
      </w:pPr>
      <w:r w:rsidRPr="0099789C">
        <w:lastRenderedPageBreak/>
        <w:t xml:space="preserve">In the </w:t>
      </w:r>
      <w:r>
        <w:t>body of</w:t>
      </w:r>
      <w:r>
        <w:rPr>
          <w:rFonts w:hint="eastAsia"/>
        </w:rPr>
        <w:t xml:space="preserve"> his paper</w:t>
      </w:r>
      <w:r w:rsidRPr="0099789C">
        <w:t xml:space="preserve">, Kevin repeatedly uses “I believe” to </w:t>
      </w:r>
      <w:r>
        <w:rPr>
          <w:rFonts w:hint="eastAsia"/>
        </w:rPr>
        <w:t xml:space="preserve">assert that the </w:t>
      </w:r>
      <w:r w:rsidRPr="0099789C">
        <w:t xml:space="preserve">KITY </w:t>
      </w:r>
      <w:r>
        <w:rPr>
          <w:rFonts w:hint="eastAsia"/>
        </w:rPr>
        <w:t xml:space="preserve">mindset </w:t>
      </w:r>
      <w:r w:rsidRPr="0099789C">
        <w:t xml:space="preserve">is the root </w:t>
      </w:r>
      <w:r>
        <w:rPr>
          <w:rFonts w:hint="eastAsia"/>
        </w:rPr>
        <w:t xml:space="preserve">cause </w:t>
      </w:r>
      <w:r w:rsidRPr="0099789C">
        <w:t xml:space="preserve">of </w:t>
      </w:r>
      <w:r>
        <w:rPr>
          <w:rFonts w:hint="eastAsia"/>
        </w:rPr>
        <w:t>multiple</w:t>
      </w:r>
      <w:r w:rsidRPr="0099789C">
        <w:t xml:space="preserve"> societal </w:t>
      </w:r>
      <w:r>
        <w:rPr>
          <w:rFonts w:hint="eastAsia"/>
        </w:rPr>
        <w:t>problems in Japan</w:t>
      </w:r>
      <w:r w:rsidRPr="0099789C">
        <w:t>.</w:t>
      </w:r>
      <w:r>
        <w:rPr>
          <w:rFonts w:hint="eastAsia"/>
        </w:rPr>
        <w:t xml:space="preserve"> He links it not only to untreated depression and </w:t>
      </w:r>
      <w:r w:rsidRPr="002B4A22">
        <w:rPr>
          <w:rFonts w:hint="eastAsia"/>
          <w:i/>
          <w:iCs/>
        </w:rPr>
        <w:t>hikikomori</w:t>
      </w:r>
      <w:r>
        <w:rPr>
          <w:rFonts w:hint="eastAsia"/>
        </w:rPr>
        <w:t>, but also to low birthrates, youth isolation, and even economic decline:</w:t>
      </w:r>
    </w:p>
    <w:p w14:paraId="247DB749" w14:textId="77777777" w:rsidR="00756353" w:rsidRDefault="00756353" w:rsidP="005A311A">
      <w:pPr>
        <w:pStyle w:val="L2JBody"/>
      </w:pPr>
    </w:p>
    <w:p w14:paraId="75961EC7" w14:textId="77777777" w:rsidR="001B518E" w:rsidRDefault="001B518E" w:rsidP="005A311A">
      <w:pPr>
        <w:pStyle w:val="L2JBlockQuote"/>
      </w:pPr>
      <w:r w:rsidRPr="0015657B">
        <w:rPr>
          <w:i/>
        </w:rPr>
        <w:t>I believe</w:t>
      </w:r>
      <w:r w:rsidRPr="0015657B">
        <w:t xml:space="preserve"> that because of depression (caused by the KITY </w:t>
      </w:r>
      <w:r>
        <w:t>mindset</w:t>
      </w:r>
      <w:r>
        <w:rPr>
          <w:rFonts w:hint="eastAsia"/>
        </w:rPr>
        <w:t>)</w:t>
      </w:r>
      <w:r w:rsidRPr="0015657B">
        <w:t xml:space="preserve">, many Japanese people have used anime, pop idols and video games as an escape from reality (and become an Otaku) .... Regarding these Otakus, 67% of people were not married, and </w:t>
      </w:r>
      <w:r w:rsidRPr="0015657B">
        <w:rPr>
          <w:i/>
        </w:rPr>
        <w:t>I believe</w:t>
      </w:r>
      <w:r w:rsidRPr="0015657B">
        <w:t xml:space="preserve"> this plays a reason into why Japanese birthrates are so low. These articles also states </w:t>
      </w:r>
      <w:r>
        <w:t xml:space="preserve">[sic] </w:t>
      </w:r>
      <w:r w:rsidRPr="0015657B">
        <w:t xml:space="preserve">that one in three Japanese high school students have never gone on a date or been in a romantic relationship. </w:t>
      </w:r>
      <w:r w:rsidRPr="0015657B">
        <w:rPr>
          <w:i/>
        </w:rPr>
        <w:t>I believe</w:t>
      </w:r>
      <w:r w:rsidRPr="0015657B">
        <w:t xml:space="preserve"> that </w:t>
      </w:r>
      <w:proofErr w:type="gramStart"/>
      <w:r w:rsidRPr="0015657B">
        <w:t>the majority of</w:t>
      </w:r>
      <w:proofErr w:type="gramEnd"/>
      <w:r w:rsidRPr="0015657B">
        <w:t xml:space="preserve"> these numbers are linked due to the lack of treatment with Japanese depression. The Japanese are too ashamed to let others know they can’t handle things on their own and unfortunately, they have to pay the price by being subjected to isolation… (Regarding the high suicide rate in Japan), </w:t>
      </w:r>
      <w:r w:rsidRPr="0015657B">
        <w:rPr>
          <w:i/>
        </w:rPr>
        <w:t>I believe</w:t>
      </w:r>
      <w:r w:rsidRPr="0015657B">
        <w:t xml:space="preserve"> that these numbers indicate that the majority of these suicide had to deal with stress, which leads to an unbearable depression. </w:t>
      </w:r>
      <w:r w:rsidRPr="0015657B">
        <w:rPr>
          <w:i/>
        </w:rPr>
        <w:t>I believe</w:t>
      </w:r>
      <w:r w:rsidRPr="0015657B">
        <w:t xml:space="preserve"> that these factors arise due to the “KITY” mindset, and </w:t>
      </w:r>
      <w:r w:rsidRPr="0015657B">
        <w:rPr>
          <w:i/>
        </w:rPr>
        <w:t>I believe</w:t>
      </w:r>
      <w:r w:rsidRPr="0015657B">
        <w:t xml:space="preserve"> that many of these unfortunate cases could have been avoided, if they were just to speak how they feel.”</w:t>
      </w:r>
      <w:r>
        <w:t xml:space="preserve"> (Emphasis</w:t>
      </w:r>
      <w:r w:rsidRPr="00C94562">
        <w:t xml:space="preserve"> mine</w:t>
      </w:r>
      <w:r>
        <w:t>.)</w:t>
      </w:r>
    </w:p>
    <w:p w14:paraId="77C78BE8" w14:textId="77777777" w:rsidR="00756353" w:rsidRPr="0015657B" w:rsidRDefault="00756353" w:rsidP="005A311A">
      <w:pPr>
        <w:pStyle w:val="L2JBlockQuote"/>
      </w:pPr>
    </w:p>
    <w:p w14:paraId="1B27B9B2" w14:textId="77777777" w:rsidR="001B518E" w:rsidRDefault="001B518E" w:rsidP="005A311A">
      <w:pPr>
        <w:pStyle w:val="L2JBody"/>
      </w:pPr>
      <w:bookmarkStart w:id="9" w:name="_Hlk187834292"/>
      <w:r>
        <w:rPr>
          <w:rFonts w:hint="eastAsia"/>
        </w:rPr>
        <w:t xml:space="preserve">Among </w:t>
      </w:r>
      <w:r>
        <w:t xml:space="preserve">20 first-person </w:t>
      </w:r>
      <w:r>
        <w:rPr>
          <w:rFonts w:hint="eastAsia"/>
        </w:rPr>
        <w:t xml:space="preserve">uses in the main section, 7 are paired with </w:t>
      </w:r>
      <w:r>
        <w:t>“</w:t>
      </w:r>
      <w:r w:rsidRPr="00743AF9">
        <w:rPr>
          <w:rFonts w:hint="eastAsia"/>
        </w:rPr>
        <w:t>I</w:t>
      </w:r>
      <w:r>
        <w:rPr>
          <w:rFonts w:hint="eastAsia"/>
        </w:rPr>
        <w:t xml:space="preserve"> believe</w:t>
      </w:r>
      <w:r>
        <w:t>”</w:t>
      </w:r>
      <w:r>
        <w:rPr>
          <w:rFonts w:hint="eastAsia"/>
        </w:rPr>
        <w:t xml:space="preserve"> (See Table 3). </w:t>
      </w:r>
      <w:r>
        <w:t xml:space="preserve">This </w:t>
      </w:r>
      <w:r>
        <w:rPr>
          <w:rFonts w:hint="eastAsia"/>
        </w:rPr>
        <w:t>epistemic modality underscores Kevin</w:t>
      </w:r>
      <w:r>
        <w:t>’</w:t>
      </w:r>
      <w:r>
        <w:rPr>
          <w:rFonts w:hint="eastAsia"/>
        </w:rPr>
        <w:t xml:space="preserve">s strong conviction while simultaneously performing an </w:t>
      </w:r>
      <w:r>
        <w:t>“</w:t>
      </w:r>
      <w:r>
        <w:rPr>
          <w:rFonts w:hint="eastAsia"/>
        </w:rPr>
        <w:t>American self</w:t>
      </w:r>
      <w:r>
        <w:t>”</w:t>
      </w:r>
      <w:r>
        <w:rPr>
          <w:rFonts w:hint="eastAsia"/>
        </w:rPr>
        <w:t xml:space="preserve"> </w:t>
      </w:r>
      <w:r>
        <w:t>positioned</w:t>
      </w:r>
      <w:r>
        <w:rPr>
          <w:rFonts w:hint="eastAsia"/>
        </w:rPr>
        <w:t xml:space="preserve"> against a generalized </w:t>
      </w:r>
      <w:r>
        <w:t>“</w:t>
      </w:r>
      <w:r>
        <w:rPr>
          <w:rFonts w:hint="eastAsia"/>
        </w:rPr>
        <w:t>Japanese other.</w:t>
      </w:r>
      <w:r>
        <w:t>”</w:t>
      </w:r>
      <w:r>
        <w:rPr>
          <w:rFonts w:hint="eastAsia"/>
        </w:rPr>
        <w:t xml:space="preserve"> His repeated assertion of causal links</w:t>
      </w:r>
      <w:r w:rsidRPr="005331F3">
        <w:t>—</w:t>
      </w:r>
      <w:r>
        <w:rPr>
          <w:rFonts w:hint="eastAsia"/>
        </w:rPr>
        <w:t>without addressing broader economic, cultural, or historical complexity</w:t>
      </w:r>
      <w:r w:rsidRPr="005331F3">
        <w:t>—</w:t>
      </w:r>
      <w:r>
        <w:rPr>
          <w:rFonts w:hint="eastAsia"/>
        </w:rPr>
        <w:t xml:space="preserve">reveals an essentialist framework shaped by Orientalist assumptions. </w:t>
      </w:r>
      <w:bookmarkEnd w:id="9"/>
    </w:p>
    <w:p w14:paraId="5E0BAFD0" w14:textId="77777777" w:rsidR="001B518E" w:rsidRDefault="001B518E" w:rsidP="005A311A">
      <w:pPr>
        <w:pStyle w:val="L2JBody"/>
      </w:pPr>
      <w:proofErr w:type="gramStart"/>
      <w:r>
        <w:t>A number of</w:t>
      </w:r>
      <w:proofErr w:type="gramEnd"/>
      <w:r>
        <w:t xml:space="preserve"> Kevin’s arguments are problematic in their</w:t>
      </w:r>
      <w:r>
        <w:rPr>
          <w:rFonts w:hint="eastAsia"/>
        </w:rPr>
        <w:t xml:space="preserve"> assumption</w:t>
      </w:r>
      <w:r>
        <w:t xml:space="preserve"> that </w:t>
      </w:r>
      <w:r>
        <w:rPr>
          <w:rFonts w:hint="eastAsia"/>
        </w:rPr>
        <w:t>key</w:t>
      </w:r>
      <w:r>
        <w:t xml:space="preserve"> social and economic </w:t>
      </w:r>
      <w:r>
        <w:rPr>
          <w:rFonts w:hint="eastAsia"/>
        </w:rPr>
        <w:t>issues</w:t>
      </w:r>
      <w:r>
        <w:t xml:space="preserve"> in </w:t>
      </w:r>
      <w:r>
        <w:rPr>
          <w:rFonts w:hint="eastAsia"/>
        </w:rPr>
        <w:t xml:space="preserve">Japan </w:t>
      </w:r>
      <w:r>
        <w:t xml:space="preserve">are </w:t>
      </w:r>
      <w:r>
        <w:rPr>
          <w:rFonts w:hint="eastAsia"/>
        </w:rPr>
        <w:t xml:space="preserve">direct consequences </w:t>
      </w:r>
      <w:r>
        <w:t xml:space="preserve">the KITY </w:t>
      </w:r>
      <w:r>
        <w:rPr>
          <w:rFonts w:hint="eastAsia"/>
        </w:rPr>
        <w:t>mindset</w:t>
      </w:r>
      <w:r>
        <w:t xml:space="preserve">. He claims that Japan’s economic decline </w:t>
      </w:r>
      <w:r>
        <w:rPr>
          <w:rFonts w:hint="eastAsia"/>
        </w:rPr>
        <w:t>stems</w:t>
      </w:r>
      <w:r>
        <w:t xml:space="preserve"> from the </w:t>
      </w:r>
      <w:r>
        <w:rPr>
          <w:rFonts w:hint="eastAsia"/>
        </w:rPr>
        <w:t xml:space="preserve">low productivity of </w:t>
      </w:r>
      <w:r w:rsidRPr="002B4A22">
        <w:rPr>
          <w:i/>
          <w:iCs/>
        </w:rPr>
        <w:t>hikikomori</w:t>
      </w:r>
      <w:r>
        <w:rPr>
          <w:rFonts w:hint="eastAsia"/>
        </w:rPr>
        <w:t>, whom he conflates with</w:t>
      </w:r>
      <w:r>
        <w:t xml:space="preserve"> NEET (Not in Education, Employment, or Training) and Otaku </w:t>
      </w:r>
      <w:r>
        <w:rPr>
          <w:rFonts w:hint="eastAsia"/>
        </w:rPr>
        <w:t>youth</w:t>
      </w:r>
      <w:r>
        <w:t xml:space="preserve">. </w:t>
      </w:r>
      <w:r>
        <w:rPr>
          <w:rFonts w:hint="eastAsia"/>
        </w:rPr>
        <w:t xml:space="preserve">This conflation erases important distinctions, treating diverse social groups as a single </w:t>
      </w:r>
      <w:r>
        <w:t>stigmatized</w:t>
      </w:r>
      <w:r>
        <w:rPr>
          <w:rFonts w:hint="eastAsia"/>
        </w:rPr>
        <w:t xml:space="preserve"> population. </w:t>
      </w:r>
    </w:p>
    <w:p w14:paraId="0164A9B7" w14:textId="77777777" w:rsidR="001B518E" w:rsidRDefault="001B518E" w:rsidP="005A311A">
      <w:pPr>
        <w:pStyle w:val="L2JBody"/>
      </w:pPr>
      <w:r>
        <w:rPr>
          <w:rFonts w:hint="eastAsia"/>
        </w:rPr>
        <w:t xml:space="preserve">Moreover, by framing </w:t>
      </w:r>
      <w:r w:rsidRPr="002B4A22">
        <w:rPr>
          <w:rFonts w:hint="eastAsia"/>
          <w:i/>
          <w:iCs/>
        </w:rPr>
        <w:t>hikikomori</w:t>
      </w:r>
      <w:r>
        <w:rPr>
          <w:rFonts w:hint="eastAsia"/>
        </w:rPr>
        <w:t xml:space="preserve"> as mentally ill and </w:t>
      </w:r>
      <w:r>
        <w:t>“</w:t>
      </w:r>
      <w:r>
        <w:rPr>
          <w:rFonts w:hint="eastAsia"/>
        </w:rPr>
        <w:t>unemployable,</w:t>
      </w:r>
      <w:r>
        <w:t>”</w:t>
      </w:r>
      <w:r>
        <w:rPr>
          <w:rFonts w:hint="eastAsia"/>
        </w:rPr>
        <w:t xml:space="preserve"> Kevin reinforces a medicalized and reductive view of these individuals. His argument extends this logic to explain </w:t>
      </w:r>
      <w:r>
        <w:t xml:space="preserve">low birthrates and </w:t>
      </w:r>
      <w:r>
        <w:rPr>
          <w:rFonts w:hint="eastAsia"/>
        </w:rPr>
        <w:t xml:space="preserve">high </w:t>
      </w:r>
      <w:r>
        <w:t>suicide</w:t>
      </w:r>
      <w:r>
        <w:rPr>
          <w:rFonts w:hint="eastAsia"/>
        </w:rPr>
        <w:t xml:space="preserve"> rates, </w:t>
      </w:r>
      <w:r>
        <w:t>attributing</w:t>
      </w:r>
      <w:r>
        <w:rPr>
          <w:rFonts w:hint="eastAsia"/>
        </w:rPr>
        <w:t xml:space="preserve"> them to emotional repression. Such sweeping generalizations </w:t>
      </w:r>
      <w:r w:rsidRPr="0067299D">
        <w:rPr>
          <w:rFonts w:hint="eastAsia"/>
        </w:rPr>
        <w:t>ignore</w:t>
      </w:r>
      <w:r>
        <w:rPr>
          <w:rFonts w:hint="eastAsia"/>
        </w:rPr>
        <w:t xml:space="preserve"> structural economic factors</w:t>
      </w:r>
      <w:r w:rsidRPr="00556F7C">
        <w:t>—</w:t>
      </w:r>
      <w:r>
        <w:rPr>
          <w:rFonts w:hint="eastAsia"/>
        </w:rPr>
        <w:t>like the post</w:t>
      </w:r>
      <w:r>
        <w:t>-</w:t>
      </w:r>
      <w:r>
        <w:rPr>
          <w:rFonts w:hint="eastAsia"/>
        </w:rPr>
        <w:t>bubble recession</w:t>
      </w:r>
      <w:r w:rsidRPr="00556F7C">
        <w:t>—</w:t>
      </w:r>
      <w:r>
        <w:rPr>
          <w:rFonts w:hint="eastAsia"/>
        </w:rPr>
        <w:t xml:space="preserve">and </w:t>
      </w:r>
      <w:r w:rsidRPr="0067299D">
        <w:rPr>
          <w:rFonts w:hint="eastAsia"/>
        </w:rPr>
        <w:t>reduce</w:t>
      </w:r>
      <w:r>
        <w:rPr>
          <w:rFonts w:hint="eastAsia"/>
        </w:rPr>
        <w:t xml:space="preserve"> complex cultural phenomena to simplified psychological traits</w:t>
      </w:r>
      <w:r>
        <w:t xml:space="preserve">. </w:t>
      </w:r>
    </w:p>
    <w:p w14:paraId="0DCF7B38" w14:textId="77777777" w:rsidR="001B518E" w:rsidRDefault="001B518E" w:rsidP="005A311A">
      <w:pPr>
        <w:pStyle w:val="L2JBody"/>
      </w:pPr>
      <w:r>
        <w:t xml:space="preserve">Failing to </w:t>
      </w:r>
      <w:r>
        <w:rPr>
          <w:rFonts w:hint="eastAsia"/>
        </w:rPr>
        <w:t xml:space="preserve">account for </w:t>
      </w:r>
      <w:r>
        <w:t xml:space="preserve">the complexity of Japanese social phenomena, </w:t>
      </w:r>
      <w:r>
        <w:rPr>
          <w:rFonts w:hint="eastAsia"/>
        </w:rPr>
        <w:t xml:space="preserve">Kevin </w:t>
      </w:r>
      <w:r>
        <w:t xml:space="preserve">concludes with </w:t>
      </w:r>
      <w:r>
        <w:rPr>
          <w:rFonts w:hint="eastAsia"/>
        </w:rPr>
        <w:t>a revealing statement</w:t>
      </w:r>
      <w:r>
        <w:t>:</w:t>
      </w:r>
    </w:p>
    <w:p w14:paraId="15B0A63A" w14:textId="77777777" w:rsidR="005A311A" w:rsidRDefault="005A311A" w:rsidP="005A311A">
      <w:pPr>
        <w:pStyle w:val="L2JBody"/>
      </w:pPr>
    </w:p>
    <w:p w14:paraId="6BB6CD7D" w14:textId="77777777" w:rsidR="001B518E" w:rsidRDefault="001B518E" w:rsidP="005A311A">
      <w:pPr>
        <w:pStyle w:val="L2JBlockQuote"/>
      </w:pPr>
      <w:r w:rsidRPr="005A311A">
        <w:t xml:space="preserve">Every day, I read more and more about Japan, and I gain more understanding on how fortunate I am as an American. </w:t>
      </w:r>
    </w:p>
    <w:p w14:paraId="077A5D24" w14:textId="77777777" w:rsidR="005A311A" w:rsidRPr="005A311A" w:rsidRDefault="005A311A" w:rsidP="005A311A">
      <w:pPr>
        <w:pStyle w:val="L2JBlockQuote"/>
      </w:pPr>
    </w:p>
    <w:p w14:paraId="5EF617F3" w14:textId="77777777" w:rsidR="001B518E" w:rsidRDefault="001B518E" w:rsidP="005A311A">
      <w:pPr>
        <w:pStyle w:val="L2JBody"/>
      </w:pPr>
      <w:r>
        <w:rPr>
          <w:rFonts w:hint="eastAsia"/>
        </w:rPr>
        <w:t xml:space="preserve">This final remark encapsulates a </w:t>
      </w:r>
      <w:r>
        <w:t>broad</w:t>
      </w:r>
      <w:r>
        <w:rPr>
          <w:rFonts w:hint="eastAsia"/>
        </w:rPr>
        <w:t xml:space="preserve">er Orientalist stance, framing Japan not simply as culturally different but as deficient. By contrasting his </w:t>
      </w:r>
      <w:r>
        <w:t>“</w:t>
      </w:r>
      <w:r>
        <w:rPr>
          <w:rFonts w:hint="eastAsia"/>
        </w:rPr>
        <w:t>fortunate</w:t>
      </w:r>
      <w:r>
        <w:t>”</w:t>
      </w:r>
      <w:r>
        <w:rPr>
          <w:rFonts w:hint="eastAsia"/>
        </w:rPr>
        <w:t xml:space="preserve"> American identity with a </w:t>
      </w:r>
      <w:r w:rsidRPr="00E81BD1">
        <w:rPr>
          <w:rFonts w:hint="eastAsia"/>
        </w:rPr>
        <w:t>pathologized</w:t>
      </w:r>
      <w:r>
        <w:rPr>
          <w:rFonts w:hint="eastAsia"/>
        </w:rPr>
        <w:t xml:space="preserve"> view of Japanese society, Kevin reproduces the binary of a rational, </w:t>
      </w:r>
      <w:r>
        <w:t>emotionally</w:t>
      </w:r>
      <w:r>
        <w:rPr>
          <w:rFonts w:hint="eastAsia"/>
        </w:rPr>
        <w:t xml:space="preserve"> open West versus an </w:t>
      </w:r>
      <w:r>
        <w:t>emotionally</w:t>
      </w:r>
      <w:r>
        <w:rPr>
          <w:rFonts w:hint="eastAsia"/>
        </w:rPr>
        <w:t xml:space="preserve"> repressed East. Rather than engaging </w:t>
      </w:r>
      <w:r>
        <w:t>dialogically</w:t>
      </w:r>
      <w:r>
        <w:rPr>
          <w:rFonts w:hint="eastAsia"/>
        </w:rPr>
        <w:t xml:space="preserve"> with the other, he distances himself from it through implicit cultural superiority. </w:t>
      </w:r>
    </w:p>
    <w:p w14:paraId="2201BE24" w14:textId="77777777" w:rsidR="001B518E" w:rsidRDefault="001B518E" w:rsidP="005A311A">
      <w:pPr>
        <w:pStyle w:val="L2JBody"/>
        <w:rPr>
          <w:rFonts w:eastAsiaTheme="minorEastAsia"/>
        </w:rPr>
      </w:pPr>
      <w:r>
        <w:t>Ideologically biased judgments about Japan’s culture, society, and people are not uncommon among Japanese majors. Japanese cultural content courses are often taught from a structuralist, knowledge-based perspective, encouraging learners to view Japan as “</w:t>
      </w:r>
      <w:r>
        <w:rPr>
          <w:rFonts w:eastAsiaTheme="minorEastAsia" w:hint="eastAsia"/>
        </w:rPr>
        <w:t>o</w:t>
      </w:r>
      <w:r>
        <w:t xml:space="preserve">ther” </w:t>
      </w:r>
      <w:r>
        <w:lastRenderedPageBreak/>
        <w:t xml:space="preserve">and </w:t>
      </w:r>
      <w:r>
        <w:rPr>
          <w:rFonts w:eastAsiaTheme="minorEastAsia" w:hint="eastAsia"/>
        </w:rPr>
        <w:t xml:space="preserve">to </w:t>
      </w:r>
      <w:r>
        <w:t xml:space="preserve">label observed phenomena in their analyses. Unfortunately, the tradition of studying foreign cultures remains rooted in the anthropological </w:t>
      </w:r>
      <w:r>
        <w:rPr>
          <w:rFonts w:eastAsiaTheme="minorEastAsia" w:hint="eastAsia"/>
        </w:rPr>
        <w:t xml:space="preserve">practice of </w:t>
      </w:r>
      <w:r>
        <w:rPr>
          <w:rFonts w:eastAsiaTheme="minorEastAsia"/>
        </w:rPr>
        <w:t>examining</w:t>
      </w:r>
      <w:r>
        <w:rPr>
          <w:rFonts w:eastAsiaTheme="minorEastAsia" w:hint="eastAsia"/>
        </w:rPr>
        <w:t xml:space="preserve"> </w:t>
      </w:r>
      <w:r>
        <w:t>the “</w:t>
      </w:r>
      <w:r>
        <w:rPr>
          <w:rFonts w:eastAsiaTheme="minorEastAsia" w:hint="eastAsia"/>
        </w:rPr>
        <w:t>o</w:t>
      </w:r>
      <w:r>
        <w:t xml:space="preserve">ther.” </w:t>
      </w:r>
      <w:r w:rsidRPr="00AD57CD">
        <w:t>Kubota</w:t>
      </w:r>
      <w:r>
        <w:t xml:space="preserve"> (1999) </w:t>
      </w:r>
      <w:r>
        <w:rPr>
          <w:rFonts w:eastAsiaTheme="minorEastAsia" w:hint="eastAsia"/>
        </w:rPr>
        <w:t>points out</w:t>
      </w:r>
      <w:r>
        <w:t xml:space="preserve"> that Japan’s “exotic” </w:t>
      </w:r>
      <w:r>
        <w:rPr>
          <w:rFonts w:eastAsiaTheme="minorEastAsia" w:hint="eastAsia"/>
        </w:rPr>
        <w:t>image</w:t>
      </w:r>
      <w:r>
        <w:t xml:space="preserve"> has been co-constructed not only by non-Japanese </w:t>
      </w:r>
      <w:r>
        <w:rPr>
          <w:rFonts w:eastAsiaTheme="minorEastAsia" w:hint="eastAsia"/>
        </w:rPr>
        <w:t xml:space="preserve">observers </w:t>
      </w:r>
      <w:r>
        <w:t>but also by Japanese</w:t>
      </w:r>
      <w:r>
        <w:rPr>
          <w:rFonts w:eastAsiaTheme="minorEastAsia" w:hint="eastAsia"/>
        </w:rPr>
        <w:t xml:space="preserve"> themselves. The phenomenon </w:t>
      </w:r>
      <w:r>
        <w:rPr>
          <w:rFonts w:eastAsiaTheme="minorEastAsia"/>
        </w:rPr>
        <w:t>of “</w:t>
      </w:r>
      <w:proofErr w:type="spellStart"/>
      <w:r w:rsidRPr="004E59CA">
        <w:rPr>
          <w:rFonts w:eastAsiaTheme="minorEastAsia"/>
          <w:i/>
          <w:iCs/>
        </w:rPr>
        <w:t>Nihonjin</w:t>
      </w:r>
      <w:r w:rsidRPr="004E59CA">
        <w:rPr>
          <w:i/>
          <w:iCs/>
        </w:rPr>
        <w:t>-ron</w:t>
      </w:r>
      <w:proofErr w:type="spellEnd"/>
      <w:r>
        <w:t xml:space="preserve">” (theories of </w:t>
      </w:r>
      <w:proofErr w:type="spellStart"/>
      <w:r>
        <w:t>Japanese</w:t>
      </w:r>
      <w:r>
        <w:rPr>
          <w:rFonts w:eastAsiaTheme="minorEastAsia" w:hint="eastAsia"/>
        </w:rPr>
        <w:t>ness</w:t>
      </w:r>
      <w:proofErr w:type="spellEnd"/>
      <w:r>
        <w:t>)</w:t>
      </w:r>
      <w:r>
        <w:rPr>
          <w:rFonts w:eastAsiaTheme="minorEastAsia" w:hint="eastAsia"/>
        </w:rPr>
        <w:t>,</w:t>
      </w:r>
      <w:r>
        <w:t xml:space="preserve"> for</w:t>
      </w:r>
      <w:r>
        <w:rPr>
          <w:rFonts w:eastAsiaTheme="minorEastAsia" w:hint="eastAsia"/>
        </w:rPr>
        <w:t xml:space="preserve"> example, reflects</w:t>
      </w:r>
      <w:r>
        <w:t xml:space="preserve"> </w:t>
      </w:r>
      <w:r>
        <w:rPr>
          <w:rFonts w:eastAsiaTheme="minorEastAsia" w:hint="eastAsia"/>
        </w:rPr>
        <w:t>the active participation of Japanese in articulating essentialist a</w:t>
      </w:r>
      <w:r>
        <w:rPr>
          <w:rFonts w:eastAsiaTheme="minorEastAsia"/>
        </w:rPr>
        <w:t>n</w:t>
      </w:r>
      <w:r>
        <w:rPr>
          <w:rFonts w:eastAsiaTheme="minorEastAsia" w:hint="eastAsia"/>
        </w:rPr>
        <w:t xml:space="preserve">d </w:t>
      </w:r>
      <w:r>
        <w:rPr>
          <w:rFonts w:eastAsiaTheme="minorEastAsia"/>
        </w:rPr>
        <w:t>exceptionalist</w:t>
      </w:r>
      <w:r>
        <w:rPr>
          <w:rFonts w:eastAsiaTheme="minorEastAsia" w:hint="eastAsia"/>
        </w:rPr>
        <w:t xml:space="preserve"> view of </w:t>
      </w:r>
      <w:r>
        <w:t>their own</w:t>
      </w:r>
      <w:r>
        <w:rPr>
          <w:rFonts w:eastAsiaTheme="minorEastAsia" w:hint="eastAsia"/>
        </w:rPr>
        <w:t xml:space="preserve"> culture</w:t>
      </w:r>
      <w:r>
        <w:t>.</w:t>
      </w:r>
      <w:r>
        <w:rPr>
          <w:rFonts w:eastAsiaTheme="minorEastAsia"/>
        </w:rPr>
        <w:t xml:space="preserve"> </w:t>
      </w:r>
    </w:p>
    <w:p w14:paraId="37E81E08" w14:textId="77777777" w:rsidR="001B518E" w:rsidRPr="00401E28" w:rsidRDefault="001B518E" w:rsidP="005A311A">
      <w:pPr>
        <w:pStyle w:val="L2JBody"/>
        <w:rPr>
          <w:rFonts w:eastAsiaTheme="minorEastAsia"/>
        </w:rPr>
      </w:pPr>
      <w:r w:rsidRPr="00AD57CD">
        <w:t>The danger</w:t>
      </w:r>
      <w:r>
        <w:t xml:space="preserve"> of this structuralist view of Japanese “</w:t>
      </w:r>
      <w:r>
        <w:rPr>
          <w:rFonts w:eastAsiaTheme="minorEastAsia" w:hint="eastAsia"/>
        </w:rPr>
        <w:t>s</w:t>
      </w:r>
      <w:r>
        <w:t>elf” and “</w:t>
      </w:r>
      <w:r>
        <w:rPr>
          <w:rFonts w:eastAsiaTheme="minorEastAsia" w:hint="eastAsia"/>
        </w:rPr>
        <w:t>o</w:t>
      </w:r>
      <w:r>
        <w:t xml:space="preserve">ther” lies in its </w:t>
      </w:r>
      <w:r>
        <w:rPr>
          <w:rFonts w:eastAsiaTheme="minorEastAsia" w:hint="eastAsia"/>
        </w:rPr>
        <w:t xml:space="preserve">reproduction </w:t>
      </w:r>
      <w:r>
        <w:t xml:space="preserve">of hidden ideologies shaped by global power </w:t>
      </w:r>
      <w:r>
        <w:rPr>
          <w:rFonts w:eastAsiaTheme="minorEastAsia" w:hint="eastAsia"/>
        </w:rPr>
        <w:t>relations</w:t>
      </w:r>
      <w:r>
        <w:t xml:space="preserve">, </w:t>
      </w:r>
      <w:r>
        <w:rPr>
          <w:rFonts w:eastAsiaTheme="minorEastAsia" w:hint="eastAsia"/>
        </w:rPr>
        <w:t>especially</w:t>
      </w:r>
      <w:r>
        <w:t xml:space="preserve"> in Japan’s postwar </w:t>
      </w:r>
      <w:r>
        <w:rPr>
          <w:rFonts w:eastAsiaTheme="minorEastAsia" w:hint="eastAsia"/>
        </w:rPr>
        <w:t>context</w:t>
      </w:r>
      <w:r>
        <w:t xml:space="preserve">. The </w:t>
      </w:r>
      <w:r>
        <w:rPr>
          <w:rFonts w:eastAsiaTheme="minorEastAsia" w:hint="eastAsia"/>
        </w:rPr>
        <w:t>notion</w:t>
      </w:r>
      <w:r>
        <w:t xml:space="preserve"> of the “noble savage” has </w:t>
      </w:r>
      <w:r>
        <w:rPr>
          <w:rFonts w:eastAsiaTheme="minorEastAsia" w:hint="eastAsia"/>
        </w:rPr>
        <w:t xml:space="preserve">long implied a dual image of </w:t>
      </w:r>
      <w:r>
        <w:t>the “uncivilized”</w:t>
      </w:r>
      <w:r>
        <w:rPr>
          <w:rFonts w:eastAsiaTheme="minorEastAsia" w:hint="eastAsia"/>
        </w:rPr>
        <w:t xml:space="preserve"> subject</w:t>
      </w:r>
      <w:r>
        <w:t xml:space="preserve"> in Orientalist </w:t>
      </w:r>
      <w:r>
        <w:rPr>
          <w:rFonts w:eastAsiaTheme="minorEastAsia" w:hint="eastAsia"/>
        </w:rPr>
        <w:t>discourse</w:t>
      </w:r>
      <w:r>
        <w:t xml:space="preserve">. Beyond academic </w:t>
      </w:r>
      <w:r>
        <w:rPr>
          <w:rFonts w:eastAsiaTheme="minorEastAsia" w:hint="eastAsia"/>
        </w:rPr>
        <w:t xml:space="preserve">representations, </w:t>
      </w:r>
      <w:r>
        <w:t xml:space="preserve">Kevin’s perspective also </w:t>
      </w:r>
      <w:r>
        <w:rPr>
          <w:rFonts w:eastAsiaTheme="minorEastAsia" w:hint="eastAsia"/>
        </w:rPr>
        <w:t xml:space="preserve">reflects postwar </w:t>
      </w:r>
      <w:r>
        <w:t>American socio-cultural discourse</w:t>
      </w:r>
      <w:r>
        <w:rPr>
          <w:rFonts w:eastAsiaTheme="minorEastAsia" w:hint="eastAsia"/>
        </w:rPr>
        <w:t xml:space="preserve">, which portrayed </w:t>
      </w:r>
      <w:r>
        <w:t xml:space="preserve">the Japanese as </w:t>
      </w:r>
      <w:r>
        <w:rPr>
          <w:rFonts w:eastAsiaTheme="minorEastAsia" w:hint="eastAsia"/>
        </w:rPr>
        <w:t xml:space="preserve">culturally deficient </w:t>
      </w:r>
      <w:r>
        <w:t>“</w:t>
      </w:r>
      <w:r>
        <w:rPr>
          <w:rFonts w:eastAsiaTheme="minorEastAsia" w:hint="eastAsia"/>
        </w:rPr>
        <w:t>o</w:t>
      </w:r>
      <w:r>
        <w:t>thers” (Dower, 1993, 2000; Shibusawa, 2006).</w:t>
      </w:r>
    </w:p>
    <w:p w14:paraId="5ED4E029" w14:textId="77777777" w:rsidR="001B518E" w:rsidRDefault="001B518E" w:rsidP="005A311A">
      <w:pPr>
        <w:pStyle w:val="L2JBody"/>
      </w:pPr>
      <w:r>
        <w:t>Considering the ideologies surrounding Japan, Kevin’s misunderstandings and biased judgments may stem from his p</w:t>
      </w:r>
      <w:r>
        <w:rPr>
          <w:rFonts w:eastAsiaTheme="minorEastAsia" w:hint="eastAsia"/>
        </w:rPr>
        <w:t>rior</w:t>
      </w:r>
      <w:r>
        <w:t xml:space="preserve"> immersion in a structuralist instructional paradigm. If the </w:t>
      </w:r>
      <w:r>
        <w:rPr>
          <w:rFonts w:eastAsiaTheme="minorEastAsia" w:hint="eastAsia"/>
        </w:rPr>
        <w:t>key difference between</w:t>
      </w:r>
      <w:r>
        <w:t xml:space="preserve"> the two </w:t>
      </w:r>
      <w:r>
        <w:rPr>
          <w:rFonts w:eastAsiaTheme="minorEastAsia" w:hint="eastAsia"/>
        </w:rPr>
        <w:t xml:space="preserve">students lies in their </w:t>
      </w:r>
      <w:r>
        <w:t xml:space="preserve">respective exposure to Japanese language and culture, Kevin’s greater experience seems to have undermined, rather than enhanced, his </w:t>
      </w:r>
      <w:r>
        <w:rPr>
          <w:rFonts w:eastAsiaTheme="minorEastAsia" w:hint="eastAsia"/>
        </w:rPr>
        <w:t xml:space="preserve">empathy toward the </w:t>
      </w:r>
      <w:r>
        <w:t xml:space="preserve">subject. As </w:t>
      </w:r>
      <w:r w:rsidRPr="00AD131C">
        <w:t xml:space="preserve">Dewaele and </w:t>
      </w:r>
      <w:r>
        <w:rPr>
          <w:rFonts w:eastAsiaTheme="minorEastAsia" w:hint="eastAsia"/>
        </w:rPr>
        <w:t>L</w:t>
      </w:r>
      <w:r w:rsidRPr="00AD131C">
        <w:t>i</w:t>
      </w:r>
      <w:r>
        <w:rPr>
          <w:rFonts w:eastAsiaTheme="minorEastAsia" w:hint="eastAsia"/>
        </w:rPr>
        <w:t xml:space="preserve"> (2012) </w:t>
      </w:r>
      <w:r>
        <w:rPr>
          <w:rFonts w:eastAsiaTheme="minorEastAsia"/>
        </w:rPr>
        <w:t xml:space="preserve">argue, </w:t>
      </w:r>
      <w:r>
        <w:t>deeper</w:t>
      </w:r>
      <w:r>
        <w:rPr>
          <w:rFonts w:eastAsiaTheme="minorEastAsia" w:hint="eastAsia"/>
        </w:rPr>
        <w:t xml:space="preserve"> cultural</w:t>
      </w:r>
      <w:r>
        <w:t xml:space="preserve"> exposure does not </w:t>
      </w:r>
      <w:r>
        <w:rPr>
          <w:rFonts w:eastAsiaTheme="minorEastAsia" w:hint="eastAsia"/>
        </w:rPr>
        <w:t xml:space="preserve">necessarily foster </w:t>
      </w:r>
      <w:r>
        <w:t>empathy</w:t>
      </w:r>
      <w:r>
        <w:rPr>
          <w:rFonts w:eastAsiaTheme="minorEastAsia" w:hint="eastAsia"/>
        </w:rPr>
        <w:t>;</w:t>
      </w:r>
      <w:r>
        <w:t xml:space="preserve"> the type and </w:t>
      </w:r>
      <w:r>
        <w:rPr>
          <w:rFonts w:eastAsiaTheme="minorEastAsia" w:hint="eastAsia"/>
        </w:rPr>
        <w:t xml:space="preserve">context </w:t>
      </w:r>
      <w:r>
        <w:t xml:space="preserve">of </w:t>
      </w:r>
      <w:r>
        <w:rPr>
          <w:rFonts w:eastAsiaTheme="minorEastAsia" w:hint="eastAsia"/>
        </w:rPr>
        <w:t xml:space="preserve">that </w:t>
      </w:r>
      <w:r>
        <w:t xml:space="preserve">exposure </w:t>
      </w:r>
      <w:r>
        <w:rPr>
          <w:rFonts w:eastAsiaTheme="minorEastAsia" w:hint="eastAsia"/>
        </w:rPr>
        <w:t>are crucial. A</w:t>
      </w:r>
      <w:r>
        <w:t xml:space="preserve">s Foucault (1977) </w:t>
      </w:r>
      <w:r>
        <w:rPr>
          <w:rFonts w:eastAsiaTheme="minorEastAsia" w:hint="eastAsia"/>
        </w:rPr>
        <w:t xml:space="preserve">reminds us, </w:t>
      </w:r>
      <w:r>
        <w:t>anyone</w:t>
      </w:r>
      <w:r w:rsidRPr="00D16CE1">
        <w:rPr>
          <w:rFonts w:eastAsiaTheme="minorEastAsia"/>
        </w:rPr>
        <w:t>—</w:t>
      </w:r>
      <w:r>
        <w:t>regardless of ethnic or social background</w:t>
      </w:r>
      <w:r w:rsidRPr="00DB78F0">
        <w:rPr>
          <w:rFonts w:eastAsiaTheme="minorEastAsia"/>
        </w:rPr>
        <w:t>—</w:t>
      </w:r>
      <w:r>
        <w:t xml:space="preserve">can </w:t>
      </w:r>
      <w:r>
        <w:rPr>
          <w:rFonts w:eastAsiaTheme="minorEastAsia" w:hint="eastAsia"/>
        </w:rPr>
        <w:t xml:space="preserve">act as an agent of dominant discourses, including </w:t>
      </w:r>
      <w:r>
        <w:rPr>
          <w:rFonts w:eastAsiaTheme="minorEastAsia"/>
        </w:rPr>
        <w:t>Orientalism</w:t>
      </w:r>
      <w:r>
        <w:rPr>
          <w:rFonts w:eastAsiaTheme="minorEastAsia" w:hint="eastAsia"/>
        </w:rPr>
        <w:t xml:space="preserve">. </w:t>
      </w:r>
    </w:p>
    <w:p w14:paraId="27A87B22" w14:textId="77777777" w:rsidR="001B518E" w:rsidRDefault="001B518E" w:rsidP="005A311A">
      <w:pPr>
        <w:pStyle w:val="L2JBody"/>
        <w:rPr>
          <w:rFonts w:eastAsiaTheme="minorEastAsia"/>
        </w:rPr>
      </w:pPr>
      <w:r>
        <w:t xml:space="preserve">In sum, Kevin’s paper illustrates the </w:t>
      </w:r>
      <w:r>
        <w:rPr>
          <w:rFonts w:eastAsia="MS Mincho" w:hint="eastAsia"/>
        </w:rPr>
        <w:t>pitfalls</w:t>
      </w:r>
      <w:r>
        <w:t xml:space="preserve"> of cultural learning when empathy for the “</w:t>
      </w:r>
      <w:r>
        <w:rPr>
          <w:rFonts w:eastAsiaTheme="minorEastAsia" w:hint="eastAsia"/>
        </w:rPr>
        <w:t>o</w:t>
      </w:r>
      <w:r>
        <w:t xml:space="preserve">ther” </w:t>
      </w:r>
      <w:r>
        <w:rPr>
          <w:rFonts w:eastAsiaTheme="minorEastAsia" w:hint="eastAsia"/>
        </w:rPr>
        <w:t>and</w:t>
      </w:r>
      <w:r>
        <w:t xml:space="preserve"> critical awareness of Orientalist ideology </w:t>
      </w:r>
      <w:proofErr w:type="gramStart"/>
      <w:r>
        <w:rPr>
          <w:rFonts w:eastAsiaTheme="minorEastAsia" w:hint="eastAsia"/>
        </w:rPr>
        <w:t>are</w:t>
      </w:r>
      <w:proofErr w:type="gramEnd"/>
      <w:r>
        <w:rPr>
          <w:rFonts w:eastAsiaTheme="minorEastAsia" w:hint="eastAsia"/>
        </w:rPr>
        <w:t xml:space="preserve"> absent. This lack of reflection enabled him </w:t>
      </w:r>
      <w:r>
        <w:t>not only to stereotype Japanese people, culture, and society</w:t>
      </w:r>
      <w:r>
        <w:rPr>
          <w:rFonts w:eastAsiaTheme="minorEastAsia" w:hint="eastAsia"/>
        </w:rPr>
        <w:t xml:space="preserve">, </w:t>
      </w:r>
      <w:r>
        <w:t xml:space="preserve">but also to </w:t>
      </w:r>
      <w:r>
        <w:rPr>
          <w:rFonts w:eastAsiaTheme="minorEastAsia" w:hint="eastAsia"/>
        </w:rPr>
        <w:t xml:space="preserve">reproduce </w:t>
      </w:r>
      <w:r>
        <w:rPr>
          <w:rFonts w:eastAsiaTheme="minorEastAsia"/>
        </w:rPr>
        <w:t xml:space="preserve">a </w:t>
      </w:r>
      <w:r>
        <w:t xml:space="preserve">binary view of </w:t>
      </w:r>
      <w:r>
        <w:rPr>
          <w:rFonts w:eastAsiaTheme="minorEastAsia" w:hint="eastAsia"/>
        </w:rPr>
        <w:t xml:space="preserve">a rational, </w:t>
      </w:r>
      <w:r>
        <w:t>civilized American “</w:t>
      </w:r>
      <w:r>
        <w:rPr>
          <w:rFonts w:eastAsiaTheme="minorEastAsia" w:hint="eastAsia"/>
        </w:rPr>
        <w:t>sel</w:t>
      </w:r>
      <w:r>
        <w:t xml:space="preserve">f” </w:t>
      </w:r>
      <w:r>
        <w:rPr>
          <w:rFonts w:eastAsiaTheme="minorEastAsia" w:hint="eastAsia"/>
        </w:rPr>
        <w:t xml:space="preserve">versus an irrational, deficient </w:t>
      </w:r>
      <w:r>
        <w:t>Japanese “</w:t>
      </w:r>
      <w:r>
        <w:rPr>
          <w:rFonts w:eastAsiaTheme="minorEastAsia" w:hint="eastAsia"/>
        </w:rPr>
        <w:t>o</w:t>
      </w:r>
      <w:r>
        <w:t xml:space="preserve">ther.” </w:t>
      </w:r>
      <w:r w:rsidRPr="008E1A03">
        <w:t xml:space="preserve">Despite his apparent affinity for </w:t>
      </w:r>
      <w:r w:rsidRPr="002B4A22">
        <w:rPr>
          <w:i/>
          <w:iCs/>
        </w:rPr>
        <w:t>hikikomori</w:t>
      </w:r>
      <w:r w:rsidRPr="008E1A03">
        <w:t xml:space="preserve"> youth, </w:t>
      </w:r>
      <w:r>
        <w:rPr>
          <w:rFonts w:eastAsiaTheme="minorEastAsia" w:hint="eastAsia"/>
        </w:rPr>
        <w:t>his</w:t>
      </w:r>
      <w:r w:rsidRPr="008E1A03">
        <w:t xml:space="preserve"> framing ultimately distances them</w:t>
      </w:r>
      <w:r>
        <w:rPr>
          <w:rFonts w:eastAsiaTheme="minorEastAsia" w:hint="eastAsia"/>
        </w:rPr>
        <w:t xml:space="preserve">, viewing them </w:t>
      </w:r>
      <w:r>
        <w:rPr>
          <w:rFonts w:eastAsiaTheme="minorEastAsia"/>
        </w:rPr>
        <w:t>through what</w:t>
      </w:r>
      <w:r w:rsidRPr="008E1A03">
        <w:t xml:space="preserve"> Pratt </w:t>
      </w:r>
      <w:r>
        <w:rPr>
          <w:rFonts w:eastAsiaTheme="minorEastAsia" w:hint="eastAsia"/>
        </w:rPr>
        <w:t xml:space="preserve">(1992) terms </w:t>
      </w:r>
      <w:r w:rsidRPr="008E1A03">
        <w:t>“imperial eyes</w:t>
      </w:r>
      <w:r>
        <w:rPr>
          <w:rFonts w:eastAsiaTheme="minorEastAsia" w:hint="eastAsia"/>
        </w:rPr>
        <w:t>.</w:t>
      </w:r>
      <w:r w:rsidRPr="008E1A03">
        <w:t>”</w:t>
      </w:r>
      <w:r>
        <w:rPr>
          <w:rFonts w:eastAsiaTheme="minorEastAsia" w:hint="eastAsia"/>
        </w:rPr>
        <w:t xml:space="preserve"> </w:t>
      </w:r>
    </w:p>
    <w:p w14:paraId="33885323" w14:textId="77777777" w:rsidR="001B518E" w:rsidRPr="004B3065" w:rsidRDefault="001B518E" w:rsidP="004B3065">
      <w:pPr>
        <w:pStyle w:val="L2JBody"/>
      </w:pPr>
    </w:p>
    <w:p w14:paraId="36E52801" w14:textId="22A489C9" w:rsidR="005A311A" w:rsidRPr="005A311A" w:rsidRDefault="005A311A" w:rsidP="005A311A">
      <w:pPr>
        <w:pStyle w:val="L2JH1"/>
      </w:pPr>
      <w:r w:rsidRPr="005A311A">
        <w:t>RESULTS AND DISCUSSION</w:t>
      </w:r>
    </w:p>
    <w:p w14:paraId="517820B6" w14:textId="77777777" w:rsidR="00D20B7F" w:rsidRDefault="00D20B7F" w:rsidP="00D20B7F">
      <w:pPr>
        <w:pStyle w:val="L2JBody"/>
        <w:ind w:firstLine="0"/>
      </w:pPr>
    </w:p>
    <w:p w14:paraId="103C7A45" w14:textId="3693718E" w:rsidR="005A311A" w:rsidRPr="009E3DE0" w:rsidRDefault="005A311A" w:rsidP="00D20B7F">
      <w:pPr>
        <w:pStyle w:val="L2JBody"/>
        <w:ind w:firstLine="0"/>
      </w:pPr>
      <w:r>
        <w:t>The comparison of the two students’ final papers raises critical questions about the</w:t>
      </w:r>
      <w:r>
        <w:rPr>
          <w:rFonts w:eastAsiaTheme="minorEastAsia" w:hint="eastAsia"/>
        </w:rPr>
        <w:t xml:space="preserve"> aims</w:t>
      </w:r>
      <w:r>
        <w:t xml:space="preserve"> of foreign language education. Traditionally, language and cultural learning </w:t>
      </w:r>
      <w:r>
        <w:rPr>
          <w:rFonts w:eastAsiaTheme="minorEastAsia" w:hint="eastAsia"/>
        </w:rPr>
        <w:t xml:space="preserve">has sought </w:t>
      </w:r>
      <w:r>
        <w:t xml:space="preserve">to broaden learners’ perspectives and deepen their understanding of the world. To achieve these </w:t>
      </w:r>
      <w:r>
        <w:rPr>
          <w:rFonts w:eastAsiaTheme="minorEastAsia"/>
        </w:rPr>
        <w:t>aims</w:t>
      </w:r>
      <w:r>
        <w:t xml:space="preserve">, curricula </w:t>
      </w:r>
      <w:r>
        <w:rPr>
          <w:rFonts w:eastAsiaTheme="minorEastAsia" w:hint="eastAsia"/>
        </w:rPr>
        <w:t>often</w:t>
      </w:r>
      <w:r>
        <w:t xml:space="preserve"> integrate content-based studies of the target culture with language instruction. However, as the </w:t>
      </w:r>
      <w:r>
        <w:rPr>
          <w:rFonts w:eastAsiaTheme="minorEastAsia" w:hint="eastAsia"/>
        </w:rPr>
        <w:t>present comparison shows</w:t>
      </w:r>
      <w:r>
        <w:t xml:space="preserve">, </w:t>
      </w:r>
      <w:r>
        <w:rPr>
          <w:rFonts w:eastAsiaTheme="minorEastAsia" w:hint="eastAsia"/>
        </w:rPr>
        <w:t xml:space="preserve">such an </w:t>
      </w:r>
      <w:r>
        <w:t xml:space="preserve">approach </w:t>
      </w:r>
      <w:r>
        <w:rPr>
          <w:rFonts w:eastAsiaTheme="minorEastAsia" w:hint="eastAsia"/>
        </w:rPr>
        <w:t>can inadvertently</w:t>
      </w:r>
      <w:r>
        <w:t xml:space="preserve"> </w:t>
      </w:r>
      <w:r>
        <w:rPr>
          <w:rFonts w:eastAsiaTheme="minorEastAsia" w:hint="eastAsia"/>
        </w:rPr>
        <w:t>reproduce</w:t>
      </w:r>
      <w:r>
        <w:t xml:space="preserve"> Orientalist ideologies. Cultural learning risks constructing the learner’s “</w:t>
      </w:r>
      <w:r>
        <w:rPr>
          <w:rFonts w:eastAsiaTheme="minorEastAsia" w:hint="eastAsia"/>
        </w:rPr>
        <w:t>s</w:t>
      </w:r>
      <w:r>
        <w:t xml:space="preserve">elf” in contrast to </w:t>
      </w:r>
      <w:r>
        <w:rPr>
          <w:rFonts w:eastAsiaTheme="minorEastAsia" w:hint="eastAsia"/>
        </w:rPr>
        <w:t>a</w:t>
      </w:r>
      <w:r>
        <w:t xml:space="preserve"> </w:t>
      </w:r>
      <w:r>
        <w:rPr>
          <w:rFonts w:eastAsiaTheme="minorEastAsia" w:hint="eastAsia"/>
        </w:rPr>
        <w:t xml:space="preserve">cultural </w:t>
      </w:r>
      <w:r>
        <w:t>“</w:t>
      </w:r>
      <w:r>
        <w:rPr>
          <w:rFonts w:eastAsiaTheme="minorEastAsia" w:hint="eastAsia"/>
        </w:rPr>
        <w:t>o</w:t>
      </w:r>
      <w:r>
        <w:t xml:space="preserve">ther” within dominant </w:t>
      </w:r>
      <w:r>
        <w:rPr>
          <w:rFonts w:eastAsiaTheme="minorEastAsia" w:hint="eastAsia"/>
        </w:rPr>
        <w:t xml:space="preserve">discursive frameworks. </w:t>
      </w:r>
      <w:r>
        <w:t xml:space="preserve">A poststructuralist approach to teaching Japanese culture offers significant potential to </w:t>
      </w:r>
      <w:r w:rsidRPr="00282E7F">
        <w:t>challenge</w:t>
      </w:r>
      <w:r>
        <w:t xml:space="preserve"> this boundary. </w:t>
      </w:r>
      <w:r>
        <w:rPr>
          <w:rFonts w:eastAsiaTheme="minorEastAsia" w:hint="eastAsia"/>
        </w:rPr>
        <w:t xml:space="preserve">It may support the development of </w:t>
      </w:r>
      <w:r>
        <w:t>empathy for the cultural “</w:t>
      </w:r>
      <w:r>
        <w:rPr>
          <w:rFonts w:eastAsiaTheme="minorEastAsia" w:hint="eastAsia"/>
        </w:rPr>
        <w:t>o</w:t>
      </w:r>
      <w:r>
        <w:t>ther”</w:t>
      </w:r>
      <w:r>
        <w:rPr>
          <w:rFonts w:eastAsiaTheme="minorEastAsia" w:hint="eastAsia"/>
        </w:rPr>
        <w:t xml:space="preserve"> and</w:t>
      </w:r>
      <w:r>
        <w:t xml:space="preserve"> </w:t>
      </w:r>
      <w:r>
        <w:rPr>
          <w:rFonts w:eastAsiaTheme="minorEastAsia" w:hint="eastAsia"/>
        </w:rPr>
        <w:t xml:space="preserve">encourage </w:t>
      </w:r>
      <w:r>
        <w:t xml:space="preserve">a </w:t>
      </w:r>
      <w:r>
        <w:rPr>
          <w:rFonts w:eastAsiaTheme="minorEastAsia" w:hint="eastAsia"/>
        </w:rPr>
        <w:t xml:space="preserve">more nuanced understanding of </w:t>
      </w:r>
      <w:r>
        <w:t>culture and identity as dynamic</w:t>
      </w:r>
      <w:r>
        <w:rPr>
          <w:rFonts w:eastAsiaTheme="minorEastAsia" w:hint="eastAsia"/>
        </w:rPr>
        <w:t xml:space="preserve"> and</w:t>
      </w:r>
      <w:r>
        <w:t xml:space="preserve"> multidimensional</w:t>
      </w:r>
      <w:r>
        <w:rPr>
          <w:rFonts w:eastAsiaTheme="minorEastAsia" w:hint="eastAsia"/>
        </w:rPr>
        <w:t xml:space="preserve"> concepts.</w:t>
      </w:r>
    </w:p>
    <w:p w14:paraId="7B2B5C9D" w14:textId="77777777" w:rsidR="005A311A" w:rsidRDefault="005A311A" w:rsidP="005A311A">
      <w:pPr>
        <w:pStyle w:val="L2JBody"/>
      </w:pPr>
      <w:r>
        <w:rPr>
          <w:rFonts w:eastAsiaTheme="minorEastAsia" w:hint="eastAsia"/>
        </w:rPr>
        <w:t>Observations from this comparative analysis</w:t>
      </w:r>
      <w:r>
        <w:rPr>
          <w:rFonts w:eastAsiaTheme="minorEastAsia"/>
        </w:rPr>
        <w:t xml:space="preserve"> </w:t>
      </w:r>
      <w:r>
        <w:rPr>
          <w:rFonts w:eastAsiaTheme="minorEastAsia" w:hint="eastAsia"/>
        </w:rPr>
        <w:t xml:space="preserve">suggest the potential limitations of </w:t>
      </w:r>
      <w:r>
        <w:t xml:space="preserve">traditional assessment tools in capturing the </w:t>
      </w:r>
      <w:r>
        <w:rPr>
          <w:rFonts w:eastAsiaTheme="minorEastAsia" w:hint="eastAsia"/>
        </w:rPr>
        <w:t xml:space="preserve">ethical and </w:t>
      </w:r>
      <w:r>
        <w:t xml:space="preserve">transformative </w:t>
      </w:r>
      <w:r>
        <w:rPr>
          <w:rFonts w:eastAsiaTheme="minorEastAsia" w:hint="eastAsia"/>
        </w:rPr>
        <w:t>dimension of learners</w:t>
      </w:r>
      <w:r>
        <w:rPr>
          <w:rFonts w:eastAsiaTheme="minorEastAsia"/>
        </w:rPr>
        <w:t>’</w:t>
      </w:r>
      <w:r>
        <w:rPr>
          <w:rFonts w:eastAsiaTheme="minorEastAsia" w:hint="eastAsia"/>
        </w:rPr>
        <w:t xml:space="preserve"> development as </w:t>
      </w:r>
      <w:r>
        <w:t>cosmopolitan citizen</w:t>
      </w:r>
      <w:r>
        <w:rPr>
          <w:rFonts w:eastAsiaTheme="minorEastAsia" w:hint="eastAsia"/>
        </w:rPr>
        <w:t>s</w:t>
      </w:r>
      <w:r>
        <w:t>. These limitations are evident in learners’ final papers, which reflect how prior education shape</w:t>
      </w:r>
      <w:r>
        <w:rPr>
          <w:rFonts w:eastAsiaTheme="minorEastAsia" w:hint="eastAsia"/>
        </w:rPr>
        <w:t>s</w:t>
      </w:r>
      <w:r>
        <w:t xml:space="preserve"> their worldviews. </w:t>
      </w:r>
      <w:r>
        <w:rPr>
          <w:rFonts w:eastAsiaTheme="minorEastAsia"/>
        </w:rPr>
        <w:t>Conventional</w:t>
      </w:r>
      <w:r>
        <w:rPr>
          <w:rFonts w:eastAsiaTheme="minorEastAsia" w:hint="eastAsia"/>
        </w:rPr>
        <w:t xml:space="preserve"> </w:t>
      </w:r>
      <w:r>
        <w:t xml:space="preserve">assessments of research papers </w:t>
      </w:r>
      <w:r>
        <w:rPr>
          <w:rFonts w:eastAsiaTheme="minorEastAsia" w:hint="eastAsia"/>
        </w:rPr>
        <w:t>emphasize</w:t>
      </w:r>
      <w:r>
        <w:t xml:space="preserve"> </w:t>
      </w:r>
      <w:r>
        <w:rPr>
          <w:rFonts w:eastAsiaTheme="minorEastAsia" w:hint="eastAsia"/>
        </w:rPr>
        <w:t xml:space="preserve">content </w:t>
      </w:r>
      <w:r>
        <w:rPr>
          <w:rFonts w:eastAsiaTheme="minorEastAsia"/>
        </w:rPr>
        <w:t>knowledge</w:t>
      </w:r>
      <w:r>
        <w:rPr>
          <w:rFonts w:eastAsiaTheme="minorEastAsia" w:hint="eastAsia"/>
        </w:rPr>
        <w:t xml:space="preserve"> and logical development. </w:t>
      </w:r>
      <w:r>
        <w:t xml:space="preserve">While </w:t>
      </w:r>
      <w:r>
        <w:rPr>
          <w:rFonts w:eastAsiaTheme="minorEastAsia" w:hint="eastAsia"/>
        </w:rPr>
        <w:t xml:space="preserve">valued </w:t>
      </w:r>
      <w:r>
        <w:rPr>
          <w:rFonts w:eastAsiaTheme="minorEastAsia"/>
        </w:rPr>
        <w:t xml:space="preserve">for </w:t>
      </w:r>
      <w:r>
        <w:t>objectivity</w:t>
      </w:r>
      <w:r>
        <w:rPr>
          <w:rFonts w:eastAsiaTheme="minorEastAsia" w:hint="eastAsia"/>
        </w:rPr>
        <w:t>,</w:t>
      </w:r>
      <w:r>
        <w:t xml:space="preserve"> </w:t>
      </w:r>
      <w:r>
        <w:rPr>
          <w:rFonts w:eastAsiaTheme="minorEastAsia" w:hint="eastAsia"/>
        </w:rPr>
        <w:t>such criteria fall short in addressing the transnational demands of today</w:t>
      </w:r>
      <w:r>
        <w:rPr>
          <w:rFonts w:eastAsiaTheme="minorEastAsia"/>
        </w:rPr>
        <w:t>’</w:t>
      </w:r>
      <w:r>
        <w:rPr>
          <w:rFonts w:eastAsiaTheme="minorEastAsia" w:hint="eastAsia"/>
        </w:rPr>
        <w:t xml:space="preserve">s global society.  There is </w:t>
      </w:r>
      <w:r>
        <w:rPr>
          <w:rFonts w:eastAsiaTheme="minorEastAsia"/>
        </w:rPr>
        <w:t xml:space="preserve">a </w:t>
      </w:r>
      <w:r>
        <w:t xml:space="preserve">growing need </w:t>
      </w:r>
      <w:r>
        <w:rPr>
          <w:rFonts w:eastAsiaTheme="minorEastAsia" w:hint="eastAsia"/>
        </w:rPr>
        <w:t xml:space="preserve">for </w:t>
      </w:r>
      <w:r>
        <w:t xml:space="preserve">alternative tools that </w:t>
      </w:r>
      <w:r>
        <w:rPr>
          <w:rFonts w:eastAsiaTheme="minorEastAsia" w:hint="eastAsia"/>
        </w:rPr>
        <w:t xml:space="preserve">not only what students know, but how they engage critically and </w:t>
      </w:r>
      <w:r>
        <w:rPr>
          <w:rFonts w:eastAsiaTheme="minorEastAsia"/>
        </w:rPr>
        <w:t>empathetically</w:t>
      </w:r>
      <w:r>
        <w:rPr>
          <w:rFonts w:eastAsiaTheme="minorEastAsia" w:hint="eastAsia"/>
        </w:rPr>
        <w:t xml:space="preserve"> with cultural difference. As the 2007 MLA report </w:t>
      </w:r>
      <w:r>
        <w:rPr>
          <w:rFonts w:eastAsiaTheme="minorEastAsia" w:hint="eastAsia"/>
        </w:rPr>
        <w:lastRenderedPageBreak/>
        <w:t xml:space="preserve">emphasizes, university-level </w:t>
      </w:r>
      <w:r>
        <w:rPr>
          <w:rFonts w:eastAsiaTheme="minorEastAsia"/>
        </w:rPr>
        <w:t>language</w:t>
      </w:r>
      <w:r>
        <w:rPr>
          <w:rFonts w:eastAsiaTheme="minorEastAsia" w:hint="eastAsia"/>
        </w:rPr>
        <w:t xml:space="preserve"> education must help students </w:t>
      </w:r>
      <w:r>
        <w:rPr>
          <w:rFonts w:eastAsiaTheme="minorEastAsia"/>
        </w:rPr>
        <w:t>“</w:t>
      </w:r>
      <w:r>
        <w:rPr>
          <w:rFonts w:eastAsiaTheme="minorEastAsia" w:hint="eastAsia"/>
        </w:rPr>
        <w:t>reflect on the world and themselves through another language and culture</w:t>
      </w:r>
      <w:r>
        <w:rPr>
          <w:rFonts w:eastAsiaTheme="minorEastAsia"/>
        </w:rPr>
        <w:t>”</w:t>
      </w:r>
      <w:r>
        <w:rPr>
          <w:rFonts w:eastAsiaTheme="minorEastAsia" w:hint="eastAsia"/>
        </w:rPr>
        <w:t xml:space="preserve"> (p.4)</w:t>
      </w:r>
      <w:r w:rsidRPr="000B7EAC">
        <w:rPr>
          <w:rFonts w:eastAsiaTheme="minorEastAsia"/>
        </w:rPr>
        <w:t>—</w:t>
      </w:r>
      <w:r>
        <w:rPr>
          <w:rFonts w:eastAsiaTheme="minorEastAsia" w:hint="eastAsia"/>
        </w:rPr>
        <w:t xml:space="preserve">a goal </w:t>
      </w:r>
      <w:r>
        <w:rPr>
          <w:rFonts w:eastAsiaTheme="minorEastAsia"/>
        </w:rPr>
        <w:t>requiring</w:t>
      </w:r>
      <w:r>
        <w:rPr>
          <w:rFonts w:eastAsiaTheme="minorEastAsia" w:hint="eastAsia"/>
        </w:rPr>
        <w:t xml:space="preserve"> more holistic and humanistic forms of evaluation. </w:t>
      </w:r>
    </w:p>
    <w:p w14:paraId="498CF20A" w14:textId="77777777" w:rsidR="005A311A" w:rsidRDefault="005A311A" w:rsidP="005A311A">
      <w:pPr>
        <w:pStyle w:val="L2JBody"/>
        <w:rPr>
          <w:rFonts w:eastAsiaTheme="minorEastAsia"/>
        </w:rPr>
      </w:pPr>
      <w:r>
        <w:t xml:space="preserve">As </w:t>
      </w:r>
      <w:r>
        <w:rPr>
          <w:rFonts w:eastAsiaTheme="minorEastAsia" w:hint="eastAsia"/>
        </w:rPr>
        <w:t xml:space="preserve">demonstrated </w:t>
      </w:r>
      <w:r>
        <w:t xml:space="preserve">above, discourse analysis </w:t>
      </w:r>
      <w:r>
        <w:rPr>
          <w:rFonts w:eastAsiaTheme="minorEastAsia" w:hint="eastAsia"/>
        </w:rPr>
        <w:t>may offer valuable insights</w:t>
      </w:r>
      <w:r>
        <w:t xml:space="preserve"> as</w:t>
      </w:r>
      <w:r>
        <w:rPr>
          <w:rFonts w:eastAsiaTheme="minorEastAsia" w:hint="eastAsia"/>
        </w:rPr>
        <w:t xml:space="preserve"> </w:t>
      </w:r>
      <w:r>
        <w:t xml:space="preserve">an </w:t>
      </w:r>
      <w:r>
        <w:rPr>
          <w:rFonts w:eastAsiaTheme="minorEastAsia"/>
        </w:rPr>
        <w:t>alternative</w:t>
      </w:r>
      <w:r>
        <w:rPr>
          <w:rFonts w:eastAsiaTheme="minorEastAsia" w:hint="eastAsia"/>
        </w:rPr>
        <w:t xml:space="preserve"> </w:t>
      </w:r>
      <w:r>
        <w:t>assessment tool</w:t>
      </w:r>
      <w:r w:rsidRPr="00690693">
        <w:t xml:space="preserve"> —not for grading per se, but for offering open-ended interpretive feedback</w:t>
      </w:r>
      <w:r>
        <w:t xml:space="preserve">. Informed by poststructuralist and sociolinguistic perspectives, it </w:t>
      </w:r>
      <w:r>
        <w:rPr>
          <w:rFonts w:eastAsiaTheme="minorEastAsia" w:hint="eastAsia"/>
        </w:rPr>
        <w:t>provides a lens to explore</w:t>
      </w:r>
      <w:r>
        <w:t xml:space="preserve"> how learners see the “</w:t>
      </w:r>
      <w:r>
        <w:rPr>
          <w:rFonts w:eastAsiaTheme="minorEastAsia" w:hint="eastAsia"/>
        </w:rPr>
        <w:t>s</w:t>
      </w:r>
      <w:r>
        <w:t xml:space="preserve">elf” </w:t>
      </w:r>
      <w:r>
        <w:rPr>
          <w:rFonts w:eastAsiaTheme="minorEastAsia" w:hint="eastAsia"/>
        </w:rPr>
        <w:t>through the</w:t>
      </w:r>
      <w:r>
        <w:t xml:space="preserve"> “</w:t>
      </w:r>
      <w:r>
        <w:rPr>
          <w:rFonts w:eastAsiaTheme="minorEastAsia" w:hint="eastAsia"/>
        </w:rPr>
        <w:t>o</w:t>
      </w:r>
      <w:r>
        <w:t xml:space="preserve">ther,” and vice versa. </w:t>
      </w:r>
      <w:r>
        <w:rPr>
          <w:rFonts w:eastAsiaTheme="minorEastAsia" w:hint="eastAsia"/>
        </w:rPr>
        <w:t xml:space="preserve">It also </w:t>
      </w:r>
      <w:r>
        <w:t>illuminate</w:t>
      </w:r>
      <w:r>
        <w:rPr>
          <w:rFonts w:eastAsiaTheme="minorEastAsia" w:hint="eastAsia"/>
        </w:rPr>
        <w:t>s</w:t>
      </w:r>
      <w:r>
        <w:t xml:space="preserve"> how </w:t>
      </w:r>
      <w:r>
        <w:rPr>
          <w:rFonts w:eastAsiaTheme="minorEastAsia" w:hint="eastAsia"/>
        </w:rPr>
        <w:t>students</w:t>
      </w:r>
      <w:r>
        <w:t xml:space="preserve"> imagine their “unimaginable” others and whether they </w:t>
      </w:r>
      <w:r>
        <w:rPr>
          <w:rFonts w:eastAsiaTheme="minorEastAsia" w:hint="eastAsia"/>
        </w:rPr>
        <w:t xml:space="preserve">recognize </w:t>
      </w:r>
      <w:r>
        <w:t xml:space="preserve">them as </w:t>
      </w:r>
      <w:r>
        <w:rPr>
          <w:rFonts w:eastAsiaTheme="minorEastAsia" w:hint="eastAsia"/>
        </w:rPr>
        <w:t xml:space="preserve">equally </w:t>
      </w:r>
      <w:r>
        <w:t xml:space="preserve">human. </w:t>
      </w:r>
    </w:p>
    <w:p w14:paraId="3F2E3EFA" w14:textId="77777777" w:rsidR="005A311A" w:rsidRPr="006556AB" w:rsidRDefault="005A311A" w:rsidP="005A311A">
      <w:pPr>
        <w:pStyle w:val="L2JBody"/>
        <w:rPr>
          <w:rFonts w:eastAsiaTheme="minorEastAsia"/>
        </w:rPr>
      </w:pPr>
      <w:r>
        <w:t xml:space="preserve">The poststructuralist </w:t>
      </w:r>
      <w:r>
        <w:rPr>
          <w:rFonts w:eastAsiaTheme="minorEastAsia" w:hint="eastAsia"/>
        </w:rPr>
        <w:t xml:space="preserve">lens </w:t>
      </w:r>
      <w:r>
        <w:t xml:space="preserve">captured the </w:t>
      </w:r>
      <w:r>
        <w:rPr>
          <w:rFonts w:eastAsiaTheme="minorEastAsia" w:hint="eastAsia"/>
        </w:rPr>
        <w:t xml:space="preserve">fluid, </w:t>
      </w:r>
      <w:r>
        <w:t xml:space="preserve">discursive nature of identity in student writing. The sociolinguistic </w:t>
      </w:r>
      <w:r>
        <w:rPr>
          <w:rFonts w:eastAsiaTheme="minorEastAsia" w:hint="eastAsia"/>
        </w:rPr>
        <w:t xml:space="preserve">framework </w:t>
      </w:r>
      <w:r>
        <w:t>enabled an analysis of emotional involvement</w:t>
      </w:r>
      <w:r>
        <w:rPr>
          <w:rFonts w:eastAsiaTheme="minorEastAsia" w:hint="eastAsia"/>
        </w:rPr>
        <w:t xml:space="preserve"> as indexed</w:t>
      </w:r>
      <w:r>
        <w:t xml:space="preserve"> in language use, while </w:t>
      </w:r>
      <w:r>
        <w:rPr>
          <w:rFonts w:eastAsiaTheme="minorEastAsia" w:hint="eastAsia"/>
        </w:rPr>
        <w:t>offering a grounded basis f</w:t>
      </w:r>
      <w:r>
        <w:t>or</w:t>
      </w:r>
      <w:r>
        <w:rPr>
          <w:rFonts w:eastAsiaTheme="minorEastAsia" w:hint="eastAsia"/>
        </w:rPr>
        <w:t xml:space="preserve"> identifying discursive traces of empathy. These perspectives together show how </w:t>
      </w:r>
      <w:r>
        <w:t xml:space="preserve">learners’ experiences </w:t>
      </w:r>
      <w:r>
        <w:rPr>
          <w:rFonts w:eastAsiaTheme="minorEastAsia" w:hint="eastAsia"/>
        </w:rPr>
        <w:t xml:space="preserve">can </w:t>
      </w:r>
      <w:r>
        <w:t xml:space="preserve">evoke empathy </w:t>
      </w:r>
      <w:r>
        <w:rPr>
          <w:rFonts w:eastAsiaTheme="minorEastAsia"/>
        </w:rPr>
        <w:t xml:space="preserve">and </w:t>
      </w:r>
      <w:r>
        <w:t xml:space="preserve">construct cosmopolitan </w:t>
      </w:r>
      <w:r>
        <w:rPr>
          <w:rFonts w:eastAsiaTheme="minorEastAsia" w:hint="eastAsia"/>
        </w:rPr>
        <w:t xml:space="preserve">subjectivities </w:t>
      </w:r>
      <w:r>
        <w:t xml:space="preserve">through </w:t>
      </w:r>
      <w:r>
        <w:rPr>
          <w:rFonts w:eastAsiaTheme="minorEastAsia" w:hint="eastAsia"/>
        </w:rPr>
        <w:t xml:space="preserve">symbolic </w:t>
      </w:r>
      <w:r>
        <w:t xml:space="preserve">projection. This suggests that learners </w:t>
      </w:r>
      <w:r>
        <w:rPr>
          <w:rFonts w:eastAsiaTheme="minorEastAsia" w:hint="eastAsia"/>
        </w:rPr>
        <w:t xml:space="preserve">may approach their foreign subject not merely through difference, but by recognizing resonant experiences and shared humanity. </w:t>
      </w:r>
    </w:p>
    <w:p w14:paraId="6C32D263" w14:textId="77777777" w:rsidR="005A311A" w:rsidRDefault="005A311A" w:rsidP="005A311A">
      <w:pPr>
        <w:pStyle w:val="L2JBody"/>
      </w:pPr>
      <w:r>
        <w:t xml:space="preserve">In the grading process, </w:t>
      </w:r>
      <w:r>
        <w:rPr>
          <w:rFonts w:eastAsia="MS Mincho" w:hint="eastAsia"/>
        </w:rPr>
        <w:t xml:space="preserve">both </w:t>
      </w:r>
      <w:r>
        <w:t xml:space="preserve">papers were evaluated using conventional academic criteria such as grammar, organization, and research quality. However, discourse analysis also informed individualized feedback, especially </w:t>
      </w:r>
      <w:r>
        <w:rPr>
          <w:rFonts w:eastAsiaTheme="minorEastAsia"/>
        </w:rPr>
        <w:t>for</w:t>
      </w:r>
      <w:r>
        <w:t xml:space="preserve"> Kevin. </w:t>
      </w:r>
      <w:r w:rsidRPr="002F03D0">
        <w:t>He</w:t>
      </w:r>
      <w:r>
        <w:t xml:space="preserve"> received comments on his tendency to </w:t>
      </w:r>
      <w:r w:rsidRPr="002F03D0">
        <w:t>generalize</w:t>
      </w:r>
      <w:r>
        <w:t xml:space="preserve"> Japanese </w:t>
      </w:r>
      <w:r w:rsidRPr="002F03D0">
        <w:t xml:space="preserve">social </w:t>
      </w:r>
      <w:r>
        <w:rPr>
          <w:rFonts w:eastAsiaTheme="minorEastAsia"/>
        </w:rPr>
        <w:t>issues through</w:t>
      </w:r>
      <w:r>
        <w:rPr>
          <w:rFonts w:eastAsiaTheme="minorEastAsia" w:hint="eastAsia"/>
        </w:rPr>
        <w:t xml:space="preserve"> an American lens. </w:t>
      </w:r>
      <w:r>
        <w:t xml:space="preserve">The </w:t>
      </w:r>
      <w:r>
        <w:rPr>
          <w:rFonts w:eastAsiaTheme="minorEastAsia" w:hint="eastAsia"/>
        </w:rPr>
        <w:t xml:space="preserve">goal was </w:t>
      </w:r>
      <w:r>
        <w:t xml:space="preserve">not to criticize him personally, but to encourage </w:t>
      </w:r>
      <w:r>
        <w:rPr>
          <w:rFonts w:eastAsiaTheme="minorEastAsia" w:hint="eastAsia"/>
        </w:rPr>
        <w:t xml:space="preserve">greater reflexivity and </w:t>
      </w:r>
      <w:r>
        <w:t xml:space="preserve">empathetic </w:t>
      </w:r>
      <w:r>
        <w:rPr>
          <w:rFonts w:eastAsiaTheme="minorEastAsia" w:hint="eastAsia"/>
        </w:rPr>
        <w:t xml:space="preserve">engagement with </w:t>
      </w:r>
      <w:r>
        <w:t xml:space="preserve">cultural analysis. </w:t>
      </w:r>
    </w:p>
    <w:p w14:paraId="74BE0A6F" w14:textId="77777777" w:rsidR="005A311A" w:rsidRDefault="005A311A" w:rsidP="005A311A">
      <w:pPr>
        <w:pStyle w:val="L2JBody"/>
        <w:rPr>
          <w:rFonts w:eastAsiaTheme="minorEastAsia"/>
        </w:rPr>
      </w:pPr>
      <w:r>
        <w:t xml:space="preserve">It is important to emphasize that discourse analysis </w:t>
      </w:r>
      <w:r>
        <w:rPr>
          <w:rFonts w:eastAsiaTheme="minorEastAsia" w:hint="eastAsia"/>
        </w:rPr>
        <w:t xml:space="preserve">does </w:t>
      </w:r>
      <w:r>
        <w:t xml:space="preserve">not measure whether students “feel” more empathy than others. </w:t>
      </w:r>
      <w:r>
        <w:rPr>
          <w:rFonts w:eastAsiaTheme="minorEastAsia" w:hint="eastAsia"/>
        </w:rPr>
        <w:t>Instead,</w:t>
      </w:r>
      <w:r>
        <w:t xml:space="preserve"> it offers a lens </w:t>
      </w:r>
      <w:r>
        <w:rPr>
          <w:rFonts w:eastAsiaTheme="minorEastAsia" w:hint="eastAsia"/>
        </w:rPr>
        <w:t xml:space="preserve">to evaluate </w:t>
      </w:r>
      <w:r>
        <w:t>how a curriculum f</w:t>
      </w:r>
      <w:r>
        <w:rPr>
          <w:rFonts w:eastAsiaTheme="minorEastAsia"/>
        </w:rPr>
        <w:t>osters</w:t>
      </w:r>
      <w:r>
        <w:rPr>
          <w:rFonts w:eastAsiaTheme="minorEastAsia" w:hint="eastAsia"/>
        </w:rPr>
        <w:t xml:space="preserve"> </w:t>
      </w:r>
      <w:r>
        <w:t>symbolic and transcultural engagement.  As noted</w:t>
      </w:r>
      <w:r>
        <w:rPr>
          <w:rFonts w:eastAsiaTheme="minorEastAsia" w:hint="eastAsia"/>
        </w:rPr>
        <w:t xml:space="preserve">, </w:t>
      </w:r>
      <w:r>
        <w:t xml:space="preserve">more than half </w:t>
      </w:r>
      <w:r>
        <w:rPr>
          <w:rFonts w:eastAsiaTheme="minorEastAsia" w:hint="eastAsia"/>
        </w:rPr>
        <w:t>the class</w:t>
      </w:r>
      <w:r>
        <w:t xml:space="preserve"> demonstrated strong emotional and analytical investment, with many students reflecting critically on both Japanese and their own cultural backgrounds.  Kevin’s case, though exceptional, </w:t>
      </w:r>
      <w:r>
        <w:rPr>
          <w:rFonts w:eastAsiaTheme="minorEastAsia" w:hint="eastAsia"/>
        </w:rPr>
        <w:t xml:space="preserve">illustrates that </w:t>
      </w:r>
      <w:r>
        <w:t xml:space="preserve">Orientalist framing may persist even in students with </w:t>
      </w:r>
      <w:r>
        <w:rPr>
          <w:rFonts w:eastAsiaTheme="minorEastAsia" w:hint="eastAsia"/>
        </w:rPr>
        <w:t xml:space="preserve">considerable </w:t>
      </w:r>
      <w:r>
        <w:t>exposure to the target culture</w:t>
      </w:r>
      <w:r>
        <w:rPr>
          <w:rFonts w:eastAsiaTheme="minorEastAsia" w:hint="eastAsia"/>
        </w:rPr>
        <w:t xml:space="preserve">. This underscores the importance of continued reflection on </w:t>
      </w:r>
      <w:r>
        <w:t>pedagogical coherence and curricular design</w:t>
      </w:r>
      <w:r>
        <w:rPr>
          <w:rFonts w:eastAsiaTheme="minorEastAsia" w:hint="eastAsia"/>
        </w:rPr>
        <w:t xml:space="preserve">, particularly those informed by </w:t>
      </w:r>
      <w:r>
        <w:t xml:space="preserve">poststructuralist theory and cosmopolitan ethics. </w:t>
      </w:r>
    </w:p>
    <w:p w14:paraId="39A348E0" w14:textId="77777777" w:rsidR="005A311A" w:rsidRPr="00EA1193" w:rsidRDefault="005A311A" w:rsidP="005A311A">
      <w:pPr>
        <w:pStyle w:val="L2JBody"/>
      </w:pPr>
      <w:r>
        <w:rPr>
          <w:rFonts w:eastAsiaTheme="minorEastAsia" w:hint="eastAsia"/>
        </w:rPr>
        <w:t>D</w:t>
      </w:r>
      <w:r>
        <w:t xml:space="preserve">iscourse analysis </w:t>
      </w:r>
      <w:r>
        <w:rPr>
          <w:rFonts w:eastAsiaTheme="minorEastAsia" w:hint="eastAsia"/>
        </w:rPr>
        <w:t xml:space="preserve">thus </w:t>
      </w:r>
      <w:r>
        <w:t>serves as both a diagnostic and developmental</w:t>
      </w:r>
      <w:r>
        <w:rPr>
          <w:rFonts w:eastAsiaTheme="minorEastAsia" w:hint="eastAsia"/>
        </w:rPr>
        <w:t xml:space="preserve"> tool</w:t>
      </w:r>
      <w:r>
        <w:t xml:space="preserve">: it helps identify moments of dissonance or ideological reproduction, while also supporting the refinement of pedagogical practices.  In sum, this </w:t>
      </w:r>
      <w:r w:rsidRPr="00B67D9E">
        <w:t>study</w:t>
      </w:r>
      <w:r>
        <w:rPr>
          <w:rFonts w:eastAsia="MS Mincho" w:hint="eastAsia"/>
        </w:rPr>
        <w:t xml:space="preserve"> points to the potential </w:t>
      </w:r>
      <w:r>
        <w:t xml:space="preserve">pedagogical value of discourse analysis as a means of </w:t>
      </w:r>
      <w:r>
        <w:rPr>
          <w:rFonts w:eastAsiaTheme="minorEastAsia" w:hint="eastAsia"/>
        </w:rPr>
        <w:t xml:space="preserve">exploring and </w:t>
      </w:r>
      <w:r>
        <w:t xml:space="preserve">assessing </w:t>
      </w:r>
      <w:r>
        <w:rPr>
          <w:rFonts w:eastAsiaTheme="minorEastAsia" w:hint="eastAsia"/>
        </w:rPr>
        <w:t xml:space="preserve">aspects of </w:t>
      </w:r>
      <w:r>
        <w:t>transcultural competence and empathy in language education. It offers instructors a way to engage with student writing not merely as evidence of knowledge acquisition, but as discursive performances of ethical stance and cultural positioning</w:t>
      </w:r>
      <w:r w:rsidRPr="00DF1AFA">
        <w:t>—</w:t>
      </w:r>
      <w:r>
        <w:t xml:space="preserve">core dimensions of what the MLA (2007) describes as translingual and transcultural learning. </w:t>
      </w:r>
    </w:p>
    <w:p w14:paraId="7774C776" w14:textId="77777777" w:rsidR="00D20B7F" w:rsidRDefault="00D20B7F" w:rsidP="005A311A">
      <w:pPr>
        <w:pStyle w:val="L2JH2"/>
      </w:pPr>
    </w:p>
    <w:p w14:paraId="482F794A" w14:textId="088BD4F1" w:rsidR="005A311A" w:rsidRDefault="005A311A" w:rsidP="005A311A">
      <w:pPr>
        <w:pStyle w:val="L2JH2"/>
      </w:pPr>
      <w:r w:rsidRPr="009938D0">
        <w:t xml:space="preserve">Research </w:t>
      </w:r>
      <w:r>
        <w:t>I</w:t>
      </w:r>
      <w:r w:rsidRPr="009938D0">
        <w:t xml:space="preserve">mplications </w:t>
      </w:r>
      <w:proofErr w:type="gramStart"/>
      <w:r w:rsidRPr="009938D0">
        <w:t>And</w:t>
      </w:r>
      <w:proofErr w:type="gramEnd"/>
      <w:r w:rsidRPr="009938D0">
        <w:t xml:space="preserve"> </w:t>
      </w:r>
      <w:r>
        <w:t>M</w:t>
      </w:r>
      <w:r w:rsidRPr="009938D0">
        <w:t xml:space="preserve">ethodological </w:t>
      </w:r>
      <w:r>
        <w:t>C</w:t>
      </w:r>
      <w:r w:rsidRPr="009938D0">
        <w:t>onsiderations</w:t>
      </w:r>
    </w:p>
    <w:p w14:paraId="7D461C3B" w14:textId="77777777" w:rsidR="00D20B7F" w:rsidRDefault="00D20B7F" w:rsidP="00D20B7F">
      <w:pPr>
        <w:pStyle w:val="L2JBody"/>
        <w:ind w:firstLine="0"/>
      </w:pPr>
    </w:p>
    <w:p w14:paraId="604CE366" w14:textId="5614F69F" w:rsidR="005A311A" w:rsidRDefault="005A311A" w:rsidP="00D20B7F">
      <w:pPr>
        <w:pStyle w:val="L2JBody"/>
        <w:ind w:firstLine="0"/>
      </w:pPr>
      <w:r>
        <w:t xml:space="preserve">This study </w:t>
      </w:r>
      <w:r>
        <w:rPr>
          <w:rFonts w:eastAsiaTheme="minorEastAsia" w:hint="eastAsia"/>
        </w:rPr>
        <w:t xml:space="preserve">underscores </w:t>
      </w:r>
      <w:r>
        <w:t xml:space="preserve">the value of discourse analysis as a </w:t>
      </w:r>
      <w:r>
        <w:rPr>
          <w:rFonts w:eastAsiaTheme="minorEastAsia" w:hint="eastAsia"/>
        </w:rPr>
        <w:t xml:space="preserve">formative assessment </w:t>
      </w:r>
      <w:r>
        <w:t xml:space="preserve">tool for </w:t>
      </w:r>
      <w:r>
        <w:rPr>
          <w:rFonts w:eastAsiaTheme="minorEastAsia"/>
        </w:rPr>
        <w:t xml:space="preserve">evaluating </w:t>
      </w:r>
      <w:r>
        <w:t>learners’ transcultural competence,</w:t>
      </w:r>
      <w:r>
        <w:rPr>
          <w:rFonts w:eastAsiaTheme="minorEastAsia" w:hint="eastAsia"/>
        </w:rPr>
        <w:t xml:space="preserve"> and as a complementary lens for analyzing the impact of curricula and </w:t>
      </w:r>
      <w:r>
        <w:rPr>
          <w:rFonts w:eastAsiaTheme="minorEastAsia"/>
        </w:rPr>
        <w:t>pedagogy</w:t>
      </w:r>
      <w:r>
        <w:rPr>
          <w:rFonts w:eastAsiaTheme="minorEastAsia" w:hint="eastAsia"/>
        </w:rPr>
        <w:t xml:space="preserve">. </w:t>
      </w:r>
      <w:r>
        <w:t>However, several research implications and methodological</w:t>
      </w:r>
      <w:r>
        <w:rPr>
          <w:rFonts w:eastAsiaTheme="minorEastAsia" w:hint="eastAsia"/>
        </w:rPr>
        <w:t xml:space="preserve"> concerns merit </w:t>
      </w:r>
      <w:r>
        <w:rPr>
          <w:rFonts w:eastAsiaTheme="minorEastAsia"/>
        </w:rPr>
        <w:t>consideration for</w:t>
      </w:r>
      <w:r>
        <w:t xml:space="preserve"> future refinement.</w:t>
      </w:r>
    </w:p>
    <w:p w14:paraId="00BC9FE4" w14:textId="77777777" w:rsidR="005A311A" w:rsidRDefault="005A311A" w:rsidP="005A311A">
      <w:pPr>
        <w:pStyle w:val="L2JBody"/>
      </w:pPr>
      <w:r>
        <w:rPr>
          <w:rFonts w:eastAsiaTheme="minorEastAsia" w:hint="eastAsia"/>
        </w:rPr>
        <w:lastRenderedPageBreak/>
        <w:t>C</w:t>
      </w:r>
      <w:r>
        <w:t xml:space="preserve">ontinued </w:t>
      </w:r>
      <w:r>
        <w:rPr>
          <w:rFonts w:eastAsiaTheme="minorEastAsia" w:hint="eastAsia"/>
        </w:rPr>
        <w:t xml:space="preserve">research with </w:t>
      </w:r>
      <w:r w:rsidRPr="00F50466">
        <w:t>l</w:t>
      </w:r>
      <w:r>
        <w:t>arger</w:t>
      </w:r>
      <w:r>
        <w:rPr>
          <w:rFonts w:eastAsiaTheme="minorEastAsia" w:hint="eastAsia"/>
        </w:rPr>
        <w:t xml:space="preserve"> and more diverse datasets is needed to </w:t>
      </w:r>
      <w:r>
        <w:rPr>
          <w:rFonts w:eastAsiaTheme="minorEastAsia"/>
        </w:rPr>
        <w:t xml:space="preserve">identify </w:t>
      </w:r>
      <w:r>
        <w:t>consistent</w:t>
      </w:r>
      <w:r>
        <w:rPr>
          <w:rFonts w:eastAsiaTheme="minorEastAsia" w:hint="eastAsia"/>
        </w:rPr>
        <w:t xml:space="preserve"> patterns and generate generalizable findings. Such studies could further </w:t>
      </w:r>
      <w:r>
        <w:rPr>
          <w:rFonts w:eastAsiaTheme="minorEastAsia"/>
        </w:rPr>
        <w:t>validate discourse</w:t>
      </w:r>
      <w:r>
        <w:rPr>
          <w:rFonts w:eastAsiaTheme="minorEastAsia" w:hint="eastAsia"/>
        </w:rPr>
        <w:t xml:space="preserve"> </w:t>
      </w:r>
      <w:r>
        <w:rPr>
          <w:rFonts w:eastAsiaTheme="minorEastAsia"/>
        </w:rPr>
        <w:t>analysis</w:t>
      </w:r>
      <w:r>
        <w:rPr>
          <w:rFonts w:eastAsiaTheme="minorEastAsia" w:hint="eastAsia"/>
        </w:rPr>
        <w:t xml:space="preserve"> as a tool for exploring symbolic and ethical dimensions of learner discourse. </w:t>
      </w:r>
      <w:r>
        <w:t xml:space="preserve">Additionally, contrastive </w:t>
      </w:r>
      <w:r>
        <w:rPr>
          <w:rFonts w:eastAsiaTheme="minorEastAsia" w:hint="eastAsia"/>
        </w:rPr>
        <w:t xml:space="preserve">research comparing </w:t>
      </w:r>
      <w:r>
        <w:rPr>
          <w:rFonts w:eastAsiaTheme="minorEastAsia"/>
        </w:rPr>
        <w:t>instructional</w:t>
      </w:r>
      <w:r>
        <w:rPr>
          <w:rFonts w:eastAsiaTheme="minorEastAsia" w:hint="eastAsia"/>
        </w:rPr>
        <w:t xml:space="preserve"> paradigms </w:t>
      </w:r>
      <w:r>
        <w:t xml:space="preserve">(e.g., poststructuralist </w:t>
      </w:r>
      <w:r>
        <w:rPr>
          <w:rFonts w:eastAsiaTheme="minorEastAsia" w:hint="eastAsia"/>
        </w:rPr>
        <w:t>vs. content-</w:t>
      </w:r>
      <w:r>
        <w:rPr>
          <w:rFonts w:eastAsiaTheme="minorEastAsia"/>
        </w:rPr>
        <w:t>based)</w:t>
      </w:r>
      <w:r>
        <w:t xml:space="preserve"> </w:t>
      </w:r>
      <w:r>
        <w:rPr>
          <w:rFonts w:eastAsiaTheme="minorEastAsia"/>
        </w:rPr>
        <w:t xml:space="preserve">could </w:t>
      </w:r>
      <w:r>
        <w:t>clarify</w:t>
      </w:r>
      <w:r>
        <w:rPr>
          <w:rFonts w:eastAsiaTheme="minorEastAsia" w:hint="eastAsia"/>
        </w:rPr>
        <w:t xml:space="preserve"> the pedagogical affordances of symbolic and critical </w:t>
      </w:r>
      <w:r>
        <w:t>approach</w:t>
      </w:r>
      <w:r>
        <w:rPr>
          <w:rFonts w:eastAsiaTheme="minorEastAsia" w:hint="eastAsia"/>
        </w:rPr>
        <w:t>es</w:t>
      </w:r>
      <w:r>
        <w:t xml:space="preserve"> </w:t>
      </w:r>
      <w:r>
        <w:rPr>
          <w:rFonts w:eastAsiaTheme="minorEastAsia" w:hint="eastAsia"/>
        </w:rPr>
        <w:t xml:space="preserve">in </w:t>
      </w:r>
      <w:r>
        <w:t>fostering transcultural competence and</w:t>
      </w:r>
      <w:r>
        <w:rPr>
          <w:rFonts w:eastAsiaTheme="minorEastAsia" w:hint="eastAsia"/>
        </w:rPr>
        <w:t xml:space="preserve"> reshaping learner worldviews. </w:t>
      </w:r>
    </w:p>
    <w:p w14:paraId="5F4EAD84" w14:textId="77777777" w:rsidR="005A311A" w:rsidRPr="005A311A" w:rsidRDefault="005A311A" w:rsidP="005A311A">
      <w:pPr>
        <w:pStyle w:val="L2JBody"/>
      </w:pPr>
      <w:r w:rsidRPr="005A311A">
        <w:rPr>
          <w:rFonts w:hint="eastAsia"/>
        </w:rPr>
        <w:t>M</w:t>
      </w:r>
      <w:r w:rsidRPr="005A311A">
        <w:t>ethodological</w:t>
      </w:r>
      <w:r w:rsidRPr="005A311A">
        <w:rPr>
          <w:rFonts w:hint="eastAsia"/>
        </w:rPr>
        <w:t xml:space="preserve">ly, </w:t>
      </w:r>
      <w:r w:rsidRPr="005A311A">
        <w:t xml:space="preserve">both researcher and </w:t>
      </w:r>
      <w:r w:rsidRPr="005A311A">
        <w:rPr>
          <w:rFonts w:hint="eastAsia"/>
        </w:rPr>
        <w:t>instructor</w:t>
      </w:r>
      <w:r w:rsidRPr="005A311A">
        <w:t xml:space="preserve">—whether the same or </w:t>
      </w:r>
      <w:r w:rsidRPr="005A311A">
        <w:rPr>
          <w:rFonts w:hint="eastAsia"/>
        </w:rPr>
        <w:t>distinct</w:t>
      </w:r>
      <w:r w:rsidRPr="005A311A">
        <w:t>—</w:t>
      </w:r>
      <w:r w:rsidRPr="005A311A">
        <w:rPr>
          <w:rFonts w:hint="eastAsia"/>
        </w:rPr>
        <w:t xml:space="preserve">must reflect on their positionality and its effects on the data. </w:t>
      </w:r>
      <w:r w:rsidRPr="005A311A">
        <w:t>As poststructuralist theory</w:t>
      </w:r>
      <w:r w:rsidRPr="005A311A">
        <w:rPr>
          <w:rFonts w:hint="eastAsia"/>
        </w:rPr>
        <w:t xml:space="preserve"> highlights, learner identities are relational and shaped by perceived power dynamics. </w:t>
      </w:r>
      <w:r w:rsidRPr="005A311A">
        <w:t xml:space="preserve">In this case, Kevin’s Orientalist </w:t>
      </w:r>
      <w:r w:rsidRPr="005A311A">
        <w:rPr>
          <w:rFonts w:hint="eastAsia"/>
        </w:rPr>
        <w:t xml:space="preserve">stance may have been shaped in </w:t>
      </w:r>
      <w:r w:rsidRPr="005A311A">
        <w:t>part by</w:t>
      </w:r>
      <w:r w:rsidRPr="005A311A">
        <w:rPr>
          <w:rFonts w:hint="eastAsia"/>
        </w:rPr>
        <w:t xml:space="preserve"> his perceived relationship to the instructor, a </w:t>
      </w:r>
      <w:r w:rsidRPr="005A311A">
        <w:t>Japanese</w:t>
      </w:r>
      <w:r w:rsidRPr="005A311A">
        <w:rPr>
          <w:rFonts w:hint="eastAsia"/>
        </w:rPr>
        <w:t xml:space="preserve"> culture scholar. </w:t>
      </w:r>
      <w:r w:rsidRPr="005A311A">
        <w:t xml:space="preserve">Future research could benefit from </w:t>
      </w:r>
      <w:r w:rsidRPr="005A311A">
        <w:rPr>
          <w:rFonts w:hint="eastAsia"/>
        </w:rPr>
        <w:t xml:space="preserve">triangulating data through </w:t>
      </w:r>
      <w:r w:rsidRPr="005A311A">
        <w:t>journals</w:t>
      </w:r>
      <w:r w:rsidRPr="005A311A">
        <w:rPr>
          <w:rFonts w:hint="eastAsia"/>
        </w:rPr>
        <w:t xml:space="preserve">, reflections, or interviews to further explore these dynamics.  </w:t>
      </w:r>
    </w:p>
    <w:p w14:paraId="686389ED" w14:textId="77777777" w:rsidR="005A311A" w:rsidRDefault="005A311A" w:rsidP="005A311A">
      <w:pPr>
        <w:pStyle w:val="L2JBody"/>
        <w:rPr>
          <w:rFonts w:eastAsiaTheme="minorEastAsia"/>
        </w:rPr>
      </w:pPr>
      <w:bookmarkStart w:id="10" w:name="_Hlk187839555"/>
      <w:r>
        <w:t xml:space="preserve">Finally, </w:t>
      </w:r>
      <w:r>
        <w:rPr>
          <w:rFonts w:eastAsiaTheme="minorEastAsia" w:hint="eastAsia"/>
        </w:rPr>
        <w:t>learners</w:t>
      </w:r>
      <w:r>
        <w:rPr>
          <w:rFonts w:eastAsiaTheme="minorEastAsia"/>
        </w:rPr>
        <w:t>’</w:t>
      </w:r>
      <w:r>
        <w:t xml:space="preserve"> personal</w:t>
      </w:r>
      <w:r>
        <w:rPr>
          <w:rFonts w:eastAsiaTheme="minorEastAsia" w:hint="eastAsia"/>
        </w:rPr>
        <w:t xml:space="preserve"> histories and socio-affective conditions</w:t>
      </w:r>
      <w:r w:rsidRPr="007E46A4">
        <w:rPr>
          <w:rFonts w:eastAsiaTheme="minorEastAsia"/>
        </w:rPr>
        <w:t>—</w:t>
      </w:r>
      <w:r>
        <w:rPr>
          <w:rFonts w:eastAsiaTheme="minorEastAsia"/>
        </w:rPr>
        <w:t xml:space="preserve">including </w:t>
      </w:r>
      <w:r>
        <w:t xml:space="preserve">trauma, </w:t>
      </w:r>
      <w:r>
        <w:rPr>
          <w:rFonts w:eastAsiaTheme="minorEastAsia" w:hint="eastAsia"/>
        </w:rPr>
        <w:t xml:space="preserve">mental health </w:t>
      </w:r>
      <w:r>
        <w:t xml:space="preserve">and social and economic </w:t>
      </w:r>
      <w:r>
        <w:rPr>
          <w:rFonts w:eastAsiaTheme="minorEastAsia" w:hint="eastAsia"/>
        </w:rPr>
        <w:t>background</w:t>
      </w:r>
      <w:r w:rsidRPr="007E46A4">
        <w:rPr>
          <w:rFonts w:eastAsiaTheme="minorEastAsia"/>
        </w:rPr>
        <w:t>—</w:t>
      </w:r>
      <w:r>
        <w:rPr>
          <w:rFonts w:eastAsiaTheme="minorEastAsia"/>
        </w:rPr>
        <w:t xml:space="preserve">must be considered </w:t>
      </w:r>
      <w:r>
        <w:t xml:space="preserve">when </w:t>
      </w:r>
      <w:r>
        <w:rPr>
          <w:rFonts w:eastAsiaTheme="minorEastAsia" w:hint="eastAsia"/>
        </w:rPr>
        <w:t xml:space="preserve">interpreting </w:t>
      </w:r>
      <w:r w:rsidRPr="004F6880">
        <w:t>e</w:t>
      </w:r>
      <w:r>
        <w:t xml:space="preserve">mpathy-related data. These factors </w:t>
      </w:r>
      <w:r>
        <w:rPr>
          <w:rFonts w:eastAsiaTheme="minorEastAsia"/>
        </w:rPr>
        <w:t xml:space="preserve">may </w:t>
      </w:r>
      <w:r>
        <w:t xml:space="preserve">shape a learner’s </w:t>
      </w:r>
      <w:r>
        <w:rPr>
          <w:rFonts w:eastAsiaTheme="minorEastAsia" w:hint="eastAsia"/>
        </w:rPr>
        <w:t xml:space="preserve">capacity </w:t>
      </w:r>
      <w:r>
        <w:rPr>
          <w:rFonts w:eastAsiaTheme="minorEastAsia"/>
        </w:rPr>
        <w:t xml:space="preserve">to </w:t>
      </w:r>
      <w:r>
        <w:t>access</w:t>
      </w:r>
      <w:r>
        <w:rPr>
          <w:rFonts w:eastAsiaTheme="minorEastAsia" w:hint="eastAsia"/>
        </w:rPr>
        <w:t xml:space="preserve">, express, or </w:t>
      </w:r>
      <w:r>
        <w:rPr>
          <w:rFonts w:eastAsiaTheme="minorEastAsia"/>
        </w:rPr>
        <w:t xml:space="preserve">sustain </w:t>
      </w:r>
      <w:r>
        <w:t xml:space="preserve">empathy. </w:t>
      </w:r>
      <w:r>
        <w:rPr>
          <w:rFonts w:eastAsiaTheme="minorEastAsia" w:hint="eastAsia"/>
        </w:rPr>
        <w:t>Insights from n</w:t>
      </w:r>
      <w:r>
        <w:t xml:space="preserve">euroscientific research </w:t>
      </w:r>
      <w:r>
        <w:rPr>
          <w:rFonts w:eastAsiaTheme="minorEastAsia" w:hint="eastAsia"/>
        </w:rPr>
        <w:t xml:space="preserve">provide a useful interdisciplinary perspective: for instance, </w:t>
      </w:r>
      <w:r>
        <w:t xml:space="preserve">fMRI </w:t>
      </w:r>
      <w:r>
        <w:rPr>
          <w:rFonts w:eastAsiaTheme="minorEastAsia" w:hint="eastAsia"/>
        </w:rPr>
        <w:t>studies</w:t>
      </w:r>
      <w:r>
        <w:t xml:space="preserve"> show that empathy involves specific neural pathways (</w:t>
      </w:r>
      <w:proofErr w:type="spellStart"/>
      <w:r>
        <w:t>Rizzolatti</w:t>
      </w:r>
      <w:proofErr w:type="spellEnd"/>
      <w:r>
        <w:t xml:space="preserve"> &amp; </w:t>
      </w:r>
      <w:proofErr w:type="spellStart"/>
      <w:r>
        <w:t>Craighero</w:t>
      </w:r>
      <w:proofErr w:type="spellEnd"/>
      <w:r>
        <w:t xml:space="preserve">, 2005) and is linked to </w:t>
      </w:r>
      <w:r>
        <w:rPr>
          <w:rFonts w:eastAsiaTheme="minorEastAsia" w:hint="eastAsia"/>
        </w:rPr>
        <w:t>oxytocin</w:t>
      </w:r>
      <w:r>
        <w:rPr>
          <w:rFonts w:eastAsiaTheme="minorEastAsia"/>
        </w:rPr>
        <w:t>-mediated hormonal activity</w:t>
      </w:r>
      <w:r>
        <w:rPr>
          <w:rFonts w:eastAsiaTheme="minorEastAsia" w:hint="eastAsia"/>
        </w:rPr>
        <w:t xml:space="preserve"> </w:t>
      </w:r>
      <w:r>
        <w:t>(</w:t>
      </w:r>
      <w:proofErr w:type="spellStart"/>
      <w:r>
        <w:t>Hurlemann</w:t>
      </w:r>
      <w:proofErr w:type="spellEnd"/>
      <w:r>
        <w:t xml:space="preserve"> et al., 2010</w:t>
      </w:r>
      <w:r>
        <w:rPr>
          <w:rFonts w:ascii="MS Mincho" w:eastAsia="MS Mincho" w:hAnsi="MS Mincho" w:cs="MS Mincho" w:hint="eastAsia"/>
        </w:rPr>
        <w:t xml:space="preserve">; </w:t>
      </w:r>
      <w:proofErr w:type="spellStart"/>
      <w:r>
        <w:t>Nummenmaa</w:t>
      </w:r>
      <w:proofErr w:type="spellEnd"/>
      <w:r>
        <w:t xml:space="preserve"> et al., 2008</w:t>
      </w:r>
      <w:r w:rsidRPr="004F6880">
        <w:t>).</w:t>
      </w:r>
      <w:r>
        <w:rPr>
          <w:rFonts w:eastAsiaTheme="minorEastAsia"/>
        </w:rPr>
        <w:t xml:space="preserve"> These</w:t>
      </w:r>
      <w:r>
        <w:rPr>
          <w:rFonts w:eastAsiaTheme="minorEastAsia" w:hint="eastAsia"/>
        </w:rPr>
        <w:t xml:space="preserve"> findings suggest that e</w:t>
      </w:r>
      <w:r>
        <w:t xml:space="preserve">mpathy is </w:t>
      </w:r>
      <w:r>
        <w:rPr>
          <w:rFonts w:eastAsiaTheme="minorEastAsia" w:hint="eastAsia"/>
        </w:rPr>
        <w:t xml:space="preserve">not </w:t>
      </w:r>
      <w:r>
        <w:rPr>
          <w:rFonts w:eastAsiaTheme="minorEastAsia"/>
        </w:rPr>
        <w:t>sole</w:t>
      </w:r>
      <w:r>
        <w:rPr>
          <w:rFonts w:eastAsiaTheme="minorEastAsia" w:hint="eastAsia"/>
        </w:rPr>
        <w:t>ly a discursive or cultural construct, but a biologically mediated</w:t>
      </w:r>
      <w:r>
        <w:rPr>
          <w:rFonts w:eastAsiaTheme="minorEastAsia"/>
        </w:rPr>
        <w:t xml:space="preserve">, </w:t>
      </w:r>
      <w:r>
        <w:t xml:space="preserve">multidimensional phenomenon. </w:t>
      </w:r>
      <w:bookmarkStart w:id="11" w:name="_Hlk199768507"/>
      <w:r>
        <w:t xml:space="preserve">Applied linguistics would </w:t>
      </w:r>
      <w:r>
        <w:rPr>
          <w:rFonts w:eastAsiaTheme="minorEastAsia" w:hint="eastAsia"/>
        </w:rPr>
        <w:t xml:space="preserve">benefit from greater attention to neurodiversity and mental health variability when theorizing </w:t>
      </w:r>
      <w:r>
        <w:rPr>
          <w:rFonts w:eastAsiaTheme="minorEastAsia"/>
        </w:rPr>
        <w:t>empathy</w:t>
      </w:r>
      <w:r>
        <w:rPr>
          <w:rFonts w:eastAsiaTheme="minorEastAsia" w:hint="eastAsia"/>
        </w:rPr>
        <w:t xml:space="preserve"> as an educational goal</w:t>
      </w:r>
      <w:bookmarkStart w:id="12" w:name="_Hlk199768524"/>
      <w:r w:rsidRPr="007E46A4">
        <w:rPr>
          <w:rFonts w:eastAsiaTheme="minorEastAsia"/>
        </w:rPr>
        <w:t>—</w:t>
      </w:r>
      <w:bookmarkEnd w:id="12"/>
      <w:r>
        <w:rPr>
          <w:rFonts w:eastAsiaTheme="minorEastAsia" w:hint="eastAsia"/>
        </w:rPr>
        <w:t>and from examining how such diversity intersects with learners</w:t>
      </w:r>
      <w:r>
        <w:rPr>
          <w:rFonts w:eastAsiaTheme="minorEastAsia"/>
        </w:rPr>
        <w:t>’</w:t>
      </w:r>
      <w:r>
        <w:rPr>
          <w:rFonts w:eastAsiaTheme="minorEastAsia" w:hint="eastAsia"/>
        </w:rPr>
        <w:t xml:space="preserve"> agency in intercultural </w:t>
      </w:r>
      <w:r>
        <w:rPr>
          <w:rFonts w:eastAsiaTheme="minorEastAsia"/>
        </w:rPr>
        <w:t>contexts</w:t>
      </w:r>
      <w:r>
        <w:rPr>
          <w:rFonts w:eastAsiaTheme="minorEastAsia" w:hint="eastAsia"/>
        </w:rPr>
        <w:t xml:space="preserve">. </w:t>
      </w:r>
    </w:p>
    <w:p w14:paraId="335A2E84" w14:textId="77777777" w:rsidR="00D20B7F" w:rsidRDefault="00D20B7F" w:rsidP="005A311A">
      <w:pPr>
        <w:pStyle w:val="L2JBody"/>
      </w:pPr>
    </w:p>
    <w:bookmarkEnd w:id="11"/>
    <w:p w14:paraId="4DAF40C2" w14:textId="3D37A0C7" w:rsidR="005A311A" w:rsidRPr="004C4623" w:rsidRDefault="005A311A" w:rsidP="005A311A">
      <w:pPr>
        <w:pStyle w:val="L2JH1"/>
      </w:pPr>
      <w:r w:rsidRPr="004C4623">
        <w:t>CONCLUSION</w:t>
      </w:r>
    </w:p>
    <w:bookmarkEnd w:id="10"/>
    <w:p w14:paraId="1FFB4765" w14:textId="77777777" w:rsidR="00D20B7F" w:rsidRDefault="00D20B7F" w:rsidP="00D20B7F">
      <w:pPr>
        <w:pStyle w:val="L2JBody"/>
        <w:ind w:firstLine="0"/>
      </w:pPr>
    </w:p>
    <w:p w14:paraId="57542F63" w14:textId="4CDB9BF8" w:rsidR="005A311A" w:rsidRPr="005A311A" w:rsidRDefault="005A311A" w:rsidP="00D20B7F">
      <w:pPr>
        <w:pStyle w:val="L2JBody"/>
        <w:ind w:firstLine="0"/>
      </w:pPr>
      <w:r w:rsidRPr="005A311A">
        <w:t xml:space="preserve">This paper reexamined the role of empathy in fostering transcultural competence in foreign language education. It highlights the </w:t>
      </w:r>
      <w:r w:rsidRPr="005A311A">
        <w:rPr>
          <w:rFonts w:hint="eastAsia"/>
        </w:rPr>
        <w:t xml:space="preserve">value </w:t>
      </w:r>
      <w:r w:rsidRPr="005A311A">
        <w:t xml:space="preserve">of discourse analysis </w:t>
      </w:r>
      <w:r w:rsidRPr="005A311A">
        <w:rPr>
          <w:rFonts w:hint="eastAsia"/>
        </w:rPr>
        <w:t xml:space="preserve">as a tool for </w:t>
      </w:r>
      <w:r w:rsidRPr="005A311A">
        <w:t xml:space="preserve">assessing transcultural </w:t>
      </w:r>
      <w:r w:rsidRPr="005A311A">
        <w:rPr>
          <w:rFonts w:hint="eastAsia"/>
        </w:rPr>
        <w:t xml:space="preserve">engagement and affirms the relevance </w:t>
      </w:r>
      <w:r w:rsidRPr="005A311A">
        <w:t xml:space="preserve">of poststructuralist approaches in </w:t>
      </w:r>
      <w:r w:rsidRPr="005A311A">
        <w:rPr>
          <w:rFonts w:hint="eastAsia"/>
        </w:rPr>
        <w:t xml:space="preserve">pedagogical and curricular design. </w:t>
      </w:r>
      <w:r w:rsidRPr="005A311A">
        <w:t xml:space="preserve"> </w:t>
      </w:r>
    </w:p>
    <w:p w14:paraId="53AACBCB" w14:textId="77777777" w:rsidR="005A311A" w:rsidRPr="005A311A" w:rsidRDefault="005A311A" w:rsidP="005A311A">
      <w:pPr>
        <w:pStyle w:val="L2JBody"/>
      </w:pPr>
      <w:r w:rsidRPr="005A311A">
        <w:t xml:space="preserve">As globalization transforms </w:t>
      </w:r>
      <w:r w:rsidRPr="005A311A">
        <w:rPr>
          <w:rFonts w:hint="eastAsia"/>
        </w:rPr>
        <w:t xml:space="preserve">the </w:t>
      </w:r>
      <w:r w:rsidRPr="005A311A">
        <w:t xml:space="preserve">landscape of language education, its purpose </w:t>
      </w:r>
      <w:r w:rsidRPr="005A311A">
        <w:rPr>
          <w:rFonts w:hint="eastAsia"/>
        </w:rPr>
        <w:t xml:space="preserve">must extend beyond </w:t>
      </w:r>
      <w:r w:rsidRPr="005A311A">
        <w:t xml:space="preserve">teaching linguistic skills and cultural </w:t>
      </w:r>
      <w:r w:rsidRPr="005A311A">
        <w:rPr>
          <w:rFonts w:hint="eastAsia"/>
        </w:rPr>
        <w:t xml:space="preserve">facts. It should </w:t>
      </w:r>
      <w:r w:rsidRPr="005A311A">
        <w:t xml:space="preserve">encompass how language, </w:t>
      </w:r>
      <w:r w:rsidRPr="005A311A">
        <w:rPr>
          <w:rFonts w:hint="eastAsia"/>
        </w:rPr>
        <w:t xml:space="preserve">symbolic systems, and </w:t>
      </w:r>
      <w:r w:rsidRPr="005A311A">
        <w:t>cultural practices shape learners’</w:t>
      </w:r>
      <w:r w:rsidRPr="005A311A">
        <w:rPr>
          <w:rFonts w:hint="eastAsia"/>
        </w:rPr>
        <w:t xml:space="preserve"> subjectivities and ethical </w:t>
      </w:r>
      <w:r w:rsidRPr="005A311A">
        <w:t>orientations</w:t>
      </w:r>
      <w:r w:rsidRPr="005A311A">
        <w:rPr>
          <w:rFonts w:hint="eastAsia"/>
        </w:rPr>
        <w:t xml:space="preserve">. </w:t>
      </w:r>
      <w:r w:rsidRPr="005A311A">
        <w:t xml:space="preserve">This study </w:t>
      </w:r>
      <w:r w:rsidRPr="005A311A">
        <w:rPr>
          <w:rFonts w:hint="eastAsia"/>
        </w:rPr>
        <w:t xml:space="preserve">suggests that </w:t>
      </w:r>
      <w:r w:rsidRPr="005A311A">
        <w:t>empathy for the cultural “</w:t>
      </w:r>
      <w:r w:rsidRPr="005A311A">
        <w:rPr>
          <w:rFonts w:hint="eastAsia"/>
        </w:rPr>
        <w:t>o</w:t>
      </w:r>
      <w:r w:rsidRPr="005A311A">
        <w:t xml:space="preserve">ther” </w:t>
      </w:r>
      <w:r w:rsidRPr="005A311A">
        <w:rPr>
          <w:rFonts w:hint="eastAsia"/>
        </w:rPr>
        <w:t>may</w:t>
      </w:r>
      <w:r w:rsidRPr="005A311A">
        <w:t xml:space="preserve"> </w:t>
      </w:r>
      <w:r w:rsidRPr="005A311A">
        <w:rPr>
          <w:rFonts w:hint="eastAsia"/>
        </w:rPr>
        <w:t xml:space="preserve">not be merely an emotional goal, but a symbolic and discursive act that has the potential to dissolve </w:t>
      </w:r>
      <w:r w:rsidRPr="005A311A">
        <w:t>ideological boundaries between “</w:t>
      </w:r>
      <w:r w:rsidRPr="005A311A">
        <w:rPr>
          <w:rFonts w:hint="eastAsia"/>
        </w:rPr>
        <w:t>s</w:t>
      </w:r>
      <w:r w:rsidRPr="005A311A">
        <w:t>elf” and “</w:t>
      </w:r>
      <w:r w:rsidRPr="005A311A">
        <w:rPr>
          <w:rFonts w:hint="eastAsia"/>
        </w:rPr>
        <w:t>o</w:t>
      </w:r>
      <w:r w:rsidRPr="005A311A">
        <w:t>ther</w:t>
      </w:r>
      <w:r w:rsidRPr="005A311A">
        <w:rPr>
          <w:rFonts w:hint="eastAsia"/>
        </w:rPr>
        <w:t>.</w:t>
      </w:r>
      <w:r w:rsidRPr="005A311A">
        <w:t xml:space="preserve">” </w:t>
      </w:r>
      <w:r w:rsidRPr="005A311A">
        <w:rPr>
          <w:rFonts w:hint="eastAsia"/>
        </w:rPr>
        <w:t xml:space="preserve"> Through such processes, learners may begin to position themselves as ethical </w:t>
      </w:r>
      <w:r w:rsidRPr="005A311A">
        <w:t xml:space="preserve">cosmopolitan </w:t>
      </w:r>
      <w:r w:rsidRPr="005A311A">
        <w:rPr>
          <w:rFonts w:hint="eastAsia"/>
        </w:rPr>
        <w:t xml:space="preserve">subjects. </w:t>
      </w:r>
    </w:p>
    <w:p w14:paraId="5A591AFD" w14:textId="77777777" w:rsidR="005A311A" w:rsidRPr="005A311A" w:rsidRDefault="005A311A" w:rsidP="005A311A">
      <w:pPr>
        <w:pStyle w:val="L2JBody"/>
      </w:pPr>
      <w:r w:rsidRPr="005A311A">
        <w:t xml:space="preserve">Given these implications, educators </w:t>
      </w:r>
      <w:r w:rsidRPr="005A311A">
        <w:rPr>
          <w:rFonts w:hint="eastAsia"/>
        </w:rPr>
        <w:t xml:space="preserve">are encouraged to engage more deeply with the </w:t>
      </w:r>
      <w:r w:rsidRPr="005A311A">
        <w:t xml:space="preserve">philosophical and ethical dimensions of language education. </w:t>
      </w:r>
      <w:r w:rsidRPr="005A311A">
        <w:rPr>
          <w:rFonts w:hint="eastAsia"/>
        </w:rPr>
        <w:t>Both t</w:t>
      </w:r>
      <w:r w:rsidRPr="005A311A">
        <w:t xml:space="preserve">eachers and </w:t>
      </w:r>
      <w:r w:rsidRPr="005A311A">
        <w:rPr>
          <w:rFonts w:hint="eastAsia"/>
        </w:rPr>
        <w:t xml:space="preserve">students </w:t>
      </w:r>
      <w:r w:rsidRPr="005A311A">
        <w:t>must develop critical aware</w:t>
      </w:r>
      <w:r w:rsidRPr="005A311A">
        <w:rPr>
          <w:rFonts w:hint="eastAsia"/>
        </w:rPr>
        <w:t>ness</w:t>
      </w:r>
      <w:r w:rsidRPr="005A311A">
        <w:t xml:space="preserve"> of the </w:t>
      </w:r>
      <w:r w:rsidRPr="005A311A">
        <w:rPr>
          <w:rFonts w:hint="eastAsia"/>
        </w:rPr>
        <w:t>O</w:t>
      </w:r>
      <w:r w:rsidRPr="005A311A">
        <w:t xml:space="preserve">rientalist </w:t>
      </w:r>
      <w:r w:rsidRPr="005A311A">
        <w:rPr>
          <w:rFonts w:hint="eastAsia"/>
        </w:rPr>
        <w:t xml:space="preserve">assumptions and power </w:t>
      </w:r>
      <w:r w:rsidRPr="005A311A">
        <w:t xml:space="preserve">relations embedded in </w:t>
      </w:r>
      <w:r w:rsidRPr="005A311A">
        <w:rPr>
          <w:rFonts w:hint="eastAsia"/>
        </w:rPr>
        <w:t xml:space="preserve">educational contexts. </w:t>
      </w:r>
      <w:r w:rsidRPr="005A311A">
        <w:t xml:space="preserve"> </w:t>
      </w:r>
      <w:r w:rsidRPr="005A311A">
        <w:rPr>
          <w:rFonts w:hint="eastAsia"/>
        </w:rPr>
        <w:t>D</w:t>
      </w:r>
      <w:r w:rsidRPr="005A311A">
        <w:t>iscourse analysis can</w:t>
      </w:r>
      <w:r w:rsidRPr="005A311A">
        <w:rPr>
          <w:rFonts w:hint="eastAsia"/>
        </w:rPr>
        <w:t xml:space="preserve"> help illuminate these dynamics</w:t>
      </w:r>
      <w:r w:rsidRPr="005A311A">
        <w:t>—</w:t>
      </w:r>
      <w:r w:rsidRPr="005A311A">
        <w:rPr>
          <w:rFonts w:hint="eastAsia"/>
        </w:rPr>
        <w:t xml:space="preserve">fostering </w:t>
      </w:r>
      <w:r w:rsidRPr="005A311A">
        <w:t xml:space="preserve">classrooms </w:t>
      </w:r>
      <w:r w:rsidRPr="005A311A">
        <w:rPr>
          <w:rFonts w:hint="eastAsia"/>
        </w:rPr>
        <w:t xml:space="preserve">that are not only more critical and reflective, but also more </w:t>
      </w:r>
      <w:r w:rsidRPr="005A311A">
        <w:t>empathetic</w:t>
      </w:r>
      <w:r w:rsidRPr="005A311A">
        <w:rPr>
          <w:rFonts w:hint="eastAsia"/>
        </w:rPr>
        <w:t xml:space="preserve"> and inclusive.  </w:t>
      </w:r>
    </w:p>
    <w:p w14:paraId="276D397F" w14:textId="77777777" w:rsidR="005A311A" w:rsidRPr="005A311A" w:rsidRDefault="005A311A" w:rsidP="005A311A">
      <w:pPr>
        <w:pStyle w:val="L2JBody"/>
      </w:pPr>
      <w:r w:rsidRPr="005A311A">
        <w:rPr>
          <w:rFonts w:hint="eastAsia"/>
        </w:rPr>
        <w:t xml:space="preserve">Ultimately, </w:t>
      </w:r>
      <w:r w:rsidRPr="005A311A">
        <w:t>cultivating</w:t>
      </w:r>
      <w:r w:rsidRPr="005A311A">
        <w:rPr>
          <w:rFonts w:hint="eastAsia"/>
        </w:rPr>
        <w:t xml:space="preserve"> empathy through symbolic engagement may be one of language education</w:t>
      </w:r>
      <w:r w:rsidRPr="005A311A">
        <w:t>’</w:t>
      </w:r>
      <w:r w:rsidRPr="005A311A">
        <w:rPr>
          <w:rFonts w:hint="eastAsia"/>
        </w:rPr>
        <w:t xml:space="preserve">s most powerful contributions to a more interconnected and humane global future. </w:t>
      </w:r>
    </w:p>
    <w:p w14:paraId="06C0ABD0" w14:textId="77777777" w:rsidR="003D01DD" w:rsidRDefault="003D01DD" w:rsidP="004B3065">
      <w:pPr>
        <w:pStyle w:val="L2JBody"/>
        <w:ind w:firstLine="0"/>
      </w:pPr>
    </w:p>
    <w:p w14:paraId="46AD71D9" w14:textId="77777777" w:rsidR="00AA5DFA" w:rsidRDefault="00AA5DFA" w:rsidP="005A311A">
      <w:pPr>
        <w:pStyle w:val="L2JH2"/>
      </w:pPr>
    </w:p>
    <w:p w14:paraId="2BFAA2F7" w14:textId="59199D1E" w:rsidR="005A311A" w:rsidRPr="005A311A" w:rsidRDefault="005A311A" w:rsidP="005A311A">
      <w:pPr>
        <w:pStyle w:val="L2JH2"/>
      </w:pPr>
      <w:r w:rsidRPr="005A311A">
        <w:lastRenderedPageBreak/>
        <w:t>ACKNOWLEDGEMENTS</w:t>
      </w:r>
    </w:p>
    <w:p w14:paraId="3FF5A4C6" w14:textId="77777777" w:rsidR="005A311A" w:rsidRDefault="005A311A" w:rsidP="005A311A">
      <w:pPr>
        <w:pStyle w:val="L2JBody"/>
        <w:ind w:firstLine="0"/>
      </w:pPr>
    </w:p>
    <w:p w14:paraId="494ABB04" w14:textId="4DBF1319" w:rsidR="005A311A" w:rsidRPr="005A311A" w:rsidRDefault="005A311A" w:rsidP="005A311A">
      <w:pPr>
        <w:pStyle w:val="L2JBody"/>
        <w:ind w:firstLine="0"/>
      </w:pPr>
      <w:r>
        <w:t>I</w:t>
      </w:r>
      <w:r w:rsidRPr="005A311A">
        <w:t xml:space="preserve"> would like to express my heartfelt gratitude to Claire </w:t>
      </w:r>
      <w:proofErr w:type="spellStart"/>
      <w:r w:rsidRPr="005A311A">
        <w:t>Kramsch</w:t>
      </w:r>
      <w:proofErr w:type="spellEnd"/>
      <w:r w:rsidRPr="005A311A">
        <w:t>, whose groundbreaking work continues to shape my thinking on language, identity, and symbolic power. This article is dedicated to her enduring contributions to the field and to the possibilities she has opened for more critical and compassionate language education.</w:t>
      </w:r>
    </w:p>
    <w:p w14:paraId="69B6FC51" w14:textId="77777777" w:rsidR="005A311A" w:rsidRDefault="005A311A" w:rsidP="004B3065">
      <w:pPr>
        <w:pStyle w:val="L2JBody"/>
        <w:ind w:firstLine="0"/>
      </w:pPr>
    </w:p>
    <w:p w14:paraId="7FBA796E" w14:textId="77777777" w:rsidR="004B3065" w:rsidRPr="00330935" w:rsidRDefault="004B3065" w:rsidP="004B3065"/>
    <w:p w14:paraId="15253DDB" w14:textId="50C2AAD0" w:rsidR="004B3065" w:rsidRDefault="004B3065" w:rsidP="004B3065">
      <w:pPr>
        <w:pStyle w:val="L2JH1"/>
      </w:pPr>
      <w:r w:rsidRPr="007F15DB">
        <w:t>REFERENCES</w:t>
      </w:r>
    </w:p>
    <w:p w14:paraId="63E5D640" w14:textId="77777777" w:rsidR="004B3065" w:rsidRDefault="004B3065" w:rsidP="004B3065">
      <w:pPr>
        <w:pStyle w:val="L2JReferences"/>
      </w:pPr>
    </w:p>
    <w:p w14:paraId="6EA14A73"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Appiah, K. A. (2007). </w:t>
      </w:r>
      <w:r w:rsidRPr="009C4CEE">
        <w:rPr>
          <w:rFonts w:ascii="Garamond" w:hAnsi="Garamond" w:cs="Times New Roman"/>
          <w:i/>
          <w:iCs/>
          <w:sz w:val="20"/>
          <w:szCs w:val="20"/>
        </w:rPr>
        <w:t>Cosmopolitanism: Ethics in a world of strangers</w:t>
      </w:r>
      <w:r w:rsidRPr="009C4CEE">
        <w:rPr>
          <w:rFonts w:ascii="Garamond" w:hAnsi="Garamond" w:cs="Times New Roman"/>
          <w:sz w:val="20"/>
          <w:szCs w:val="20"/>
        </w:rPr>
        <w:t>. W. W. Norton.</w:t>
      </w:r>
    </w:p>
    <w:p w14:paraId="3CB211FE"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Austin, J. L. (1962). </w:t>
      </w:r>
      <w:r w:rsidRPr="009C4CEE">
        <w:rPr>
          <w:rFonts w:ascii="Garamond" w:hAnsi="Garamond" w:cs="Times New Roman"/>
          <w:i/>
          <w:iCs/>
          <w:sz w:val="20"/>
          <w:szCs w:val="20"/>
        </w:rPr>
        <w:t>How to do things with words</w:t>
      </w:r>
      <w:r w:rsidRPr="009C4CEE">
        <w:rPr>
          <w:rFonts w:ascii="Garamond" w:hAnsi="Garamond" w:cs="Times New Roman"/>
          <w:sz w:val="20"/>
          <w:szCs w:val="20"/>
        </w:rPr>
        <w:t>. Clarendon Press.</w:t>
      </w:r>
    </w:p>
    <w:p w14:paraId="1669238E"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Bakhtin, M. M. (1981). </w:t>
      </w:r>
      <w:r w:rsidRPr="009C4CEE">
        <w:rPr>
          <w:rFonts w:ascii="Garamond" w:hAnsi="Garamond" w:cs="Times New Roman"/>
          <w:i/>
          <w:iCs/>
          <w:sz w:val="20"/>
          <w:szCs w:val="20"/>
        </w:rPr>
        <w:t>The dialogic imagination</w:t>
      </w:r>
      <w:r w:rsidRPr="009C4CEE">
        <w:rPr>
          <w:rFonts w:ascii="Garamond" w:hAnsi="Garamond" w:cs="Times New Roman"/>
          <w:sz w:val="20"/>
          <w:szCs w:val="20"/>
        </w:rPr>
        <w:t xml:space="preserve"> (M. Holquist, Ed.; C. Emerson &amp; M. Holquist, Trans.). University of Texas Press.</w:t>
      </w:r>
      <w:r w:rsidRPr="009C4CEE" w:rsidDel="0068228E">
        <w:rPr>
          <w:rFonts w:ascii="Garamond" w:hAnsi="Garamond" w:cs="Times New Roman"/>
          <w:sz w:val="20"/>
          <w:szCs w:val="20"/>
        </w:rPr>
        <w:t xml:space="preserve"> </w:t>
      </w:r>
    </w:p>
    <w:p w14:paraId="5A85AFBD"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Bhabha, H. K. (1994). </w:t>
      </w:r>
      <w:r w:rsidRPr="009C4CEE">
        <w:rPr>
          <w:rFonts w:ascii="Garamond" w:hAnsi="Garamond" w:cs="Times New Roman"/>
          <w:i/>
          <w:iCs/>
          <w:sz w:val="20"/>
          <w:szCs w:val="20"/>
        </w:rPr>
        <w:t>The location of culture</w:t>
      </w:r>
      <w:r w:rsidRPr="009C4CEE">
        <w:rPr>
          <w:rFonts w:ascii="Garamond" w:hAnsi="Garamond" w:cs="Times New Roman"/>
          <w:sz w:val="20"/>
          <w:szCs w:val="20"/>
        </w:rPr>
        <w:t>. Routledge.</w:t>
      </w:r>
    </w:p>
    <w:p w14:paraId="55B3C57E"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Blommaert, J. (2004). </w:t>
      </w:r>
      <w:r w:rsidRPr="009C4CEE">
        <w:rPr>
          <w:rFonts w:ascii="Garamond" w:hAnsi="Garamond" w:cs="Times New Roman"/>
          <w:i/>
          <w:iCs/>
          <w:sz w:val="20"/>
          <w:szCs w:val="20"/>
        </w:rPr>
        <w:t>Discourse: A critical introduction</w:t>
      </w:r>
      <w:r w:rsidRPr="009C4CEE">
        <w:rPr>
          <w:rFonts w:ascii="Garamond" w:hAnsi="Garamond" w:cs="Times New Roman"/>
          <w:sz w:val="20"/>
          <w:szCs w:val="20"/>
        </w:rPr>
        <w:t>. Cambridge University Press.</w:t>
      </w:r>
    </w:p>
    <w:p w14:paraId="6CAC58D3"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Bourdieu, P. (2001). </w:t>
      </w:r>
      <w:r w:rsidRPr="009C4CEE">
        <w:rPr>
          <w:rFonts w:ascii="Garamond" w:hAnsi="Garamond" w:cs="Times New Roman"/>
          <w:i/>
          <w:iCs/>
          <w:sz w:val="20"/>
          <w:szCs w:val="20"/>
        </w:rPr>
        <w:t>Language and symbolic power</w:t>
      </w:r>
      <w:r w:rsidRPr="009C4CEE">
        <w:rPr>
          <w:rFonts w:ascii="Garamond" w:hAnsi="Garamond" w:cs="Times New Roman"/>
          <w:sz w:val="20"/>
          <w:szCs w:val="20"/>
        </w:rPr>
        <w:t>. Polity.</w:t>
      </w:r>
    </w:p>
    <w:p w14:paraId="2AD87FA1"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Brown, P., &amp; Levinson, S. C. (1987). </w:t>
      </w:r>
      <w:r w:rsidRPr="009C4CEE">
        <w:rPr>
          <w:rFonts w:ascii="Garamond" w:hAnsi="Garamond" w:cs="Times New Roman"/>
          <w:i/>
          <w:iCs/>
          <w:sz w:val="20"/>
          <w:szCs w:val="20"/>
        </w:rPr>
        <w:t>Politeness: Some universals in language use</w:t>
      </w:r>
      <w:r w:rsidRPr="009C4CEE">
        <w:rPr>
          <w:rFonts w:ascii="Garamond" w:hAnsi="Garamond" w:cs="Times New Roman"/>
          <w:sz w:val="20"/>
          <w:szCs w:val="20"/>
        </w:rPr>
        <w:t>. Cambridge University Press.</w:t>
      </w:r>
    </w:p>
    <w:p w14:paraId="4EA50965"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Butler, J. (1997). </w:t>
      </w:r>
      <w:r w:rsidRPr="009C4CEE">
        <w:rPr>
          <w:rFonts w:ascii="Garamond" w:hAnsi="Garamond" w:cs="Times New Roman"/>
          <w:i/>
          <w:iCs/>
          <w:sz w:val="20"/>
          <w:szCs w:val="20"/>
        </w:rPr>
        <w:t>Excitable speech: The politics of the performative</w:t>
      </w:r>
      <w:r w:rsidRPr="009C4CEE">
        <w:rPr>
          <w:rFonts w:ascii="Garamond" w:hAnsi="Garamond" w:cs="Times New Roman"/>
          <w:sz w:val="20"/>
          <w:szCs w:val="20"/>
        </w:rPr>
        <w:t>. Routledge.</w:t>
      </w:r>
    </w:p>
    <w:p w14:paraId="2C665397"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Byram, M. (1997). </w:t>
      </w:r>
      <w:r w:rsidRPr="009C4CEE">
        <w:rPr>
          <w:rFonts w:ascii="Garamond" w:hAnsi="Garamond" w:cs="Times New Roman"/>
          <w:i/>
          <w:iCs/>
          <w:sz w:val="20"/>
          <w:szCs w:val="20"/>
        </w:rPr>
        <w:t>Teaching and assessing intercultural communicative competence</w:t>
      </w:r>
      <w:r w:rsidRPr="009C4CEE">
        <w:rPr>
          <w:rFonts w:ascii="Garamond" w:hAnsi="Garamond" w:cs="Times New Roman"/>
          <w:sz w:val="20"/>
          <w:szCs w:val="20"/>
        </w:rPr>
        <w:t>. Multilingual Matters.</w:t>
      </w:r>
    </w:p>
    <w:p w14:paraId="6CA190E8"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Chen, Q., Panksepp, J. B., &amp; </w:t>
      </w:r>
      <w:proofErr w:type="spellStart"/>
      <w:r w:rsidRPr="009C4CEE">
        <w:rPr>
          <w:rFonts w:ascii="Garamond" w:hAnsi="Garamond" w:cs="Times New Roman"/>
          <w:sz w:val="20"/>
          <w:szCs w:val="20"/>
        </w:rPr>
        <w:t>Lahvis</w:t>
      </w:r>
      <w:proofErr w:type="spellEnd"/>
      <w:r w:rsidRPr="009C4CEE">
        <w:rPr>
          <w:rFonts w:ascii="Garamond" w:hAnsi="Garamond" w:cs="Times New Roman"/>
          <w:sz w:val="20"/>
          <w:szCs w:val="20"/>
        </w:rPr>
        <w:t xml:space="preserve">, G. P. (2009). Empathy is moderated by genetic background in mice. </w:t>
      </w:r>
      <w:proofErr w:type="spellStart"/>
      <w:r w:rsidRPr="009C4CEE">
        <w:rPr>
          <w:rFonts w:ascii="Garamond" w:hAnsi="Garamond" w:cs="Times New Roman"/>
          <w:i/>
          <w:iCs/>
          <w:sz w:val="20"/>
          <w:szCs w:val="20"/>
        </w:rPr>
        <w:t>PLoS</w:t>
      </w:r>
      <w:proofErr w:type="spellEnd"/>
      <w:r w:rsidRPr="009C4CEE">
        <w:rPr>
          <w:rFonts w:ascii="Garamond" w:hAnsi="Garamond" w:cs="Times New Roman"/>
          <w:i/>
          <w:iCs/>
          <w:sz w:val="20"/>
          <w:szCs w:val="20"/>
        </w:rPr>
        <w:t xml:space="preserve"> ONE</w:t>
      </w:r>
      <w:r w:rsidRPr="009C4CEE">
        <w:rPr>
          <w:rFonts w:ascii="Garamond" w:hAnsi="Garamond" w:cs="Times New Roman"/>
          <w:sz w:val="20"/>
          <w:szCs w:val="20"/>
        </w:rPr>
        <w:t xml:space="preserve">, </w:t>
      </w:r>
      <w:r w:rsidRPr="009C4CEE">
        <w:rPr>
          <w:rFonts w:ascii="Garamond" w:hAnsi="Garamond" w:cs="Times New Roman"/>
          <w:i/>
          <w:iCs/>
          <w:sz w:val="20"/>
          <w:szCs w:val="20"/>
        </w:rPr>
        <w:t>4</w:t>
      </w:r>
      <w:r w:rsidRPr="009C4CEE">
        <w:rPr>
          <w:rFonts w:ascii="Garamond" w:hAnsi="Garamond" w:cs="Times New Roman"/>
          <w:sz w:val="20"/>
          <w:szCs w:val="20"/>
        </w:rPr>
        <w:t>(2), e4387. https://doi.org/10.1371/journal.pone.0004387</w:t>
      </w:r>
    </w:p>
    <w:p w14:paraId="0D41184F"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de Dreu, C. K. (2012). Oxytocin modulates cooperation within and competition between groups: An integrative review and research agenda. </w:t>
      </w:r>
      <w:r w:rsidRPr="009C4CEE">
        <w:rPr>
          <w:rFonts w:ascii="Garamond" w:hAnsi="Garamond" w:cs="Times New Roman"/>
          <w:i/>
          <w:iCs/>
          <w:sz w:val="20"/>
          <w:szCs w:val="20"/>
        </w:rPr>
        <w:t>Hormones and Behavior</w:t>
      </w:r>
      <w:r w:rsidRPr="009C4CEE">
        <w:rPr>
          <w:rFonts w:ascii="Garamond" w:hAnsi="Garamond" w:cs="Times New Roman"/>
          <w:sz w:val="20"/>
          <w:szCs w:val="20"/>
        </w:rPr>
        <w:t xml:space="preserve">, </w:t>
      </w:r>
      <w:r w:rsidRPr="009C4CEE">
        <w:rPr>
          <w:rFonts w:ascii="Garamond" w:hAnsi="Garamond" w:cs="Times New Roman"/>
          <w:i/>
          <w:iCs/>
          <w:sz w:val="20"/>
          <w:szCs w:val="20"/>
        </w:rPr>
        <w:t>61</w:t>
      </w:r>
      <w:r w:rsidRPr="009C4CEE">
        <w:rPr>
          <w:rFonts w:ascii="Garamond" w:hAnsi="Garamond" w:cs="Times New Roman"/>
          <w:sz w:val="20"/>
          <w:szCs w:val="20"/>
        </w:rPr>
        <w:t>(3), 419–428. https://doi.org/10.1016/j.yhbeh.2011.12.009</w:t>
      </w:r>
    </w:p>
    <w:p w14:paraId="154E4420"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Dewaele, J. M., &amp; Li, Wei. (2012). Multilingualism, empathy and multicompetence. </w:t>
      </w:r>
      <w:r w:rsidRPr="009C4CEE">
        <w:rPr>
          <w:rFonts w:ascii="Garamond" w:hAnsi="Garamond" w:cs="Times New Roman"/>
          <w:i/>
          <w:iCs/>
          <w:sz w:val="20"/>
          <w:szCs w:val="20"/>
        </w:rPr>
        <w:t>International Journal of Multilingualism</w:t>
      </w:r>
      <w:r w:rsidRPr="009C4CEE">
        <w:rPr>
          <w:rFonts w:ascii="Garamond" w:hAnsi="Garamond" w:cs="Times New Roman"/>
          <w:sz w:val="20"/>
          <w:szCs w:val="20"/>
        </w:rPr>
        <w:t xml:space="preserve">, </w:t>
      </w:r>
      <w:r w:rsidRPr="009C4CEE">
        <w:rPr>
          <w:rFonts w:ascii="Garamond" w:hAnsi="Garamond" w:cs="Times New Roman"/>
          <w:i/>
          <w:iCs/>
          <w:sz w:val="20"/>
          <w:szCs w:val="20"/>
        </w:rPr>
        <w:t>9</w:t>
      </w:r>
      <w:r w:rsidRPr="009C4CEE">
        <w:rPr>
          <w:rFonts w:ascii="Garamond" w:hAnsi="Garamond" w:cs="Times New Roman"/>
          <w:sz w:val="20"/>
          <w:szCs w:val="20"/>
        </w:rPr>
        <w:t>(4), 352–366. https://doi.org/10.1080/14790718.2012.714380</w:t>
      </w:r>
    </w:p>
    <w:p w14:paraId="769846A7"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Dower, J. W. (2000). </w:t>
      </w:r>
      <w:r w:rsidRPr="009C4CEE">
        <w:rPr>
          <w:rFonts w:ascii="Garamond" w:hAnsi="Garamond" w:cs="Times New Roman"/>
          <w:i/>
          <w:iCs/>
          <w:sz w:val="20"/>
          <w:szCs w:val="20"/>
        </w:rPr>
        <w:t>Embracing defeat</w:t>
      </w:r>
      <w:r w:rsidRPr="009C4CEE">
        <w:rPr>
          <w:rFonts w:ascii="Garamond" w:hAnsi="Garamond" w:cs="Times New Roman"/>
          <w:sz w:val="20"/>
          <w:szCs w:val="20"/>
        </w:rPr>
        <w:t>. W.W. Norton.</w:t>
      </w:r>
    </w:p>
    <w:p w14:paraId="4ADB7C5D" w14:textId="77777777" w:rsidR="009C4CEE" w:rsidRPr="009C4CEE" w:rsidRDefault="009C4CEE" w:rsidP="009C4CEE">
      <w:pPr>
        <w:ind w:left="720" w:hanging="720"/>
        <w:rPr>
          <w:rFonts w:ascii="Garamond" w:hAnsi="Garamond" w:cs="Times New Roman"/>
          <w:i/>
          <w:iCs/>
          <w:sz w:val="20"/>
          <w:szCs w:val="20"/>
        </w:rPr>
      </w:pPr>
      <w:r w:rsidRPr="009C4CEE">
        <w:rPr>
          <w:rFonts w:ascii="Garamond" w:hAnsi="Garamond" w:cs="Times New Roman"/>
          <w:sz w:val="20"/>
          <w:szCs w:val="20"/>
        </w:rPr>
        <w:t>Dower, J. W., &amp; American Council of Learned Societies. (1993). </w:t>
      </w:r>
      <w:r w:rsidRPr="009C4CEE">
        <w:rPr>
          <w:rFonts w:ascii="Garamond" w:hAnsi="Garamond" w:cs="Times New Roman"/>
          <w:i/>
          <w:iCs/>
          <w:sz w:val="20"/>
          <w:szCs w:val="20"/>
        </w:rPr>
        <w:t>War without mercy: Race and power in the pacific war.</w:t>
      </w:r>
      <w:r w:rsidRPr="009C4CEE">
        <w:rPr>
          <w:rFonts w:ascii="Garamond" w:hAnsi="Garamond"/>
          <w:sz w:val="20"/>
          <w:szCs w:val="20"/>
        </w:rPr>
        <w:t xml:space="preserve"> </w:t>
      </w:r>
      <w:r w:rsidRPr="009C4CEE">
        <w:rPr>
          <w:rFonts w:ascii="Garamond" w:hAnsi="Garamond" w:cs="Times New Roman"/>
          <w:sz w:val="20"/>
          <w:szCs w:val="20"/>
        </w:rPr>
        <w:t>Pantheon Books.</w:t>
      </w:r>
    </w:p>
    <w:p w14:paraId="613ED3D3"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Fallon, N., Roberts, C., &amp; </w:t>
      </w:r>
      <w:proofErr w:type="spellStart"/>
      <w:r w:rsidRPr="009C4CEE">
        <w:rPr>
          <w:rFonts w:ascii="Garamond" w:hAnsi="Garamond" w:cs="Times New Roman"/>
          <w:sz w:val="20"/>
          <w:szCs w:val="20"/>
        </w:rPr>
        <w:t>Stancak</w:t>
      </w:r>
      <w:proofErr w:type="spellEnd"/>
      <w:r w:rsidRPr="009C4CEE">
        <w:rPr>
          <w:rFonts w:ascii="Garamond" w:hAnsi="Garamond" w:cs="Times New Roman"/>
          <w:sz w:val="20"/>
          <w:szCs w:val="20"/>
        </w:rPr>
        <w:t xml:space="preserve">, A. (2020). Shared and distinct functional networks for empathy and pain processing: a systematic review and meta-analysis of fMRI studies. </w:t>
      </w:r>
      <w:r w:rsidRPr="009C4CEE">
        <w:rPr>
          <w:rFonts w:ascii="Garamond" w:hAnsi="Garamond" w:cs="Times New Roman"/>
          <w:i/>
          <w:iCs/>
          <w:sz w:val="20"/>
          <w:szCs w:val="20"/>
        </w:rPr>
        <w:t>Social Cognitive and Affective Neuroscience</w:t>
      </w:r>
      <w:r w:rsidRPr="009C4CEE">
        <w:rPr>
          <w:rFonts w:ascii="Garamond" w:hAnsi="Garamond" w:cs="Times New Roman"/>
          <w:sz w:val="20"/>
          <w:szCs w:val="20"/>
        </w:rPr>
        <w:t xml:space="preserve">, </w:t>
      </w:r>
      <w:r w:rsidRPr="009C4CEE">
        <w:rPr>
          <w:rFonts w:ascii="Garamond" w:hAnsi="Garamond" w:cs="Times New Roman"/>
          <w:i/>
          <w:iCs/>
          <w:sz w:val="20"/>
          <w:szCs w:val="20"/>
        </w:rPr>
        <w:t>15</w:t>
      </w:r>
      <w:r w:rsidRPr="009C4CEE">
        <w:rPr>
          <w:rFonts w:ascii="Garamond" w:hAnsi="Garamond" w:cs="Times New Roman"/>
          <w:sz w:val="20"/>
          <w:szCs w:val="20"/>
        </w:rPr>
        <w:t xml:space="preserve">(7), 709–723. </w:t>
      </w:r>
      <w:hyperlink r:id="rId9" w:history="1">
        <w:r w:rsidRPr="009C4CEE">
          <w:rPr>
            <w:rFonts w:ascii="Garamond" w:hAnsi="Garamond" w:cs="Times New Roman"/>
            <w:sz w:val="20"/>
            <w:szCs w:val="20"/>
            <w:u w:val="single"/>
          </w:rPr>
          <w:t>https://doi.org/10.1093/scan/nsaa090</w:t>
        </w:r>
      </w:hyperlink>
    </w:p>
    <w:p w14:paraId="42512FE7"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Fairclough, N. (1999). </w:t>
      </w:r>
      <w:r w:rsidRPr="009C4CEE">
        <w:rPr>
          <w:rFonts w:ascii="Garamond" w:hAnsi="Garamond" w:cs="Times New Roman"/>
          <w:i/>
          <w:iCs/>
          <w:sz w:val="20"/>
          <w:szCs w:val="20"/>
        </w:rPr>
        <w:t>Language and power</w:t>
      </w:r>
      <w:r w:rsidRPr="009C4CEE">
        <w:rPr>
          <w:rFonts w:ascii="Garamond" w:hAnsi="Garamond" w:cs="Times New Roman"/>
          <w:sz w:val="20"/>
          <w:szCs w:val="20"/>
        </w:rPr>
        <w:t>. Longman.</w:t>
      </w:r>
    </w:p>
    <w:p w14:paraId="3FA77A20"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Foucault, M. (1977). </w:t>
      </w:r>
      <w:r w:rsidRPr="009C4CEE">
        <w:rPr>
          <w:rFonts w:ascii="Garamond" w:hAnsi="Garamond" w:cs="Times New Roman"/>
          <w:i/>
          <w:iCs/>
          <w:sz w:val="20"/>
          <w:szCs w:val="20"/>
        </w:rPr>
        <w:t>Discipline and punish: The birth of the prison</w:t>
      </w:r>
      <w:r w:rsidRPr="009C4CEE">
        <w:rPr>
          <w:rFonts w:ascii="Garamond" w:hAnsi="Garamond" w:cs="Times New Roman"/>
          <w:sz w:val="20"/>
          <w:szCs w:val="20"/>
        </w:rPr>
        <w:t>. Vintage Books.</w:t>
      </w:r>
    </w:p>
    <w:p w14:paraId="1704E2DD"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Goffman, E. (1967). </w:t>
      </w:r>
      <w:r w:rsidRPr="009C4CEE">
        <w:rPr>
          <w:rFonts w:ascii="Garamond" w:hAnsi="Garamond" w:cs="Times New Roman"/>
          <w:i/>
          <w:iCs/>
          <w:sz w:val="20"/>
          <w:szCs w:val="20"/>
        </w:rPr>
        <w:t>Interaction ritual; Essays on face-to-face behavior</w:t>
      </w:r>
      <w:r w:rsidRPr="009C4CEE">
        <w:rPr>
          <w:rFonts w:ascii="Garamond" w:hAnsi="Garamond" w:cs="Times New Roman"/>
          <w:sz w:val="20"/>
          <w:szCs w:val="20"/>
        </w:rPr>
        <w:t>. Doubleday.</w:t>
      </w:r>
    </w:p>
    <w:p w14:paraId="317FE578"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Goffman, E. (1981). </w:t>
      </w:r>
      <w:r w:rsidRPr="009C4CEE">
        <w:rPr>
          <w:rFonts w:ascii="Garamond" w:hAnsi="Garamond" w:cs="Times New Roman"/>
          <w:i/>
          <w:iCs/>
          <w:sz w:val="20"/>
          <w:szCs w:val="20"/>
        </w:rPr>
        <w:t>Forms of talk</w:t>
      </w:r>
      <w:r w:rsidRPr="009C4CEE">
        <w:rPr>
          <w:rFonts w:ascii="Garamond" w:hAnsi="Garamond" w:cs="Times New Roman"/>
          <w:sz w:val="20"/>
          <w:szCs w:val="20"/>
        </w:rPr>
        <w:t>. University of Pennsylvania Press.</w:t>
      </w:r>
    </w:p>
    <w:p w14:paraId="1292F461"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Hansen, D.T. (2010). Cosmopolitanism and education: A view from the ground. </w:t>
      </w:r>
      <w:r w:rsidRPr="009C4CEE">
        <w:rPr>
          <w:rFonts w:ascii="Garamond" w:hAnsi="Garamond" w:cs="Times New Roman"/>
          <w:i/>
          <w:iCs/>
          <w:sz w:val="20"/>
          <w:szCs w:val="20"/>
        </w:rPr>
        <w:t>Teachers College Record, 112</w:t>
      </w:r>
      <w:r w:rsidRPr="009C4CEE">
        <w:rPr>
          <w:rFonts w:ascii="Garamond" w:hAnsi="Garamond" w:cs="Times New Roman"/>
          <w:sz w:val="20"/>
          <w:szCs w:val="20"/>
        </w:rPr>
        <w:t>, 1-30.</w:t>
      </w:r>
    </w:p>
    <w:p w14:paraId="2AB5E12A"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Hollan, D. W., &amp; Throop, C. J. (2008). Whatever happened to empathy: Introduction. </w:t>
      </w:r>
      <w:r w:rsidRPr="009C4CEE">
        <w:rPr>
          <w:rFonts w:ascii="Garamond" w:hAnsi="Garamond" w:cs="Times New Roman"/>
          <w:i/>
          <w:iCs/>
          <w:sz w:val="20"/>
          <w:szCs w:val="20"/>
        </w:rPr>
        <w:t>Ethos,</w:t>
      </w:r>
      <w:r w:rsidRPr="009C4CEE">
        <w:rPr>
          <w:rFonts w:ascii="Garamond" w:hAnsi="Garamond" w:cs="Times New Roman"/>
          <w:sz w:val="20"/>
          <w:szCs w:val="20"/>
        </w:rPr>
        <w:t> </w:t>
      </w:r>
      <w:r w:rsidRPr="009C4CEE">
        <w:rPr>
          <w:rFonts w:ascii="Garamond" w:hAnsi="Garamond" w:cs="Times New Roman"/>
          <w:i/>
          <w:iCs/>
          <w:sz w:val="20"/>
          <w:szCs w:val="20"/>
        </w:rPr>
        <w:t>36</w:t>
      </w:r>
      <w:r w:rsidRPr="009C4CEE">
        <w:rPr>
          <w:rFonts w:ascii="Garamond" w:hAnsi="Garamond" w:cs="Times New Roman"/>
          <w:sz w:val="20"/>
          <w:szCs w:val="20"/>
        </w:rPr>
        <w:t>(4), 385-401. http://www.jstor.org/stable/20486588</w:t>
      </w:r>
    </w:p>
    <w:p w14:paraId="1E8BDD61"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Hollan, D. W., &amp; Throop, C. J. (2011). </w:t>
      </w:r>
      <w:r w:rsidRPr="009C4CEE">
        <w:rPr>
          <w:rFonts w:ascii="Garamond" w:hAnsi="Garamond" w:cs="Times New Roman"/>
          <w:i/>
          <w:iCs/>
          <w:sz w:val="20"/>
          <w:szCs w:val="20"/>
        </w:rPr>
        <w:t>The anthropology of empathy: Experiencing the lives of others in Pacific societies</w:t>
      </w:r>
      <w:r w:rsidRPr="009C4CEE">
        <w:rPr>
          <w:rFonts w:ascii="Garamond" w:hAnsi="Garamond" w:cs="Times New Roman"/>
          <w:sz w:val="20"/>
          <w:szCs w:val="20"/>
        </w:rPr>
        <w:t xml:space="preserve">. </w:t>
      </w:r>
      <w:proofErr w:type="spellStart"/>
      <w:r w:rsidRPr="009C4CEE">
        <w:rPr>
          <w:rFonts w:ascii="Garamond" w:hAnsi="Garamond" w:cs="Times New Roman"/>
          <w:sz w:val="20"/>
          <w:szCs w:val="20"/>
        </w:rPr>
        <w:t>Berghahn</w:t>
      </w:r>
      <w:proofErr w:type="spellEnd"/>
      <w:r w:rsidRPr="009C4CEE">
        <w:rPr>
          <w:rFonts w:ascii="Garamond" w:hAnsi="Garamond" w:cs="Times New Roman"/>
          <w:sz w:val="20"/>
          <w:szCs w:val="20"/>
        </w:rPr>
        <w:t xml:space="preserve"> Books.</w:t>
      </w:r>
    </w:p>
    <w:p w14:paraId="76B892E6" w14:textId="77777777" w:rsidR="009C4CEE" w:rsidRPr="009C4CEE" w:rsidRDefault="009C4CEE" w:rsidP="009C4CEE">
      <w:pPr>
        <w:ind w:left="720" w:hanging="720"/>
        <w:rPr>
          <w:rFonts w:ascii="Garamond" w:hAnsi="Garamond" w:cs="Times New Roman"/>
          <w:color w:val="0563C1" w:themeColor="hyperlink"/>
          <w:sz w:val="20"/>
          <w:szCs w:val="20"/>
          <w:u w:val="single"/>
        </w:rPr>
      </w:pPr>
      <w:r w:rsidRPr="009C4CEE">
        <w:rPr>
          <w:rFonts w:ascii="Garamond" w:hAnsi="Garamond" w:cs="Times New Roman"/>
          <w:sz w:val="20"/>
          <w:szCs w:val="20"/>
        </w:rPr>
        <w:t xml:space="preserve">Hull, G., </w:t>
      </w:r>
      <w:proofErr w:type="spellStart"/>
      <w:r w:rsidRPr="009C4CEE">
        <w:rPr>
          <w:rFonts w:ascii="Garamond" w:hAnsi="Garamond" w:cs="Times New Roman"/>
          <w:sz w:val="20"/>
          <w:szCs w:val="20"/>
        </w:rPr>
        <w:t>Stornaiuolo</w:t>
      </w:r>
      <w:proofErr w:type="spellEnd"/>
      <w:r w:rsidRPr="009C4CEE">
        <w:rPr>
          <w:rFonts w:ascii="Garamond" w:hAnsi="Garamond" w:cs="Times New Roman"/>
          <w:sz w:val="20"/>
          <w:szCs w:val="20"/>
        </w:rPr>
        <w:t xml:space="preserve">, A., &amp; Sahni, U. (2010). Cultural citizenship and cosmopolitan practice: Global youth communicate online. </w:t>
      </w:r>
      <w:r w:rsidRPr="009C4CEE">
        <w:rPr>
          <w:rFonts w:ascii="Garamond" w:hAnsi="Garamond" w:cs="Times New Roman"/>
          <w:i/>
          <w:iCs/>
          <w:sz w:val="20"/>
          <w:szCs w:val="20"/>
        </w:rPr>
        <w:t>English Education</w:t>
      </w:r>
      <w:r w:rsidRPr="009C4CEE">
        <w:rPr>
          <w:rFonts w:ascii="Garamond" w:hAnsi="Garamond" w:cs="Times New Roman"/>
          <w:sz w:val="20"/>
          <w:szCs w:val="20"/>
        </w:rPr>
        <w:t xml:space="preserve">, </w:t>
      </w:r>
      <w:r w:rsidRPr="009C4CEE">
        <w:rPr>
          <w:rFonts w:ascii="Garamond" w:hAnsi="Garamond" w:cs="Times New Roman"/>
          <w:i/>
          <w:iCs/>
          <w:sz w:val="20"/>
          <w:szCs w:val="20"/>
        </w:rPr>
        <w:t>42</w:t>
      </w:r>
      <w:r w:rsidRPr="009C4CEE">
        <w:rPr>
          <w:rFonts w:ascii="Garamond" w:hAnsi="Garamond" w:cs="Times New Roman"/>
          <w:sz w:val="20"/>
          <w:szCs w:val="20"/>
        </w:rPr>
        <w:t xml:space="preserve">(4), 331-367. </w:t>
      </w:r>
      <w:hyperlink r:id="rId10" w:history="1">
        <w:r w:rsidRPr="009C4CEE">
          <w:rPr>
            <w:rFonts w:ascii="Garamond" w:hAnsi="Garamond" w:cs="Times New Roman"/>
            <w:sz w:val="20"/>
            <w:szCs w:val="20"/>
            <w:u w:val="single"/>
          </w:rPr>
          <w:t>http://www.jstor.org/stable/23018017</w:t>
        </w:r>
      </w:hyperlink>
    </w:p>
    <w:p w14:paraId="21E87865" w14:textId="1C0D01C0" w:rsidR="009C4CEE" w:rsidRPr="009C4CEE" w:rsidRDefault="009C4CEE" w:rsidP="009C4CEE">
      <w:pPr>
        <w:ind w:left="720" w:hanging="720"/>
        <w:rPr>
          <w:rFonts w:ascii="Garamond" w:hAnsi="Garamond" w:cs="Times New Roman"/>
          <w:sz w:val="20"/>
          <w:szCs w:val="20"/>
        </w:rPr>
      </w:pPr>
      <w:proofErr w:type="spellStart"/>
      <w:r w:rsidRPr="009C4CEE">
        <w:rPr>
          <w:rFonts w:ascii="Garamond" w:hAnsi="Garamond" w:cs="Times New Roman"/>
          <w:sz w:val="20"/>
          <w:szCs w:val="20"/>
        </w:rPr>
        <w:t>Hurlemann</w:t>
      </w:r>
      <w:proofErr w:type="spellEnd"/>
      <w:r w:rsidRPr="009C4CEE">
        <w:rPr>
          <w:rFonts w:ascii="Garamond" w:hAnsi="Garamond" w:cs="Times New Roman"/>
          <w:sz w:val="20"/>
          <w:szCs w:val="20"/>
        </w:rPr>
        <w:t xml:space="preserve">, R., Patin, A., Onur, O. A., Cohen, M. X., Baumgartner, T., Metzler, S., </w:t>
      </w:r>
      <w:proofErr w:type="spellStart"/>
      <w:r w:rsidRPr="009C4CEE">
        <w:rPr>
          <w:rFonts w:ascii="Garamond" w:hAnsi="Garamond" w:cs="Times New Roman"/>
          <w:sz w:val="20"/>
          <w:szCs w:val="20"/>
        </w:rPr>
        <w:t>Dziobek</w:t>
      </w:r>
      <w:proofErr w:type="spellEnd"/>
      <w:r w:rsidRPr="009C4CEE">
        <w:rPr>
          <w:rFonts w:ascii="Garamond" w:hAnsi="Garamond" w:cs="Times New Roman"/>
          <w:sz w:val="20"/>
          <w:szCs w:val="20"/>
        </w:rPr>
        <w:t>, I., Gallinat, J., Wagner, M., Maier, W., &amp; Kendrick, K. M. (2010). Oxytocin enhances amygdala-dependent, socially reinforced learning and emotional empathy in humans. </w:t>
      </w:r>
      <w:r w:rsidRPr="009C4CEE">
        <w:rPr>
          <w:rFonts w:ascii="Garamond" w:hAnsi="Garamond" w:cs="Times New Roman"/>
          <w:i/>
          <w:iCs/>
          <w:sz w:val="20"/>
          <w:szCs w:val="20"/>
        </w:rPr>
        <w:t xml:space="preserve">The Journal </w:t>
      </w:r>
      <w:proofErr w:type="gramStart"/>
      <w:r w:rsidR="00D20B7F" w:rsidRPr="009C4CEE">
        <w:rPr>
          <w:rFonts w:ascii="Garamond" w:hAnsi="Garamond" w:cs="Times New Roman"/>
          <w:i/>
          <w:iCs/>
          <w:sz w:val="20"/>
          <w:szCs w:val="20"/>
        </w:rPr>
        <w:t>Of</w:t>
      </w:r>
      <w:proofErr w:type="gramEnd"/>
      <w:r w:rsidR="00D20B7F" w:rsidRPr="009C4CEE">
        <w:rPr>
          <w:rFonts w:ascii="Garamond" w:hAnsi="Garamond" w:cs="Times New Roman"/>
          <w:i/>
          <w:iCs/>
          <w:sz w:val="20"/>
          <w:szCs w:val="20"/>
        </w:rPr>
        <w:t xml:space="preserve"> Neuroscience: The Official Journal </w:t>
      </w:r>
      <w:proofErr w:type="gramStart"/>
      <w:r w:rsidR="00D20B7F" w:rsidRPr="009C4CEE">
        <w:rPr>
          <w:rFonts w:ascii="Garamond" w:hAnsi="Garamond" w:cs="Times New Roman"/>
          <w:i/>
          <w:iCs/>
          <w:sz w:val="20"/>
          <w:szCs w:val="20"/>
        </w:rPr>
        <w:t>Of</w:t>
      </w:r>
      <w:proofErr w:type="gramEnd"/>
      <w:r w:rsidR="00D20B7F" w:rsidRPr="009C4CEE">
        <w:rPr>
          <w:rFonts w:ascii="Garamond" w:hAnsi="Garamond" w:cs="Times New Roman"/>
          <w:i/>
          <w:iCs/>
          <w:sz w:val="20"/>
          <w:szCs w:val="20"/>
        </w:rPr>
        <w:t xml:space="preserve"> </w:t>
      </w:r>
      <w:proofErr w:type="gramStart"/>
      <w:r w:rsidR="00D20B7F" w:rsidRPr="009C4CEE">
        <w:rPr>
          <w:rFonts w:ascii="Garamond" w:hAnsi="Garamond" w:cs="Times New Roman"/>
          <w:i/>
          <w:iCs/>
          <w:sz w:val="20"/>
          <w:szCs w:val="20"/>
        </w:rPr>
        <w:t>The</w:t>
      </w:r>
      <w:proofErr w:type="gramEnd"/>
      <w:r w:rsidR="00D20B7F" w:rsidRPr="009C4CEE">
        <w:rPr>
          <w:rFonts w:ascii="Garamond" w:hAnsi="Garamond" w:cs="Times New Roman"/>
          <w:i/>
          <w:iCs/>
          <w:sz w:val="20"/>
          <w:szCs w:val="20"/>
        </w:rPr>
        <w:t xml:space="preserve"> </w:t>
      </w:r>
      <w:r w:rsidRPr="009C4CEE">
        <w:rPr>
          <w:rFonts w:ascii="Garamond" w:hAnsi="Garamond" w:cs="Times New Roman"/>
          <w:i/>
          <w:iCs/>
          <w:sz w:val="20"/>
          <w:szCs w:val="20"/>
        </w:rPr>
        <w:t xml:space="preserve">Society </w:t>
      </w:r>
      <w:proofErr w:type="gramStart"/>
      <w:r w:rsidR="00D20B7F" w:rsidRPr="009C4CEE">
        <w:rPr>
          <w:rFonts w:ascii="Garamond" w:hAnsi="Garamond" w:cs="Times New Roman"/>
          <w:i/>
          <w:iCs/>
          <w:sz w:val="20"/>
          <w:szCs w:val="20"/>
        </w:rPr>
        <w:t>For</w:t>
      </w:r>
      <w:proofErr w:type="gramEnd"/>
      <w:r w:rsidR="00D20B7F" w:rsidRPr="009C4CEE">
        <w:rPr>
          <w:rFonts w:ascii="Garamond" w:hAnsi="Garamond" w:cs="Times New Roman"/>
          <w:i/>
          <w:iCs/>
          <w:sz w:val="20"/>
          <w:szCs w:val="20"/>
        </w:rPr>
        <w:t xml:space="preserve"> </w:t>
      </w:r>
      <w:r w:rsidRPr="009C4CEE">
        <w:rPr>
          <w:rFonts w:ascii="Garamond" w:hAnsi="Garamond" w:cs="Times New Roman"/>
          <w:i/>
          <w:iCs/>
          <w:sz w:val="20"/>
          <w:szCs w:val="20"/>
        </w:rPr>
        <w:t>Neuroscience</w:t>
      </w:r>
      <w:r w:rsidRPr="009C4CEE">
        <w:rPr>
          <w:rFonts w:ascii="Garamond" w:hAnsi="Garamond" w:cs="Times New Roman"/>
          <w:sz w:val="20"/>
          <w:szCs w:val="20"/>
        </w:rPr>
        <w:t>, </w:t>
      </w:r>
      <w:r w:rsidRPr="009C4CEE">
        <w:rPr>
          <w:rFonts w:ascii="Garamond" w:hAnsi="Garamond" w:cs="Times New Roman"/>
          <w:i/>
          <w:iCs/>
          <w:sz w:val="20"/>
          <w:szCs w:val="20"/>
        </w:rPr>
        <w:t>30</w:t>
      </w:r>
      <w:r w:rsidRPr="009C4CEE">
        <w:rPr>
          <w:rFonts w:ascii="Garamond" w:hAnsi="Garamond" w:cs="Times New Roman"/>
          <w:sz w:val="20"/>
          <w:szCs w:val="20"/>
        </w:rPr>
        <w:t>(14), 4999–5007. https://doi.org/10.1523/JNEUROSCI.5538-09.2010</w:t>
      </w:r>
    </w:p>
    <w:p w14:paraId="6E5F7150"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Hymes, D. (1972). </w:t>
      </w:r>
      <w:r w:rsidRPr="009C4CEE">
        <w:rPr>
          <w:rFonts w:ascii="Garamond" w:hAnsi="Garamond" w:cs="Times New Roman"/>
          <w:i/>
          <w:iCs/>
          <w:sz w:val="20"/>
          <w:szCs w:val="20"/>
        </w:rPr>
        <w:t>On communicative competence</w:t>
      </w:r>
      <w:r w:rsidRPr="009C4CEE">
        <w:rPr>
          <w:rFonts w:ascii="Garamond" w:hAnsi="Garamond" w:cs="Times New Roman"/>
          <w:sz w:val="20"/>
          <w:szCs w:val="20"/>
        </w:rPr>
        <w:t>. In J. Pride &amp; J. Holmes (Eds.), Sociolinguistics (pp. 269-285). Penguin Books.</w:t>
      </w:r>
    </w:p>
    <w:p w14:paraId="5E8AF3DC"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Knafo, A., Zahn-Waxler, C., van Hulle, C., Robinson, J. L., &amp; Rhee, S. H. (2008). The developmental origins of a disposition toward empathy: Genetic and environmental contributions. </w:t>
      </w:r>
      <w:r w:rsidRPr="009C4CEE">
        <w:rPr>
          <w:rFonts w:ascii="Garamond" w:hAnsi="Garamond" w:cs="Times New Roman"/>
          <w:i/>
          <w:iCs/>
          <w:sz w:val="20"/>
          <w:szCs w:val="20"/>
        </w:rPr>
        <w:t>Emotion</w:t>
      </w:r>
      <w:r w:rsidRPr="009C4CEE">
        <w:rPr>
          <w:rFonts w:ascii="Garamond" w:hAnsi="Garamond" w:cs="Times New Roman"/>
          <w:sz w:val="20"/>
          <w:szCs w:val="20"/>
        </w:rPr>
        <w:t xml:space="preserve">, </w:t>
      </w:r>
      <w:r w:rsidRPr="009C4CEE">
        <w:rPr>
          <w:rFonts w:ascii="Garamond" w:hAnsi="Garamond" w:cs="Times New Roman"/>
          <w:i/>
          <w:iCs/>
          <w:sz w:val="20"/>
          <w:szCs w:val="20"/>
        </w:rPr>
        <w:t>8</w:t>
      </w:r>
      <w:r w:rsidRPr="009C4CEE">
        <w:rPr>
          <w:rFonts w:ascii="Garamond" w:hAnsi="Garamond" w:cs="Times New Roman"/>
          <w:sz w:val="20"/>
          <w:szCs w:val="20"/>
        </w:rPr>
        <w:t>(6), 737–752. https://doi.org/10.1037/a0014179</w:t>
      </w:r>
    </w:p>
    <w:p w14:paraId="13BA2B0C"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lastRenderedPageBreak/>
        <w:t xml:space="preserve">Kramsch, C. (2006). From communicative competence to symbolic competence. </w:t>
      </w:r>
      <w:r w:rsidRPr="00D20B7F">
        <w:rPr>
          <w:rFonts w:ascii="Garamond" w:hAnsi="Garamond" w:cs="Times New Roman"/>
          <w:i/>
          <w:iCs/>
          <w:sz w:val="20"/>
          <w:szCs w:val="20"/>
        </w:rPr>
        <w:t>The Modern Language Journal, 90</w:t>
      </w:r>
      <w:r w:rsidRPr="009C4CEE">
        <w:rPr>
          <w:rFonts w:ascii="Garamond" w:hAnsi="Garamond" w:cs="Times New Roman"/>
          <w:sz w:val="20"/>
          <w:szCs w:val="20"/>
        </w:rPr>
        <w:t>(2), 249–252.</w:t>
      </w:r>
    </w:p>
    <w:p w14:paraId="681222F4"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Kramsch, C. (2020). </w:t>
      </w:r>
      <w:r w:rsidRPr="009C4CEE">
        <w:rPr>
          <w:rFonts w:ascii="Garamond" w:hAnsi="Garamond" w:cs="Times New Roman"/>
          <w:i/>
          <w:iCs/>
          <w:sz w:val="20"/>
          <w:szCs w:val="20"/>
        </w:rPr>
        <w:t>Language as symbolic power</w:t>
      </w:r>
      <w:r w:rsidRPr="009C4CEE">
        <w:rPr>
          <w:rFonts w:ascii="Garamond" w:hAnsi="Garamond" w:cs="Times New Roman"/>
          <w:sz w:val="20"/>
          <w:szCs w:val="20"/>
        </w:rPr>
        <w:t>. Cambridge University Press. https://doi.org/10.1017/9781108869386</w:t>
      </w:r>
      <w:r w:rsidRPr="009C4CEE" w:rsidDel="001B3B32">
        <w:rPr>
          <w:rFonts w:ascii="Garamond" w:hAnsi="Garamond" w:cs="Times New Roman"/>
          <w:sz w:val="20"/>
          <w:szCs w:val="20"/>
        </w:rPr>
        <w:t xml:space="preserve"> </w:t>
      </w:r>
    </w:p>
    <w:p w14:paraId="1AD3E24E"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Kramsch, C. (2009). </w:t>
      </w:r>
      <w:r w:rsidRPr="009C4CEE">
        <w:rPr>
          <w:rFonts w:ascii="Garamond" w:hAnsi="Garamond" w:cs="Times New Roman"/>
          <w:i/>
          <w:iCs/>
          <w:sz w:val="20"/>
          <w:szCs w:val="20"/>
        </w:rPr>
        <w:t>The multilingual subject: What foreign language learners say about their experience and why it matters.</w:t>
      </w:r>
      <w:r w:rsidRPr="009C4CEE">
        <w:rPr>
          <w:rFonts w:ascii="Garamond" w:hAnsi="Garamond" w:cs="Times New Roman"/>
          <w:sz w:val="20"/>
          <w:szCs w:val="20"/>
        </w:rPr>
        <w:t xml:space="preserve"> Oxford University Press.</w:t>
      </w:r>
      <w:r w:rsidRPr="009C4CEE" w:rsidDel="001B3B32">
        <w:rPr>
          <w:rFonts w:ascii="Garamond" w:hAnsi="Garamond" w:cs="Times New Roman"/>
          <w:sz w:val="20"/>
          <w:szCs w:val="20"/>
        </w:rPr>
        <w:t xml:space="preserve"> </w:t>
      </w:r>
    </w:p>
    <w:p w14:paraId="4D9D80E2"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Kramsch, C., &amp; </w:t>
      </w:r>
      <w:proofErr w:type="spellStart"/>
      <w:r w:rsidRPr="009C4CEE">
        <w:rPr>
          <w:rFonts w:ascii="Garamond" w:hAnsi="Garamond" w:cs="Times New Roman"/>
          <w:sz w:val="20"/>
          <w:szCs w:val="20"/>
        </w:rPr>
        <w:t>Uryu</w:t>
      </w:r>
      <w:proofErr w:type="spellEnd"/>
      <w:r w:rsidRPr="009C4CEE">
        <w:rPr>
          <w:rFonts w:ascii="Garamond" w:hAnsi="Garamond" w:cs="Times New Roman"/>
          <w:sz w:val="20"/>
          <w:szCs w:val="20"/>
        </w:rPr>
        <w:t xml:space="preserve">, M. (2020). Intercultural contact, hybridity, and third space. In J. Jackson (Ed.), </w:t>
      </w:r>
      <w:r w:rsidRPr="009C4CEE">
        <w:rPr>
          <w:rFonts w:ascii="Garamond" w:hAnsi="Garamond" w:cs="Times New Roman"/>
          <w:i/>
          <w:iCs/>
          <w:sz w:val="20"/>
          <w:szCs w:val="20"/>
        </w:rPr>
        <w:t>The Routledge Handbook of Language and Intercultural Communication (2</w:t>
      </w:r>
      <w:r w:rsidRPr="009C4CEE">
        <w:rPr>
          <w:rFonts w:ascii="Garamond" w:hAnsi="Garamond" w:cs="Times New Roman"/>
          <w:i/>
          <w:iCs/>
          <w:sz w:val="20"/>
          <w:szCs w:val="20"/>
          <w:vertAlign w:val="superscript"/>
        </w:rPr>
        <w:t>nd</w:t>
      </w:r>
      <w:r w:rsidRPr="009C4CEE">
        <w:rPr>
          <w:rFonts w:ascii="Garamond" w:hAnsi="Garamond" w:cs="Times New Roman"/>
          <w:i/>
          <w:iCs/>
          <w:sz w:val="20"/>
          <w:szCs w:val="20"/>
        </w:rPr>
        <w:t xml:space="preserve"> Edition), </w:t>
      </w:r>
      <w:r w:rsidRPr="009C4CEE">
        <w:rPr>
          <w:rFonts w:ascii="Garamond" w:hAnsi="Garamond" w:cs="Times New Roman"/>
          <w:sz w:val="20"/>
          <w:szCs w:val="20"/>
        </w:rPr>
        <w:t>pp. 204-218. Routledge.</w:t>
      </w:r>
    </w:p>
    <w:p w14:paraId="2E6640EF" w14:textId="77777777" w:rsidR="009C4CEE" w:rsidRPr="009C4CEE" w:rsidRDefault="009C4CEE" w:rsidP="009C4CEE">
      <w:pPr>
        <w:ind w:left="720" w:hanging="720"/>
        <w:rPr>
          <w:rFonts w:ascii="Garamond" w:hAnsi="Garamond" w:cs="Times New Roman"/>
          <w:i/>
          <w:iCs/>
          <w:sz w:val="20"/>
          <w:szCs w:val="20"/>
        </w:rPr>
      </w:pPr>
      <w:r w:rsidRPr="009C4CEE">
        <w:rPr>
          <w:rFonts w:ascii="Garamond" w:hAnsi="Garamond" w:cs="Times New Roman"/>
          <w:sz w:val="20"/>
          <w:szCs w:val="20"/>
        </w:rPr>
        <w:t xml:space="preserve">Kramsch, C., &amp; Whiteside, A. (2008). Language ecology in multilingual settings. Towards a theory of symbolic competence. </w:t>
      </w:r>
      <w:r w:rsidRPr="009C4CEE">
        <w:rPr>
          <w:rFonts w:ascii="Garamond" w:hAnsi="Garamond" w:cs="Times New Roman"/>
          <w:i/>
          <w:iCs/>
          <w:sz w:val="20"/>
          <w:szCs w:val="20"/>
        </w:rPr>
        <w:t xml:space="preserve">Applied Linguistics, 29, 645–671. </w:t>
      </w:r>
      <w:hyperlink r:id="rId11" w:history="1">
        <w:r w:rsidRPr="009C4CEE">
          <w:rPr>
            <w:rStyle w:val="Hyperlink"/>
            <w:rFonts w:ascii="Garamond" w:hAnsi="Garamond" w:cs="Times New Roman"/>
            <w:i/>
            <w:iCs/>
            <w:sz w:val="20"/>
            <w:szCs w:val="20"/>
          </w:rPr>
          <w:t>https://doi.org/10.1093/applin/amn022</w:t>
        </w:r>
      </w:hyperlink>
      <w:r w:rsidRPr="009C4CEE" w:rsidDel="00324C48">
        <w:rPr>
          <w:rFonts w:ascii="Garamond" w:hAnsi="Garamond" w:cs="Times New Roman"/>
          <w:i/>
          <w:iCs/>
          <w:sz w:val="20"/>
          <w:szCs w:val="20"/>
        </w:rPr>
        <w:t xml:space="preserve"> </w:t>
      </w:r>
    </w:p>
    <w:p w14:paraId="23D5DAB5"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Kubota, R. (1999). Japanese culture constructed by discourses: Implications for applied linguistics research and ELT. </w:t>
      </w:r>
      <w:r w:rsidRPr="009C4CEE">
        <w:rPr>
          <w:rFonts w:ascii="Garamond" w:hAnsi="Garamond" w:cs="Times New Roman"/>
          <w:i/>
          <w:iCs/>
          <w:sz w:val="20"/>
          <w:szCs w:val="20"/>
        </w:rPr>
        <w:t>TESOL Quarterly,</w:t>
      </w:r>
      <w:r w:rsidRPr="009C4CEE">
        <w:rPr>
          <w:rFonts w:ascii="Garamond" w:hAnsi="Garamond" w:cs="Times New Roman"/>
          <w:sz w:val="20"/>
          <w:szCs w:val="20"/>
        </w:rPr>
        <w:t> </w:t>
      </w:r>
      <w:r w:rsidRPr="009C4CEE">
        <w:rPr>
          <w:rFonts w:ascii="Garamond" w:hAnsi="Garamond" w:cs="Times New Roman"/>
          <w:i/>
          <w:iCs/>
          <w:sz w:val="20"/>
          <w:szCs w:val="20"/>
        </w:rPr>
        <w:t>33</w:t>
      </w:r>
      <w:r w:rsidRPr="009C4CEE">
        <w:rPr>
          <w:rFonts w:ascii="Garamond" w:hAnsi="Garamond" w:cs="Times New Roman"/>
          <w:sz w:val="20"/>
          <w:szCs w:val="20"/>
        </w:rPr>
        <w:t>(1), 9-35. doi:10.2307/3588189</w:t>
      </w:r>
    </w:p>
    <w:p w14:paraId="5E3408F9"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Lakoff, R. (1973). The logic of </w:t>
      </w:r>
      <w:proofErr w:type="gramStart"/>
      <w:r w:rsidRPr="009C4CEE">
        <w:rPr>
          <w:rFonts w:ascii="Garamond" w:hAnsi="Garamond" w:cs="Times New Roman"/>
          <w:sz w:val="20"/>
          <w:szCs w:val="20"/>
        </w:rPr>
        <w:t>politeness, or</w:t>
      </w:r>
      <w:proofErr w:type="gramEnd"/>
      <w:r w:rsidRPr="009C4CEE">
        <w:rPr>
          <w:rFonts w:ascii="Garamond" w:hAnsi="Garamond" w:cs="Times New Roman"/>
          <w:sz w:val="20"/>
          <w:szCs w:val="20"/>
        </w:rPr>
        <w:t xml:space="preserve"> minding your P’s and Q’s. </w:t>
      </w:r>
      <w:r w:rsidRPr="009C4CEE">
        <w:rPr>
          <w:rFonts w:ascii="Garamond" w:hAnsi="Garamond" w:cs="Times New Roman"/>
          <w:i/>
          <w:iCs/>
          <w:sz w:val="20"/>
          <w:szCs w:val="20"/>
        </w:rPr>
        <w:t>Chicago Linguistics Society</w:t>
      </w:r>
      <w:r w:rsidRPr="009C4CEE">
        <w:rPr>
          <w:rFonts w:ascii="Garamond" w:hAnsi="Garamond" w:cs="Times New Roman"/>
          <w:sz w:val="20"/>
          <w:szCs w:val="20"/>
        </w:rPr>
        <w:t>, 9, 292-305.</w:t>
      </w:r>
    </w:p>
    <w:p w14:paraId="0D4933A4"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Larsen-Freeman, D., &amp; Cameron, D. (2008). </w:t>
      </w:r>
      <w:r w:rsidRPr="009C4CEE">
        <w:rPr>
          <w:rFonts w:ascii="Garamond" w:hAnsi="Garamond" w:cs="Times New Roman"/>
          <w:i/>
          <w:iCs/>
          <w:sz w:val="20"/>
          <w:szCs w:val="20"/>
        </w:rPr>
        <w:t>Complexity theory and second language learning</w:t>
      </w:r>
      <w:r w:rsidRPr="009C4CEE">
        <w:rPr>
          <w:rFonts w:ascii="Garamond" w:hAnsi="Garamond" w:cs="Times New Roman"/>
          <w:sz w:val="20"/>
          <w:szCs w:val="20"/>
        </w:rPr>
        <w:t>. Oxford University Press.</w:t>
      </w:r>
    </w:p>
    <w:p w14:paraId="4C4EE5BB"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Lawrence, E. J., Shaw, P., Baker, D., Baron-Cohen, S., &amp; David, A. S. (2004). Measuring empathy: Reliability and validity of the empathy quotient. </w:t>
      </w:r>
      <w:r w:rsidRPr="009C4CEE">
        <w:rPr>
          <w:rFonts w:ascii="Garamond" w:hAnsi="Garamond" w:cs="Times New Roman"/>
          <w:i/>
          <w:iCs/>
          <w:sz w:val="20"/>
          <w:szCs w:val="20"/>
        </w:rPr>
        <w:t>Psychological Medicine</w:t>
      </w:r>
      <w:r w:rsidRPr="009C4CEE">
        <w:rPr>
          <w:rFonts w:ascii="Garamond" w:hAnsi="Garamond" w:cs="Times New Roman"/>
          <w:sz w:val="20"/>
          <w:szCs w:val="20"/>
        </w:rPr>
        <w:t>, </w:t>
      </w:r>
      <w:r w:rsidRPr="009C4CEE">
        <w:rPr>
          <w:rFonts w:ascii="Garamond" w:hAnsi="Garamond" w:cs="Times New Roman"/>
          <w:i/>
          <w:iCs/>
          <w:sz w:val="20"/>
          <w:szCs w:val="20"/>
        </w:rPr>
        <w:t>34</w:t>
      </w:r>
      <w:r w:rsidRPr="009C4CEE">
        <w:rPr>
          <w:rFonts w:ascii="Garamond" w:hAnsi="Garamond" w:cs="Times New Roman"/>
          <w:sz w:val="20"/>
          <w:szCs w:val="20"/>
        </w:rPr>
        <w:t xml:space="preserve">(5), 911–919. </w:t>
      </w:r>
      <w:hyperlink r:id="rId12" w:history="1">
        <w:r w:rsidRPr="009C4CEE">
          <w:rPr>
            <w:rFonts w:ascii="Garamond" w:hAnsi="Garamond" w:cs="Times New Roman"/>
            <w:sz w:val="20"/>
            <w:szCs w:val="20"/>
            <w:u w:val="single"/>
          </w:rPr>
          <w:t>https://doi.org/10.1017/s0033291703001624</w:t>
        </w:r>
      </w:hyperlink>
    </w:p>
    <w:p w14:paraId="09D017E5"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MacDonald, K., &amp; MacDonald, T. M. (2010). The peptide that binds. </w:t>
      </w:r>
      <w:r w:rsidRPr="009C4CEE">
        <w:rPr>
          <w:rFonts w:ascii="Garamond" w:hAnsi="Garamond" w:cs="Times New Roman"/>
          <w:i/>
          <w:iCs/>
          <w:sz w:val="20"/>
          <w:szCs w:val="20"/>
        </w:rPr>
        <w:t>Harvard Review of Psychiatry</w:t>
      </w:r>
      <w:r w:rsidRPr="009C4CEE">
        <w:rPr>
          <w:rFonts w:ascii="Garamond" w:hAnsi="Garamond" w:cs="Times New Roman"/>
          <w:sz w:val="20"/>
          <w:szCs w:val="20"/>
        </w:rPr>
        <w:t xml:space="preserve">, </w:t>
      </w:r>
      <w:r w:rsidRPr="009C4CEE">
        <w:rPr>
          <w:rFonts w:ascii="Garamond" w:hAnsi="Garamond" w:cs="Times New Roman"/>
          <w:i/>
          <w:iCs/>
          <w:sz w:val="20"/>
          <w:szCs w:val="20"/>
        </w:rPr>
        <w:t>18</w:t>
      </w:r>
      <w:r w:rsidRPr="009C4CEE">
        <w:rPr>
          <w:rFonts w:ascii="Garamond" w:hAnsi="Garamond" w:cs="Times New Roman"/>
          <w:sz w:val="20"/>
          <w:szCs w:val="20"/>
        </w:rPr>
        <w:t xml:space="preserve">(1), 1–21. </w:t>
      </w:r>
      <w:hyperlink r:id="rId13" w:history="1">
        <w:r w:rsidRPr="009C4CEE">
          <w:rPr>
            <w:rFonts w:ascii="Garamond" w:hAnsi="Garamond" w:cs="Times New Roman"/>
            <w:sz w:val="20"/>
            <w:szCs w:val="20"/>
            <w:u w:val="single"/>
          </w:rPr>
          <w:t>https://doi.org/10.3109/10673220903523615</w:t>
        </w:r>
      </w:hyperlink>
    </w:p>
    <w:p w14:paraId="0F316152"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MLA Ad Hoc Committee on Foreign Languages. (2007). Foreign languages and higher education: New structures for a changed world. </w:t>
      </w:r>
      <w:r w:rsidRPr="009C4CEE">
        <w:rPr>
          <w:rFonts w:ascii="Garamond" w:hAnsi="Garamond" w:cs="Times New Roman"/>
          <w:i/>
          <w:iCs/>
          <w:sz w:val="20"/>
          <w:szCs w:val="20"/>
        </w:rPr>
        <w:t>Modern Language Association</w:t>
      </w:r>
      <w:r w:rsidRPr="009C4CEE">
        <w:rPr>
          <w:rFonts w:ascii="Garamond" w:hAnsi="Garamond" w:cs="Times New Roman"/>
          <w:sz w:val="20"/>
          <w:szCs w:val="20"/>
        </w:rPr>
        <w:t xml:space="preserve">. https://www.mla.org/flreport </w:t>
      </w:r>
    </w:p>
    <w:p w14:paraId="746F31F2" w14:textId="77777777" w:rsidR="009C4CEE" w:rsidRPr="009C4CEE" w:rsidRDefault="009C4CEE" w:rsidP="009C4CEE">
      <w:pPr>
        <w:ind w:left="720" w:hanging="720"/>
        <w:rPr>
          <w:rFonts w:ascii="Garamond" w:hAnsi="Garamond" w:cs="Times New Roman"/>
          <w:color w:val="2A2A2A"/>
          <w:sz w:val="20"/>
          <w:szCs w:val="20"/>
          <w:shd w:val="clear" w:color="auto" w:fill="FFFFFF"/>
        </w:rPr>
      </w:pPr>
      <w:r w:rsidRPr="009C4CEE">
        <w:rPr>
          <w:rFonts w:ascii="Garamond" w:hAnsi="Garamond" w:cs="Times New Roman"/>
          <w:sz w:val="20"/>
          <w:szCs w:val="20"/>
        </w:rPr>
        <w:t xml:space="preserve">McNamara, T. F. (2012). Poststructuralism and its challenges for applied linguistics. </w:t>
      </w:r>
      <w:r w:rsidRPr="009C4CEE">
        <w:rPr>
          <w:rFonts w:ascii="Garamond" w:hAnsi="Garamond" w:cs="Times New Roman"/>
          <w:i/>
          <w:iCs/>
          <w:sz w:val="20"/>
          <w:szCs w:val="20"/>
        </w:rPr>
        <w:t>Applied Linguistics</w:t>
      </w:r>
      <w:r w:rsidRPr="009C4CEE">
        <w:rPr>
          <w:rFonts w:ascii="Garamond" w:hAnsi="Garamond" w:cs="Times New Roman"/>
          <w:sz w:val="20"/>
          <w:szCs w:val="20"/>
        </w:rPr>
        <w:t xml:space="preserve">, </w:t>
      </w:r>
      <w:r w:rsidRPr="009C4CEE">
        <w:rPr>
          <w:rFonts w:ascii="Garamond" w:hAnsi="Garamond" w:cs="Times New Roman"/>
          <w:i/>
          <w:iCs/>
          <w:color w:val="2A2A2A"/>
          <w:sz w:val="20"/>
          <w:szCs w:val="20"/>
          <w:shd w:val="clear" w:color="auto" w:fill="FFFFFF"/>
        </w:rPr>
        <w:t>33</w:t>
      </w:r>
      <w:r w:rsidRPr="009C4CEE">
        <w:rPr>
          <w:rFonts w:ascii="Garamond" w:hAnsi="Garamond" w:cs="Times New Roman"/>
          <w:color w:val="2A2A2A"/>
          <w:sz w:val="20"/>
          <w:szCs w:val="20"/>
          <w:shd w:val="clear" w:color="auto" w:fill="FFFFFF"/>
        </w:rPr>
        <w:t>(5), 473–482</w:t>
      </w:r>
    </w:p>
    <w:p w14:paraId="68DC02BA" w14:textId="16CBF654" w:rsidR="009C4CEE" w:rsidRPr="009C4CEE" w:rsidRDefault="009C4CEE" w:rsidP="009C4CEE">
      <w:pPr>
        <w:ind w:left="720" w:hanging="720"/>
        <w:rPr>
          <w:rFonts w:ascii="Garamond" w:hAnsi="Garamond" w:cs="Times New Roman"/>
          <w:sz w:val="20"/>
          <w:szCs w:val="20"/>
        </w:rPr>
      </w:pPr>
      <w:bookmarkStart w:id="13" w:name="_Hlk112446263"/>
      <w:proofErr w:type="spellStart"/>
      <w:r w:rsidRPr="009C4CEE">
        <w:rPr>
          <w:rFonts w:ascii="Garamond" w:hAnsi="Garamond" w:cs="Times New Roman"/>
          <w:sz w:val="20"/>
          <w:szCs w:val="20"/>
        </w:rPr>
        <w:t>Nummenmaa</w:t>
      </w:r>
      <w:bookmarkEnd w:id="13"/>
      <w:proofErr w:type="spellEnd"/>
      <w:r w:rsidRPr="009C4CEE">
        <w:rPr>
          <w:rFonts w:ascii="Garamond" w:hAnsi="Garamond" w:cs="Times New Roman"/>
          <w:sz w:val="20"/>
          <w:szCs w:val="20"/>
        </w:rPr>
        <w:t xml:space="preserve">, L., Hirvonen, J., </w:t>
      </w:r>
      <w:proofErr w:type="spellStart"/>
      <w:r w:rsidRPr="009C4CEE">
        <w:rPr>
          <w:rFonts w:ascii="Garamond" w:hAnsi="Garamond" w:cs="Times New Roman"/>
          <w:sz w:val="20"/>
          <w:szCs w:val="20"/>
        </w:rPr>
        <w:t>Parkkola</w:t>
      </w:r>
      <w:proofErr w:type="spellEnd"/>
      <w:r w:rsidRPr="009C4CEE">
        <w:rPr>
          <w:rFonts w:ascii="Garamond" w:hAnsi="Garamond" w:cs="Times New Roman"/>
          <w:sz w:val="20"/>
          <w:szCs w:val="20"/>
        </w:rPr>
        <w:t>, R., &amp; Hietanen, J. K. (2008). Is emotional contagion special? An fMRI study on neural systems for affective and cognitive empathy. </w:t>
      </w:r>
      <w:r w:rsidRPr="009C4CEE">
        <w:rPr>
          <w:rFonts w:ascii="Garamond" w:hAnsi="Garamond" w:cs="Times New Roman"/>
          <w:i/>
          <w:iCs/>
          <w:sz w:val="20"/>
          <w:szCs w:val="20"/>
        </w:rPr>
        <w:t>Neuro</w:t>
      </w:r>
      <w:r w:rsidR="00880745">
        <w:rPr>
          <w:rFonts w:ascii="Garamond" w:eastAsia="MS Gothic" w:hAnsi="Garamond" w:cs="MS Gothic"/>
          <w:i/>
          <w:iCs/>
          <w:sz w:val="20"/>
          <w:szCs w:val="20"/>
        </w:rPr>
        <w:t xml:space="preserve"> </w:t>
      </w:r>
      <w:r w:rsidRPr="009C4CEE">
        <w:rPr>
          <w:rFonts w:ascii="Garamond" w:hAnsi="Garamond" w:cs="Times New Roman"/>
          <w:i/>
          <w:iCs/>
          <w:sz w:val="20"/>
          <w:szCs w:val="20"/>
        </w:rPr>
        <w:t>Image</w:t>
      </w:r>
      <w:r w:rsidRPr="009C4CEE">
        <w:rPr>
          <w:rFonts w:ascii="Garamond" w:hAnsi="Garamond" w:cs="Times New Roman"/>
          <w:sz w:val="20"/>
          <w:szCs w:val="20"/>
        </w:rPr>
        <w:t>, </w:t>
      </w:r>
      <w:r w:rsidRPr="009C4CEE">
        <w:rPr>
          <w:rFonts w:ascii="Garamond" w:hAnsi="Garamond" w:cs="Times New Roman"/>
          <w:i/>
          <w:iCs/>
          <w:sz w:val="20"/>
          <w:szCs w:val="20"/>
        </w:rPr>
        <w:t>43</w:t>
      </w:r>
      <w:r w:rsidRPr="009C4CEE">
        <w:rPr>
          <w:rFonts w:ascii="Garamond" w:hAnsi="Garamond" w:cs="Times New Roman"/>
          <w:sz w:val="20"/>
          <w:szCs w:val="20"/>
        </w:rPr>
        <w:t xml:space="preserve">(3), 571–580. </w:t>
      </w:r>
      <w:hyperlink r:id="rId14" w:history="1">
        <w:r w:rsidRPr="009C4CEE">
          <w:rPr>
            <w:rStyle w:val="Hyperlink"/>
            <w:rFonts w:ascii="Garamond" w:hAnsi="Garamond" w:cs="Times New Roman"/>
            <w:sz w:val="20"/>
            <w:szCs w:val="20"/>
          </w:rPr>
          <w:t>https://doi.org/10.1016/j.neuroimage.2008.08.014</w:t>
        </w:r>
      </w:hyperlink>
    </w:p>
    <w:p w14:paraId="5B619679"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Ozick, C. (1987). </w:t>
      </w:r>
      <w:r w:rsidRPr="009C4CEE">
        <w:rPr>
          <w:rFonts w:ascii="Garamond" w:hAnsi="Garamond" w:cs="Times New Roman"/>
          <w:i/>
          <w:iCs/>
          <w:sz w:val="20"/>
          <w:szCs w:val="20"/>
        </w:rPr>
        <w:t>Metaphor and memory</w:t>
      </w:r>
      <w:r w:rsidRPr="009C4CEE">
        <w:rPr>
          <w:rFonts w:ascii="Garamond" w:hAnsi="Garamond" w:cs="Times New Roman"/>
          <w:sz w:val="20"/>
          <w:szCs w:val="20"/>
        </w:rPr>
        <w:t>. Knopf.</w:t>
      </w:r>
    </w:p>
    <w:p w14:paraId="49D6984B" w14:textId="3E73419A"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Porto, M., &amp; Byram, M. (2015). A curriculum for action in the community and intercultural citizenship in higher education. </w:t>
      </w:r>
      <w:r w:rsidRPr="00880745">
        <w:rPr>
          <w:rFonts w:ascii="Garamond" w:hAnsi="Garamond" w:cs="Times New Roman"/>
          <w:i/>
          <w:iCs/>
          <w:sz w:val="20"/>
          <w:szCs w:val="20"/>
        </w:rPr>
        <w:t>Language, Culture and Curriculum, 28</w:t>
      </w:r>
      <w:r w:rsidRPr="009C4CEE">
        <w:rPr>
          <w:rFonts w:ascii="Garamond" w:hAnsi="Garamond" w:cs="Times New Roman"/>
          <w:sz w:val="20"/>
          <w:szCs w:val="20"/>
        </w:rPr>
        <w:t>(3), 226–242. https://doi.org/10.1080/07908318.2015.1085282</w:t>
      </w:r>
      <w:r w:rsidRPr="009C4CEE" w:rsidDel="00AE65F0">
        <w:rPr>
          <w:rFonts w:ascii="Garamond" w:hAnsi="Garamond" w:cs="Times New Roman"/>
          <w:sz w:val="20"/>
          <w:szCs w:val="20"/>
        </w:rPr>
        <w:t xml:space="preserve"> </w:t>
      </w:r>
    </w:p>
    <w:p w14:paraId="489D4425"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Pratt, M. L. (2017). </w:t>
      </w:r>
      <w:r w:rsidRPr="009C4CEE">
        <w:rPr>
          <w:rFonts w:ascii="Garamond" w:hAnsi="Garamond" w:cs="Times New Roman"/>
          <w:i/>
          <w:iCs/>
          <w:sz w:val="20"/>
          <w:szCs w:val="20"/>
        </w:rPr>
        <w:t>Imperial eyes: Travel writing and transculturation</w:t>
      </w:r>
      <w:r w:rsidRPr="009C4CEE">
        <w:rPr>
          <w:rFonts w:ascii="Garamond" w:hAnsi="Garamond" w:cs="Times New Roman"/>
          <w:sz w:val="20"/>
          <w:szCs w:val="20"/>
        </w:rPr>
        <w:t xml:space="preserve"> (2nd ed.). Routledge.</w:t>
      </w:r>
      <w:r w:rsidRPr="009C4CEE" w:rsidDel="00DB123C">
        <w:rPr>
          <w:rFonts w:ascii="Garamond" w:hAnsi="Garamond" w:cs="Times New Roman"/>
          <w:sz w:val="20"/>
          <w:szCs w:val="20"/>
        </w:rPr>
        <w:t xml:space="preserve"> </w:t>
      </w:r>
    </w:p>
    <w:p w14:paraId="544C238B" w14:textId="77777777" w:rsidR="009C4CEE" w:rsidRPr="009C4CEE" w:rsidRDefault="009C4CEE" w:rsidP="009C4CEE">
      <w:pPr>
        <w:ind w:left="720" w:hanging="720"/>
        <w:rPr>
          <w:rFonts w:ascii="Garamond" w:hAnsi="Garamond" w:cs="Times New Roman"/>
          <w:sz w:val="20"/>
          <w:szCs w:val="20"/>
        </w:rPr>
      </w:pPr>
      <w:bookmarkStart w:id="14" w:name="_Hlk112447243"/>
      <w:proofErr w:type="spellStart"/>
      <w:r w:rsidRPr="009C4CEE">
        <w:rPr>
          <w:rFonts w:ascii="Garamond" w:hAnsi="Garamond" w:cs="Times New Roman"/>
          <w:sz w:val="20"/>
          <w:szCs w:val="20"/>
        </w:rPr>
        <w:t>Rizzolatti</w:t>
      </w:r>
      <w:proofErr w:type="spellEnd"/>
      <w:r w:rsidRPr="009C4CEE">
        <w:rPr>
          <w:rFonts w:ascii="Garamond" w:hAnsi="Garamond" w:cs="Times New Roman"/>
          <w:sz w:val="20"/>
          <w:szCs w:val="20"/>
        </w:rPr>
        <w:t xml:space="preserve">, G., &amp; </w:t>
      </w:r>
      <w:proofErr w:type="spellStart"/>
      <w:r w:rsidRPr="009C4CEE">
        <w:rPr>
          <w:rFonts w:ascii="Garamond" w:hAnsi="Garamond" w:cs="Times New Roman"/>
          <w:sz w:val="20"/>
          <w:szCs w:val="20"/>
        </w:rPr>
        <w:t>Craighero</w:t>
      </w:r>
      <w:proofErr w:type="spellEnd"/>
      <w:r w:rsidRPr="009C4CEE">
        <w:rPr>
          <w:rFonts w:ascii="Garamond" w:hAnsi="Garamond" w:cs="Times New Roman"/>
          <w:sz w:val="20"/>
          <w:szCs w:val="20"/>
        </w:rPr>
        <w:t xml:space="preserve">, L. (2005). Mirror neurons: A neurological approach to empathy. In J. P. Changeux, A. R. Damasio, W. Singer, &amp; Y. Christen (Eds.), </w:t>
      </w:r>
      <w:r w:rsidRPr="009C4CEE">
        <w:rPr>
          <w:rFonts w:ascii="Garamond" w:hAnsi="Garamond" w:cs="Times New Roman"/>
          <w:i/>
          <w:iCs/>
          <w:sz w:val="20"/>
          <w:szCs w:val="20"/>
        </w:rPr>
        <w:t>Neurobiology of human values</w:t>
      </w:r>
      <w:r w:rsidRPr="009C4CEE">
        <w:rPr>
          <w:rFonts w:ascii="Garamond" w:hAnsi="Garamond" w:cs="Times New Roman"/>
          <w:sz w:val="20"/>
          <w:szCs w:val="20"/>
        </w:rPr>
        <w:t xml:space="preserve"> (pp. 107–124). Berlin: Springer. </w:t>
      </w:r>
      <w:hyperlink r:id="rId15" w:history="1">
        <w:r w:rsidRPr="009C4CEE">
          <w:rPr>
            <w:rStyle w:val="Hyperlink"/>
            <w:rFonts w:ascii="Garamond" w:hAnsi="Garamond" w:cs="Times New Roman"/>
            <w:sz w:val="20"/>
            <w:szCs w:val="20"/>
          </w:rPr>
          <w:t>https://doi.org/10.1007/3-540-29803-7_9</w:t>
        </w:r>
      </w:hyperlink>
      <w:r w:rsidRPr="009C4CEE" w:rsidDel="00DB123C">
        <w:rPr>
          <w:rFonts w:ascii="Garamond" w:hAnsi="Garamond" w:cs="Times New Roman"/>
          <w:sz w:val="20"/>
          <w:szCs w:val="20"/>
        </w:rPr>
        <w:t xml:space="preserve"> </w:t>
      </w:r>
    </w:p>
    <w:bookmarkEnd w:id="14"/>
    <w:p w14:paraId="07FC7F1D"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Said, E. W. (1995). </w:t>
      </w:r>
      <w:r w:rsidRPr="009C4CEE">
        <w:rPr>
          <w:rFonts w:ascii="Garamond" w:hAnsi="Garamond" w:cs="Times New Roman"/>
          <w:i/>
          <w:iCs/>
          <w:sz w:val="20"/>
          <w:szCs w:val="20"/>
        </w:rPr>
        <w:t>Orientalism: Western concepts of the Orient</w:t>
      </w:r>
      <w:r w:rsidRPr="009C4CEE">
        <w:rPr>
          <w:rFonts w:ascii="Garamond" w:hAnsi="Garamond" w:cs="Times New Roman"/>
          <w:sz w:val="20"/>
          <w:szCs w:val="20"/>
        </w:rPr>
        <w:t>. Penguin Books.</w:t>
      </w:r>
    </w:p>
    <w:p w14:paraId="7CA5396C"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Shibusawa, N. (2006). </w:t>
      </w:r>
      <w:r w:rsidRPr="009C4CEE">
        <w:rPr>
          <w:rFonts w:ascii="Garamond" w:hAnsi="Garamond" w:cs="Times New Roman"/>
          <w:i/>
          <w:iCs/>
          <w:sz w:val="20"/>
          <w:szCs w:val="20"/>
        </w:rPr>
        <w:t>America's geisha ally: Reimagining the Japanese enemy</w:t>
      </w:r>
      <w:r w:rsidRPr="009C4CEE">
        <w:rPr>
          <w:rFonts w:ascii="Garamond" w:hAnsi="Garamond" w:cs="Times New Roman"/>
          <w:sz w:val="20"/>
          <w:szCs w:val="20"/>
        </w:rPr>
        <w:t>. Harvard University Press.</w:t>
      </w:r>
      <w:r w:rsidRPr="009C4CEE" w:rsidDel="00DB123C">
        <w:rPr>
          <w:rFonts w:ascii="Garamond" w:hAnsi="Garamond" w:cs="Times New Roman"/>
          <w:sz w:val="20"/>
          <w:szCs w:val="20"/>
        </w:rPr>
        <w:t xml:space="preserve"> </w:t>
      </w:r>
    </w:p>
    <w:p w14:paraId="1D5F5AEF" w14:textId="77777777" w:rsidR="00880745" w:rsidRDefault="009C4CEE" w:rsidP="00880745">
      <w:pPr>
        <w:ind w:left="720" w:hanging="720"/>
        <w:rPr>
          <w:rFonts w:ascii="Garamond" w:hAnsi="Garamond" w:cs="Times New Roman"/>
          <w:sz w:val="20"/>
          <w:szCs w:val="20"/>
        </w:rPr>
      </w:pPr>
      <w:r w:rsidRPr="009C4CEE">
        <w:rPr>
          <w:rFonts w:ascii="Garamond" w:hAnsi="Garamond" w:cs="Times New Roman"/>
          <w:sz w:val="20"/>
          <w:szCs w:val="20"/>
        </w:rPr>
        <w:t>Simpson, P. (2003). </w:t>
      </w:r>
      <w:r w:rsidRPr="009C4CEE">
        <w:rPr>
          <w:rFonts w:ascii="Garamond" w:hAnsi="Garamond" w:cs="Times New Roman"/>
          <w:i/>
          <w:iCs/>
          <w:sz w:val="20"/>
          <w:szCs w:val="20"/>
        </w:rPr>
        <w:t>Language, ideology and point of view</w:t>
      </w:r>
      <w:r w:rsidRPr="009C4CEE">
        <w:rPr>
          <w:rFonts w:ascii="Garamond" w:hAnsi="Garamond" w:cs="Times New Roman"/>
          <w:sz w:val="20"/>
          <w:szCs w:val="20"/>
        </w:rPr>
        <w:t>. Routledge.</w:t>
      </w:r>
    </w:p>
    <w:p w14:paraId="29B42C1C" w14:textId="6CF8BC5E" w:rsidR="009C4CEE" w:rsidRPr="00880745" w:rsidRDefault="009C4CEE" w:rsidP="00880745">
      <w:pPr>
        <w:ind w:left="720" w:hanging="720"/>
        <w:rPr>
          <w:rFonts w:ascii="Garamond" w:hAnsi="Garamond" w:cs="Times New Roman"/>
          <w:sz w:val="20"/>
          <w:szCs w:val="20"/>
        </w:rPr>
      </w:pPr>
      <w:proofErr w:type="spellStart"/>
      <w:r w:rsidRPr="009C4CEE">
        <w:rPr>
          <w:rFonts w:ascii="Garamond" w:eastAsia="Times New Roman" w:hAnsi="Garamond" w:cs="Times New Roman"/>
          <w:color w:val="000000"/>
          <w:sz w:val="20"/>
          <w:szCs w:val="20"/>
        </w:rPr>
        <w:t>Teicholz</w:t>
      </w:r>
      <w:proofErr w:type="spellEnd"/>
      <w:r w:rsidRPr="009C4CEE">
        <w:rPr>
          <w:rFonts w:ascii="Garamond" w:eastAsia="Times New Roman" w:hAnsi="Garamond" w:cs="Times New Roman"/>
          <w:color w:val="000000"/>
          <w:sz w:val="20"/>
          <w:szCs w:val="20"/>
        </w:rPr>
        <w:t xml:space="preserve">, T. </w:t>
      </w:r>
      <w:r w:rsidRPr="009C4CEE">
        <w:rPr>
          <w:rFonts w:ascii="Garamond" w:hAnsi="Garamond" w:cs="Times New Roman"/>
          <w:color w:val="000000"/>
          <w:sz w:val="20"/>
          <w:szCs w:val="20"/>
        </w:rPr>
        <w:t>(</w:t>
      </w:r>
      <w:r w:rsidRPr="009C4CEE">
        <w:rPr>
          <w:rFonts w:ascii="Garamond" w:eastAsia="Times New Roman" w:hAnsi="Garamond" w:cs="Times New Roman"/>
          <w:color w:val="000000"/>
          <w:sz w:val="20"/>
          <w:szCs w:val="20"/>
        </w:rPr>
        <w:t>1987</w:t>
      </w:r>
      <w:r w:rsidRPr="009C4CEE">
        <w:rPr>
          <w:rFonts w:ascii="Garamond" w:hAnsi="Garamond" w:cs="Times New Roman"/>
          <w:color w:val="000000"/>
          <w:sz w:val="20"/>
          <w:szCs w:val="20"/>
        </w:rPr>
        <w:t>)</w:t>
      </w:r>
      <w:r w:rsidRPr="009C4CEE">
        <w:rPr>
          <w:rFonts w:ascii="Garamond" w:eastAsia="Times New Roman" w:hAnsi="Garamond" w:cs="Times New Roman"/>
          <w:color w:val="000000"/>
          <w:sz w:val="20"/>
          <w:szCs w:val="20"/>
        </w:rPr>
        <w:t xml:space="preserve">. The art of fiction XCV. Cynthia Ozick. </w:t>
      </w:r>
      <w:r w:rsidRPr="009C4CEE">
        <w:rPr>
          <w:rFonts w:ascii="Garamond" w:eastAsia="Times New Roman" w:hAnsi="Garamond" w:cs="Times New Roman"/>
          <w:i/>
          <w:iCs/>
          <w:color w:val="000000"/>
          <w:sz w:val="20"/>
          <w:szCs w:val="20"/>
        </w:rPr>
        <w:t>Paris Review</w:t>
      </w:r>
      <w:r w:rsidRPr="009C4CEE">
        <w:rPr>
          <w:rFonts w:ascii="Garamond" w:eastAsia="Times New Roman" w:hAnsi="Garamond" w:cs="Times New Roman"/>
          <w:color w:val="000000"/>
          <w:sz w:val="20"/>
          <w:szCs w:val="20"/>
        </w:rPr>
        <w:t xml:space="preserve"> 102: 154-190.</w:t>
      </w:r>
    </w:p>
    <w:p w14:paraId="000CEAB8" w14:textId="77777777" w:rsidR="009C4CEE" w:rsidRPr="009C4CEE" w:rsidRDefault="009C4CEE" w:rsidP="009C4CEE">
      <w:pPr>
        <w:ind w:left="720" w:hanging="720"/>
        <w:rPr>
          <w:rFonts w:ascii="Garamond" w:hAnsi="Garamond" w:cs="Times New Roman"/>
          <w:sz w:val="20"/>
          <w:szCs w:val="20"/>
        </w:rPr>
      </w:pPr>
      <w:r w:rsidRPr="009C4CEE">
        <w:rPr>
          <w:rFonts w:ascii="Garamond" w:hAnsi="Garamond" w:cs="Times New Roman"/>
          <w:sz w:val="20"/>
          <w:szCs w:val="20"/>
        </w:rPr>
        <w:t xml:space="preserve">Teo, A. R., &amp; Gaw, A. C. (2010). Hikikomori, a Japanese culture-bound syndrome of social </w:t>
      </w:r>
      <w:proofErr w:type="gramStart"/>
      <w:r w:rsidRPr="009C4CEE">
        <w:rPr>
          <w:rFonts w:ascii="Garamond" w:hAnsi="Garamond" w:cs="Times New Roman"/>
          <w:sz w:val="20"/>
          <w:szCs w:val="20"/>
        </w:rPr>
        <w:t>withdrawal?:</w:t>
      </w:r>
      <w:proofErr w:type="gramEnd"/>
      <w:r w:rsidRPr="009C4CEE">
        <w:rPr>
          <w:rFonts w:ascii="Garamond" w:hAnsi="Garamond" w:cs="Times New Roman"/>
          <w:sz w:val="20"/>
          <w:szCs w:val="20"/>
        </w:rPr>
        <w:t xml:space="preserve"> A proposal for DSM-5. </w:t>
      </w:r>
      <w:r w:rsidRPr="009C4CEE">
        <w:rPr>
          <w:rFonts w:ascii="Garamond" w:hAnsi="Garamond" w:cs="Times New Roman"/>
          <w:i/>
          <w:iCs/>
          <w:sz w:val="20"/>
          <w:szCs w:val="20"/>
        </w:rPr>
        <w:t>Journal of Nervous and Mental Disease</w:t>
      </w:r>
      <w:r w:rsidRPr="009C4CEE">
        <w:rPr>
          <w:rFonts w:ascii="Garamond" w:hAnsi="Garamond" w:cs="Times New Roman"/>
          <w:sz w:val="20"/>
          <w:szCs w:val="20"/>
        </w:rPr>
        <w:t>, </w:t>
      </w:r>
      <w:r w:rsidRPr="009C4CEE">
        <w:rPr>
          <w:rFonts w:ascii="Garamond" w:hAnsi="Garamond" w:cs="Times New Roman"/>
          <w:i/>
          <w:iCs/>
          <w:sz w:val="20"/>
          <w:szCs w:val="20"/>
        </w:rPr>
        <w:t>198</w:t>
      </w:r>
      <w:r w:rsidRPr="009C4CEE">
        <w:rPr>
          <w:rFonts w:ascii="Garamond" w:hAnsi="Garamond" w:cs="Times New Roman"/>
          <w:sz w:val="20"/>
          <w:szCs w:val="20"/>
        </w:rPr>
        <w:t xml:space="preserve">(6), 444–449. </w:t>
      </w:r>
      <w:hyperlink r:id="rId16" w:history="1">
        <w:r w:rsidRPr="009C4CEE">
          <w:rPr>
            <w:rFonts w:ascii="Garamond" w:hAnsi="Garamond" w:cs="Times New Roman"/>
            <w:sz w:val="20"/>
            <w:szCs w:val="20"/>
            <w:u w:val="single"/>
          </w:rPr>
          <w:t>https://doi.org/10.1097/NMD.0b013e3181e086b1</w:t>
        </w:r>
      </w:hyperlink>
    </w:p>
    <w:p w14:paraId="7617F2CA" w14:textId="77777777" w:rsidR="004B3065" w:rsidRPr="003901FF" w:rsidRDefault="004B3065" w:rsidP="004B3065">
      <w:pPr>
        <w:rPr>
          <w:lang w:val="de-DE"/>
        </w:rPr>
      </w:pPr>
    </w:p>
    <w:p w14:paraId="2924C5D7" w14:textId="77777777" w:rsidR="006B65B4" w:rsidRPr="0017476A" w:rsidRDefault="006B65B4" w:rsidP="005C461E">
      <w:pPr>
        <w:pStyle w:val="L2JBody"/>
      </w:pPr>
    </w:p>
    <w:sectPr w:rsidR="006B65B4" w:rsidRPr="0017476A">
      <w:headerReference w:type="default" r:id="rId17"/>
      <w:footerReference w:type="even" r:id="rId18"/>
      <w:footerReference w:type="default" r:id="rId19"/>
      <w:headerReference w:type="first" r:id="rId20"/>
      <w:pgSz w:w="12240" w:h="15840"/>
      <w:pgMar w:top="1440" w:right="1800" w:bottom="1440" w:left="180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C6A46" w14:textId="77777777" w:rsidR="00B3644B" w:rsidRDefault="00B3644B">
      <w:r>
        <w:separator/>
      </w:r>
    </w:p>
  </w:endnote>
  <w:endnote w:type="continuationSeparator" w:id="0">
    <w:p w14:paraId="77168BB4" w14:textId="77777777" w:rsidR="00B3644B" w:rsidRDefault="00B36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F2338E63-DCAE-3649-8B48-E46DA6DD6A60}"/>
  </w:font>
  <w:font w:name="Times New Roman">
    <w:panose1 w:val="02020603050405020304"/>
    <w:charset w:val="00"/>
    <w:family w:val="roman"/>
    <w:pitch w:val="variable"/>
    <w:sig w:usb0="E0002EFF" w:usb1="C000785B" w:usb2="00000009" w:usb3="00000000" w:csb0="000001FF" w:csb1="00000000"/>
    <w:embedRegular r:id="rId2" w:fontKey="{91CB2E89-4083-5140-9115-FF82FFDA9E27}"/>
    <w:embedBold r:id="rId3" w:fontKey="{4DFD2C77-53DD-284E-9AAC-985BB3E5F804}"/>
    <w:embedItalic r:id="rId4" w:fontKey="{1FD866D6-E00F-544F-AF5F-57C7D6BADBCD}"/>
    <w:embedBoldItalic r:id="rId5" w:fontKey="{04D820E9-E683-3B43-A282-366A27BFFBEB}"/>
  </w:font>
  <w:font w:name="Courier New">
    <w:panose1 w:val="02070309020205020404"/>
    <w:charset w:val="00"/>
    <w:family w:val="modern"/>
    <w:pitch w:val="fixed"/>
    <w:sig w:usb0="E0002EFF" w:usb1="C0007843" w:usb2="00000009" w:usb3="00000000" w:csb0="000001FF" w:csb1="00000000"/>
    <w:embedRegular r:id="rId6" w:fontKey="{3F9C80C4-8A90-3442-BF68-0B84278B39F3}"/>
  </w:font>
  <w:font w:name="Wingdings">
    <w:panose1 w:val="05000000000000000000"/>
    <w:charset w:val="4D"/>
    <w:family w:val="decorative"/>
    <w:pitch w:val="variable"/>
    <w:sig w:usb0="00000003" w:usb1="00000000" w:usb2="00000000" w:usb3="00000000" w:csb0="80000001" w:csb1="00000000"/>
    <w:embedRegular r:id="rId7" w:fontKey="{199DC41E-5B74-314A-88AC-825FAF9359D7}"/>
  </w:font>
  <w:font w:name="Garamond">
    <w:panose1 w:val="02020404030301010803"/>
    <w:charset w:val="00"/>
    <w:family w:val="roman"/>
    <w:pitch w:val="variable"/>
    <w:sig w:usb0="00000287" w:usb1="00000002" w:usb2="00000000" w:usb3="00000000" w:csb0="0000009F" w:csb1="00000000"/>
    <w:embedRegular r:id="rId8" w:fontKey="{BFCC15B4-2733-A940-98CB-F99B95431AD0}"/>
    <w:embedBold r:id="rId9" w:fontKey="{7D718C49-0DFB-C244-9F86-E929700ECE44}"/>
    <w:embedItalic r:id="rId10" w:fontKey="{BA47E55A-BAE2-B04E-8C25-AAA7268DA438}"/>
    <w:embedBoldItalic r:id="rId11" w:fontKey="{53A33907-766E-9241-8089-D7259C31DB40}"/>
  </w:font>
  <w:font w:name="Calibri">
    <w:panose1 w:val="020F0502020204030204"/>
    <w:charset w:val="00"/>
    <w:family w:val="swiss"/>
    <w:pitch w:val="variable"/>
    <w:sig w:usb0="E4002EFF" w:usb1="C200247B" w:usb2="00000009" w:usb3="00000000" w:csb0="000001FF" w:csb1="00000000"/>
    <w:embedRegular r:id="rId12" w:fontKey="{5B5EACBB-28C4-A847-A3B5-210461D85AFB}"/>
    <w:embedBold r:id="rId13" w:fontKey="{60A09E15-09DC-3044-A0D4-51179676447F}"/>
    <w:embedItalic r:id="rId14" w:fontKey="{D10FAB18-A17A-DD43-B1F9-853342C602AD}"/>
    <w:embedBoldItalic r:id="rId15" w:fontKey="{733D72D3-B9FC-7D43-83BF-26388D0DB8B6}"/>
  </w:font>
  <w:font w:name="Calibri Light">
    <w:panose1 w:val="020F0302020204030204"/>
    <w:charset w:val="00"/>
    <w:family w:val="swiss"/>
    <w:pitch w:val="variable"/>
    <w:sig w:usb0="E0002AFF" w:usb1="C000247B" w:usb2="00000009" w:usb3="00000000" w:csb0="000001FF" w:csb1="00000000"/>
    <w:embedRegular r:id="rId16" w:fontKey="{53C5CE39-239D-5649-B3A9-B96A9D105151}"/>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87FD0C62-AF92-6447-AB0D-D05A291A9E0F}"/>
    <w:embedBoldItalic r:id="rId18" w:fontKey="{E0801B1E-E76B-C249-B4A3-7008F8AF6E8E}"/>
  </w:font>
  <w:font w:name="Cambria">
    <w:panose1 w:val="02040503050406030204"/>
    <w:charset w:val="00"/>
    <w:family w:val="roman"/>
    <w:pitch w:val="variable"/>
    <w:sig w:usb0="E00006FF" w:usb1="420024FF" w:usb2="02000000" w:usb3="00000000" w:csb0="0000019F" w:csb1="00000000"/>
    <w:embedRegular r:id="rId19" w:fontKey="{98BE06FD-7405-5F45-B20C-7B81BF86CE4F}"/>
  </w:font>
  <w:font w:name="Georgia">
    <w:panose1 w:val="02040502050405020303"/>
    <w:charset w:val="00"/>
    <w:family w:val="roman"/>
    <w:pitch w:val="variable"/>
    <w:sig w:usb0="00000287" w:usb1="00000000" w:usb2="00000000" w:usb3="00000000" w:csb0="0000009F" w:csb1="00000000"/>
    <w:embedRegular r:id="rId20" w:fontKey="{1B042FB3-56A3-5446-8F9B-96C2BCAA6271}"/>
    <w:embedItalic r:id="rId21" w:fontKey="{7D7FFF7D-5988-8742-B089-688750198B45}"/>
  </w:font>
  <w:font w:name="Segoe UI">
    <w:panose1 w:val="020B0502040204020203"/>
    <w:charset w:val="00"/>
    <w:family w:val="swiss"/>
    <w:pitch w:val="variable"/>
    <w:sig w:usb0="E4002EFF" w:usb1="C000E47F" w:usb2="00000009" w:usb3="00000000" w:csb0="000001FF" w:csb1="00000000"/>
    <w:embedRegular r:id="rId22" w:fontKey="{8368F11B-BD73-6C4C-A5A6-6947285BD2C2}"/>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4" w:fontKey="{6C6B2721-D31D-CF44-8E1C-1917CC9394E7}"/>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embedRegular r:id="rId26" w:subsetted="1" w:fontKey="{616A62F5-FADC-2340-ABB3-7F7DF259F81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7B4178BD"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w:t>
    </w:r>
    <w:r w:rsidR="004B3065">
      <w:rPr>
        <w:rFonts w:ascii="Garamond" w:eastAsia="Garamond" w:hAnsi="Garamond" w:cs="Garamond"/>
        <w:color w:val="000000"/>
        <w:sz w:val="18"/>
        <w:szCs w:val="18"/>
      </w:rPr>
      <w:t xml:space="preserve"> 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6C9D8" w14:textId="77777777" w:rsidR="00B3644B" w:rsidRDefault="00B3644B">
      <w:r>
        <w:separator/>
      </w:r>
    </w:p>
  </w:footnote>
  <w:footnote w:type="continuationSeparator" w:id="0">
    <w:p w14:paraId="30F4A5EB" w14:textId="77777777" w:rsidR="00B3644B" w:rsidRDefault="00B36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16CBDB74" w:rsidR="006F0F70" w:rsidRPr="003256D0" w:rsidRDefault="00EB2684" w:rsidP="003256D0">
    <w:pPr>
      <w:pStyle w:val="L2Jheaderfooter"/>
    </w:pPr>
    <w:proofErr w:type="spellStart"/>
    <w:proofErr w:type="gramStart"/>
    <w:r>
      <w:t>Uryu</w:t>
    </w:r>
    <w:proofErr w:type="spellEnd"/>
    <w:r w:rsidR="004B3065">
      <w:t xml:space="preserve">  </w:t>
    </w:r>
    <w:r w:rsidR="004B3065">
      <w:tab/>
    </w:r>
    <w:proofErr w:type="gramEnd"/>
    <w:r>
      <w:t xml:space="preserve">                                                                             Transcultural Competence </w:t>
    </w:r>
    <w:proofErr w:type="gramStart"/>
    <w:r>
      <w:t>And</w:t>
    </w:r>
    <w:proofErr w:type="gramEnd"/>
    <w:r>
      <w:t xml:space="preserve"> Empathy in Language Education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2694043A" w:rsidR="006F0F70" w:rsidRPr="005A6634" w:rsidRDefault="00000000">
    <w:pPr>
      <w:pBdr>
        <w:top w:val="nil"/>
        <w:left w:val="nil"/>
        <w:bottom w:val="nil"/>
        <w:right w:val="nil"/>
        <w:between w:val="nil"/>
      </w:pBdr>
      <w:tabs>
        <w:tab w:val="center" w:pos="4680"/>
        <w:tab w:val="right" w:pos="9360"/>
      </w:tabs>
      <w:rPr>
        <w:rFonts w:ascii="Garamond" w:hAnsi="Garamond"/>
        <w:sz w:val="18"/>
        <w:szCs w:val="18"/>
      </w:rPr>
    </w:pPr>
    <w:r w:rsidRPr="00AA5DFA">
      <w:rPr>
        <w:rFonts w:ascii="Garamond" w:eastAsia="Garamond" w:hAnsi="Garamond" w:cs="Garamond"/>
        <w:i/>
        <w:color w:val="000000"/>
        <w:sz w:val="18"/>
        <w:szCs w:val="18"/>
      </w:rPr>
      <w:t>L2 Journal</w:t>
    </w:r>
    <w:r w:rsidRPr="00AA5DFA">
      <w:rPr>
        <w:rFonts w:ascii="Garamond" w:eastAsia="Garamond" w:hAnsi="Garamond" w:cs="Garamond"/>
        <w:color w:val="000000"/>
        <w:sz w:val="18"/>
        <w:szCs w:val="18"/>
      </w:rPr>
      <w:t>, Volume 1</w:t>
    </w:r>
    <w:r w:rsidR="006B65B4" w:rsidRPr="00AA5DFA">
      <w:rPr>
        <w:rFonts w:ascii="Garamond" w:eastAsia="Garamond" w:hAnsi="Garamond" w:cs="Garamond"/>
        <w:color w:val="000000"/>
        <w:sz w:val="18"/>
        <w:szCs w:val="18"/>
      </w:rPr>
      <w:t>7</w:t>
    </w:r>
    <w:r w:rsidRPr="00AA5DFA">
      <w:rPr>
        <w:rFonts w:ascii="Garamond" w:eastAsia="Garamond" w:hAnsi="Garamond" w:cs="Garamond"/>
        <w:color w:val="000000"/>
        <w:sz w:val="18"/>
        <w:szCs w:val="18"/>
      </w:rPr>
      <w:t xml:space="preserve"> Issue </w:t>
    </w:r>
    <w:r w:rsidR="002C4971" w:rsidRPr="00AA5DFA">
      <w:rPr>
        <w:rFonts w:ascii="Garamond" w:eastAsia="Garamond" w:hAnsi="Garamond" w:cs="Garamond"/>
        <w:color w:val="000000"/>
        <w:sz w:val="18"/>
        <w:szCs w:val="18"/>
      </w:rPr>
      <w:t>2</w:t>
    </w:r>
    <w:r w:rsidRPr="00AA5DFA">
      <w:rPr>
        <w:rFonts w:ascii="Garamond" w:eastAsia="Garamond" w:hAnsi="Garamond" w:cs="Garamond"/>
        <w:color w:val="000000"/>
        <w:sz w:val="18"/>
        <w:szCs w:val="18"/>
      </w:rPr>
      <w:t xml:space="preserve"> (202</w:t>
    </w:r>
    <w:r w:rsidR="006B65B4" w:rsidRPr="00AA5DFA">
      <w:rPr>
        <w:rFonts w:ascii="Garamond" w:eastAsia="Garamond" w:hAnsi="Garamond" w:cs="Garamond"/>
        <w:color w:val="000000"/>
        <w:sz w:val="18"/>
        <w:szCs w:val="18"/>
      </w:rPr>
      <w:t>5</w:t>
    </w:r>
    <w:r w:rsidRPr="00AA5DFA">
      <w:rPr>
        <w:rFonts w:ascii="Garamond" w:eastAsia="Garamond" w:hAnsi="Garamond" w:cs="Garamond"/>
        <w:color w:val="000000"/>
        <w:sz w:val="18"/>
        <w:szCs w:val="18"/>
      </w:rPr>
      <w:t xml:space="preserve">), </w:t>
    </w:r>
    <w:r w:rsidRPr="00AA5DFA">
      <w:rPr>
        <w:rFonts w:ascii="Garamond" w:hAnsi="Garamond"/>
        <w:sz w:val="18"/>
        <w:szCs w:val="18"/>
      </w:rPr>
      <w:t xml:space="preserve">pp. </w:t>
    </w:r>
    <w:r w:rsidR="007E0A49" w:rsidRPr="00AA5DFA">
      <w:rPr>
        <w:rFonts w:ascii="Garamond" w:hAnsi="Garamond"/>
        <w:sz w:val="18"/>
        <w:szCs w:val="18"/>
      </w:rPr>
      <w:t>1-</w:t>
    </w:r>
    <w:r w:rsidR="00662068" w:rsidRPr="00AA5DFA">
      <w:rPr>
        <w:rFonts w:ascii="Garamond" w:hAnsi="Garamond"/>
        <w:sz w:val="18"/>
        <w:szCs w:val="18"/>
      </w:rPr>
      <w:t>20</w:t>
    </w:r>
    <w:r w:rsidRPr="00AA5DFA">
      <w:rPr>
        <w:rFonts w:ascii="Garamond" w:hAnsi="Garamond"/>
        <w:sz w:val="18"/>
        <w:szCs w:val="18"/>
      </w:rPr>
      <w:tab/>
    </w:r>
    <w:r w:rsidRPr="00AA5DFA">
      <w:rPr>
        <w:rFonts w:ascii="Garamond" w:eastAsia="Garamond" w:hAnsi="Garamond" w:cs="Garamond"/>
        <w:color w:val="000000"/>
        <w:sz w:val="18"/>
        <w:szCs w:val="18"/>
      </w:rPr>
      <w:tab/>
      <w:t xml:space="preserve">Produced by </w:t>
    </w:r>
    <w:proofErr w:type="spellStart"/>
    <w:r w:rsidRPr="00AA5DFA">
      <w:rPr>
        <w:rFonts w:ascii="Garamond" w:eastAsia="Garamond" w:hAnsi="Garamond" w:cs="Garamond"/>
        <w:color w:val="000000"/>
        <w:sz w:val="18"/>
        <w:szCs w:val="18"/>
      </w:rPr>
      <w:t>eScholarship</w:t>
    </w:r>
    <w:proofErr w:type="spellEnd"/>
    <w:r w:rsidRPr="00AA5DFA">
      <w:rPr>
        <w:rFonts w:ascii="Garamond" w:eastAsia="Garamond" w:hAnsi="Garamond" w:cs="Garamond"/>
        <w:color w:val="000000"/>
        <w:sz w:val="18"/>
        <w:szCs w:val="18"/>
      </w:rPr>
      <w:t>, 202</w:t>
    </w:r>
    <w:r w:rsidR="006B65B4" w:rsidRPr="00AA5DFA">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735FDB"/>
    <w:multiLevelType w:val="hybridMultilevel"/>
    <w:tmpl w:val="60FE6A82"/>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5725B16"/>
    <w:multiLevelType w:val="hybridMultilevel"/>
    <w:tmpl w:val="27703708"/>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F250888"/>
    <w:multiLevelType w:val="hybridMultilevel"/>
    <w:tmpl w:val="FBC682B6"/>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295596947">
    <w:abstractNumId w:val="15"/>
  </w:num>
  <w:num w:numId="2" w16cid:durableId="423843706">
    <w:abstractNumId w:val="26"/>
  </w:num>
  <w:num w:numId="3" w16cid:durableId="1904214767">
    <w:abstractNumId w:val="31"/>
  </w:num>
  <w:num w:numId="4" w16cid:durableId="1446340768">
    <w:abstractNumId w:val="5"/>
  </w:num>
  <w:num w:numId="5" w16cid:durableId="562639925">
    <w:abstractNumId w:val="2"/>
  </w:num>
  <w:num w:numId="6" w16cid:durableId="1758092921">
    <w:abstractNumId w:val="10"/>
  </w:num>
  <w:num w:numId="7" w16cid:durableId="1289817126">
    <w:abstractNumId w:val="11"/>
  </w:num>
  <w:num w:numId="8" w16cid:durableId="1841969064">
    <w:abstractNumId w:val="45"/>
  </w:num>
  <w:num w:numId="9" w16cid:durableId="1343164529">
    <w:abstractNumId w:val="53"/>
  </w:num>
  <w:num w:numId="10" w16cid:durableId="690716185">
    <w:abstractNumId w:val="36"/>
  </w:num>
  <w:num w:numId="11" w16cid:durableId="606620726">
    <w:abstractNumId w:val="47"/>
  </w:num>
  <w:num w:numId="12" w16cid:durableId="172649517">
    <w:abstractNumId w:val="25"/>
  </w:num>
  <w:num w:numId="13" w16cid:durableId="986084194">
    <w:abstractNumId w:val="24"/>
  </w:num>
  <w:num w:numId="14" w16cid:durableId="1192887541">
    <w:abstractNumId w:val="3"/>
  </w:num>
  <w:num w:numId="15" w16cid:durableId="838083898">
    <w:abstractNumId w:val="30"/>
  </w:num>
  <w:num w:numId="16" w16cid:durableId="1727874122">
    <w:abstractNumId w:val="17"/>
  </w:num>
  <w:num w:numId="17" w16cid:durableId="1172644255">
    <w:abstractNumId w:val="0"/>
  </w:num>
  <w:num w:numId="18" w16cid:durableId="393088268">
    <w:abstractNumId w:val="21"/>
  </w:num>
  <w:num w:numId="19" w16cid:durableId="1050423511">
    <w:abstractNumId w:val="34"/>
  </w:num>
  <w:num w:numId="20" w16cid:durableId="2042246664">
    <w:abstractNumId w:val="52"/>
  </w:num>
  <w:num w:numId="21" w16cid:durableId="1887256255">
    <w:abstractNumId w:val="46"/>
  </w:num>
  <w:num w:numId="22" w16cid:durableId="902330438">
    <w:abstractNumId w:val="7"/>
  </w:num>
  <w:num w:numId="23" w16cid:durableId="2070030165">
    <w:abstractNumId w:val="20"/>
  </w:num>
  <w:num w:numId="24" w16cid:durableId="55200565">
    <w:abstractNumId w:val="39"/>
  </w:num>
  <w:num w:numId="25" w16cid:durableId="353305564">
    <w:abstractNumId w:val="27"/>
  </w:num>
  <w:num w:numId="26" w16cid:durableId="1552380865">
    <w:abstractNumId w:val="1"/>
  </w:num>
  <w:num w:numId="27" w16cid:durableId="944926594">
    <w:abstractNumId w:val="4"/>
  </w:num>
  <w:num w:numId="28" w16cid:durableId="296449143">
    <w:abstractNumId w:val="54"/>
  </w:num>
  <w:num w:numId="29" w16cid:durableId="499930286">
    <w:abstractNumId w:val="37"/>
  </w:num>
  <w:num w:numId="30" w16cid:durableId="2053536187">
    <w:abstractNumId w:val="12"/>
  </w:num>
  <w:num w:numId="31" w16cid:durableId="974796180">
    <w:abstractNumId w:val="42"/>
  </w:num>
  <w:num w:numId="32" w16cid:durableId="1696006332">
    <w:abstractNumId w:val="44"/>
  </w:num>
  <w:num w:numId="33" w16cid:durableId="245842173">
    <w:abstractNumId w:val="18"/>
  </w:num>
  <w:num w:numId="34" w16cid:durableId="241069923">
    <w:abstractNumId w:val="40"/>
  </w:num>
  <w:num w:numId="35" w16cid:durableId="147522094">
    <w:abstractNumId w:val="29"/>
  </w:num>
  <w:num w:numId="36" w16cid:durableId="1310131779">
    <w:abstractNumId w:val="16"/>
  </w:num>
  <w:num w:numId="37" w16cid:durableId="37321887">
    <w:abstractNumId w:val="14"/>
  </w:num>
  <w:num w:numId="38" w16cid:durableId="1682389622">
    <w:abstractNumId w:val="19"/>
  </w:num>
  <w:num w:numId="39" w16cid:durableId="991446943">
    <w:abstractNumId w:val="35"/>
  </w:num>
  <w:num w:numId="40" w16cid:durableId="2135516350">
    <w:abstractNumId w:val="38"/>
  </w:num>
  <w:num w:numId="41" w16cid:durableId="1929534683">
    <w:abstractNumId w:val="22"/>
  </w:num>
  <w:num w:numId="42" w16cid:durableId="1093629590">
    <w:abstractNumId w:val="48"/>
  </w:num>
  <w:num w:numId="43" w16cid:durableId="1880624624">
    <w:abstractNumId w:val="8"/>
  </w:num>
  <w:num w:numId="44" w16cid:durableId="1296325962">
    <w:abstractNumId w:val="33"/>
  </w:num>
  <w:num w:numId="45" w16cid:durableId="664435223">
    <w:abstractNumId w:val="49"/>
  </w:num>
  <w:num w:numId="46" w16cid:durableId="765612734">
    <w:abstractNumId w:val="32"/>
  </w:num>
  <w:num w:numId="47" w16cid:durableId="1262760718">
    <w:abstractNumId w:val="41"/>
  </w:num>
  <w:num w:numId="48" w16cid:durableId="2062097154">
    <w:abstractNumId w:val="13"/>
  </w:num>
  <w:num w:numId="49" w16cid:durableId="1811904018">
    <w:abstractNumId w:val="28"/>
  </w:num>
  <w:num w:numId="50" w16cid:durableId="1234050358">
    <w:abstractNumId w:val="9"/>
  </w:num>
  <w:num w:numId="51" w16cid:durableId="321083943">
    <w:abstractNumId w:val="23"/>
  </w:num>
  <w:num w:numId="52" w16cid:durableId="2035114226">
    <w:abstractNumId w:val="50"/>
  </w:num>
  <w:num w:numId="53" w16cid:durableId="567226445">
    <w:abstractNumId w:val="43"/>
  </w:num>
  <w:num w:numId="54" w16cid:durableId="1757164407">
    <w:abstractNumId w:val="51"/>
  </w:num>
  <w:num w:numId="55" w16cid:durableId="1699812712">
    <w:abstractNumId w:val="55"/>
  </w:num>
  <w:num w:numId="56" w16cid:durableId="8644427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23AAF"/>
    <w:rsid w:val="000414BA"/>
    <w:rsid w:val="000444B0"/>
    <w:rsid w:val="00087BB8"/>
    <w:rsid w:val="000D3A8C"/>
    <w:rsid w:val="000D44CE"/>
    <w:rsid w:val="000E3448"/>
    <w:rsid w:val="000F3592"/>
    <w:rsid w:val="000F53D4"/>
    <w:rsid w:val="00122411"/>
    <w:rsid w:val="001318C8"/>
    <w:rsid w:val="001546B2"/>
    <w:rsid w:val="00163945"/>
    <w:rsid w:val="0017476A"/>
    <w:rsid w:val="001B0651"/>
    <w:rsid w:val="001B518E"/>
    <w:rsid w:val="001C1245"/>
    <w:rsid w:val="001C5F06"/>
    <w:rsid w:val="001E16E3"/>
    <w:rsid w:val="001F793B"/>
    <w:rsid w:val="00217E95"/>
    <w:rsid w:val="0022238F"/>
    <w:rsid w:val="00222E2A"/>
    <w:rsid w:val="00255E6E"/>
    <w:rsid w:val="002654AF"/>
    <w:rsid w:val="00276AEA"/>
    <w:rsid w:val="002A1561"/>
    <w:rsid w:val="002A662C"/>
    <w:rsid w:val="002B24F0"/>
    <w:rsid w:val="002C4971"/>
    <w:rsid w:val="002C6C5A"/>
    <w:rsid w:val="002D2C56"/>
    <w:rsid w:val="002F1B2C"/>
    <w:rsid w:val="00302D1C"/>
    <w:rsid w:val="003142AC"/>
    <w:rsid w:val="003256D0"/>
    <w:rsid w:val="00330862"/>
    <w:rsid w:val="00346877"/>
    <w:rsid w:val="00370A12"/>
    <w:rsid w:val="00372B9E"/>
    <w:rsid w:val="00380DDD"/>
    <w:rsid w:val="00397AED"/>
    <w:rsid w:val="003A0E48"/>
    <w:rsid w:val="003A7D36"/>
    <w:rsid w:val="003B6DC4"/>
    <w:rsid w:val="003D01DD"/>
    <w:rsid w:val="00404D4A"/>
    <w:rsid w:val="00422EC1"/>
    <w:rsid w:val="00425F78"/>
    <w:rsid w:val="004316C5"/>
    <w:rsid w:val="00432BE0"/>
    <w:rsid w:val="00440A2D"/>
    <w:rsid w:val="00441348"/>
    <w:rsid w:val="00443931"/>
    <w:rsid w:val="00451FC1"/>
    <w:rsid w:val="00471452"/>
    <w:rsid w:val="00480CD0"/>
    <w:rsid w:val="004B11F5"/>
    <w:rsid w:val="004B3065"/>
    <w:rsid w:val="004B5CE9"/>
    <w:rsid w:val="004C4A1A"/>
    <w:rsid w:val="005123AA"/>
    <w:rsid w:val="00523655"/>
    <w:rsid w:val="00536D62"/>
    <w:rsid w:val="00542A9F"/>
    <w:rsid w:val="00544B6C"/>
    <w:rsid w:val="0055608F"/>
    <w:rsid w:val="00577F3C"/>
    <w:rsid w:val="00585E9A"/>
    <w:rsid w:val="00587842"/>
    <w:rsid w:val="005A311A"/>
    <w:rsid w:val="005A6634"/>
    <w:rsid w:val="005C00AC"/>
    <w:rsid w:val="005C461E"/>
    <w:rsid w:val="005F2694"/>
    <w:rsid w:val="00610BCD"/>
    <w:rsid w:val="00617D2D"/>
    <w:rsid w:val="00626147"/>
    <w:rsid w:val="00662068"/>
    <w:rsid w:val="006B65B4"/>
    <w:rsid w:val="006E1967"/>
    <w:rsid w:val="006F0F70"/>
    <w:rsid w:val="007009FE"/>
    <w:rsid w:val="00720BC6"/>
    <w:rsid w:val="007400F4"/>
    <w:rsid w:val="00756353"/>
    <w:rsid w:val="00772BF6"/>
    <w:rsid w:val="007840BE"/>
    <w:rsid w:val="00785E2F"/>
    <w:rsid w:val="007A610F"/>
    <w:rsid w:val="007E0A49"/>
    <w:rsid w:val="007E2239"/>
    <w:rsid w:val="007E5667"/>
    <w:rsid w:val="008037B2"/>
    <w:rsid w:val="0083454F"/>
    <w:rsid w:val="00834FC2"/>
    <w:rsid w:val="00880745"/>
    <w:rsid w:val="00893A7C"/>
    <w:rsid w:val="008948B1"/>
    <w:rsid w:val="008B566B"/>
    <w:rsid w:val="008D416D"/>
    <w:rsid w:val="008F083B"/>
    <w:rsid w:val="00903438"/>
    <w:rsid w:val="00906F80"/>
    <w:rsid w:val="009460E0"/>
    <w:rsid w:val="00971125"/>
    <w:rsid w:val="009B19A9"/>
    <w:rsid w:val="009C45E7"/>
    <w:rsid w:val="009C4CEE"/>
    <w:rsid w:val="009F1277"/>
    <w:rsid w:val="00A0191A"/>
    <w:rsid w:val="00A26ED4"/>
    <w:rsid w:val="00A511B0"/>
    <w:rsid w:val="00A55B5C"/>
    <w:rsid w:val="00A63A19"/>
    <w:rsid w:val="00A7585D"/>
    <w:rsid w:val="00A83B77"/>
    <w:rsid w:val="00A97963"/>
    <w:rsid w:val="00AA29E3"/>
    <w:rsid w:val="00AA314E"/>
    <w:rsid w:val="00AA5DFA"/>
    <w:rsid w:val="00AB37FE"/>
    <w:rsid w:val="00B033EF"/>
    <w:rsid w:val="00B268B0"/>
    <w:rsid w:val="00B349B8"/>
    <w:rsid w:val="00B35FCA"/>
    <w:rsid w:val="00B3644B"/>
    <w:rsid w:val="00B4322C"/>
    <w:rsid w:val="00B6041E"/>
    <w:rsid w:val="00B87AC7"/>
    <w:rsid w:val="00BB5576"/>
    <w:rsid w:val="00BC0376"/>
    <w:rsid w:val="00BF5155"/>
    <w:rsid w:val="00C328AD"/>
    <w:rsid w:val="00C53F16"/>
    <w:rsid w:val="00C74115"/>
    <w:rsid w:val="00C75D53"/>
    <w:rsid w:val="00C82BA2"/>
    <w:rsid w:val="00C85087"/>
    <w:rsid w:val="00CA7B5F"/>
    <w:rsid w:val="00CA7F97"/>
    <w:rsid w:val="00CB2BE5"/>
    <w:rsid w:val="00CC0284"/>
    <w:rsid w:val="00CC6EDA"/>
    <w:rsid w:val="00CD3FBE"/>
    <w:rsid w:val="00CE5FEA"/>
    <w:rsid w:val="00D045E2"/>
    <w:rsid w:val="00D158D1"/>
    <w:rsid w:val="00D161E2"/>
    <w:rsid w:val="00D20B7F"/>
    <w:rsid w:val="00D50A02"/>
    <w:rsid w:val="00D531AD"/>
    <w:rsid w:val="00D65933"/>
    <w:rsid w:val="00D71EAE"/>
    <w:rsid w:val="00D7514D"/>
    <w:rsid w:val="00D76B93"/>
    <w:rsid w:val="00DA553B"/>
    <w:rsid w:val="00DE1A5D"/>
    <w:rsid w:val="00E03AE8"/>
    <w:rsid w:val="00E30D3F"/>
    <w:rsid w:val="00E4086E"/>
    <w:rsid w:val="00E409A2"/>
    <w:rsid w:val="00E66441"/>
    <w:rsid w:val="00E70CD7"/>
    <w:rsid w:val="00EA0176"/>
    <w:rsid w:val="00EA4253"/>
    <w:rsid w:val="00EB2684"/>
    <w:rsid w:val="00F079AC"/>
    <w:rsid w:val="00F27D80"/>
    <w:rsid w:val="00F7669B"/>
    <w:rsid w:val="00F840CA"/>
    <w:rsid w:val="00FA0151"/>
    <w:rsid w:val="00FA42C6"/>
    <w:rsid w:val="00FA6442"/>
    <w:rsid w:val="00FB12DC"/>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qFormat/>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unhideWhenUsed/>
    <w:rsid w:val="00826B10"/>
    <w:rPr>
      <w:sz w:val="20"/>
      <w:szCs w:val="20"/>
    </w:rPr>
  </w:style>
  <w:style w:type="character" w:customStyle="1" w:styleId="CommentTextChar">
    <w:name w:val="Comment Text Char"/>
    <w:basedOn w:val="DefaultParagraphFont"/>
    <w:link w:val="CommentText"/>
    <w:uiPriority w:val="99"/>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qFormat/>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 w:type="paragraph" w:styleId="Quote">
    <w:name w:val="Quote"/>
    <w:basedOn w:val="Normal"/>
    <w:next w:val="Normal"/>
    <w:link w:val="QuoteChar"/>
    <w:autoRedefine/>
    <w:uiPriority w:val="29"/>
    <w:qFormat/>
    <w:rsid w:val="004B3065"/>
    <w:pPr>
      <w:spacing w:before="200"/>
      <w:ind w:left="567" w:right="567"/>
      <w:jc w:val="both"/>
    </w:pPr>
    <w:rPr>
      <w:rFonts w:ascii="Times New Roman" w:eastAsiaTheme="minorEastAsia" w:hAnsi="Times New Roman" w:cstheme="minorBidi"/>
      <w:iCs/>
      <w:kern w:val="2"/>
      <w:sz w:val="24"/>
      <w:szCs w:val="24"/>
      <w:lang w:eastAsia="ja-JP"/>
      <w14:ligatures w14:val="standardContextual"/>
    </w:rPr>
  </w:style>
  <w:style w:type="character" w:customStyle="1" w:styleId="QuoteChar">
    <w:name w:val="Quote Char"/>
    <w:basedOn w:val="DefaultParagraphFont"/>
    <w:link w:val="Quote"/>
    <w:uiPriority w:val="29"/>
    <w:rsid w:val="004B3065"/>
    <w:rPr>
      <w:rFonts w:ascii="Times New Roman" w:eastAsiaTheme="minorEastAsia" w:hAnsi="Times New Roman" w:cstheme="minorBidi"/>
      <w:iCs/>
      <w:kern w:val="2"/>
      <w:sz w:val="24"/>
      <w:szCs w:val="24"/>
      <w:lang w:eastAsia="ja-JP"/>
      <w14:ligatures w14:val="standardContextual"/>
    </w:rPr>
  </w:style>
  <w:style w:type="paragraph" w:styleId="Caption">
    <w:name w:val="caption"/>
    <w:basedOn w:val="Normal"/>
    <w:next w:val="Normal"/>
    <w:autoRedefine/>
    <w:uiPriority w:val="35"/>
    <w:unhideWhenUsed/>
    <w:qFormat/>
    <w:rsid w:val="004B3065"/>
    <w:pPr>
      <w:keepNext/>
      <w:spacing w:before="200" w:after="200"/>
      <w:jc w:val="both"/>
    </w:pPr>
    <w:rPr>
      <w:rFonts w:ascii="Times New Roman" w:eastAsiaTheme="minorEastAsia" w:hAnsi="Times New Roman" w:cstheme="minorBidi"/>
      <w:b/>
      <w:iCs/>
      <w:kern w:val="2"/>
      <w:sz w:val="24"/>
      <w:szCs w:val="18"/>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ichiko.uryu@sjsu.edu" TargetMode="External"/><Relationship Id="rId13" Type="http://schemas.openxmlformats.org/officeDocument/2006/relationships/hyperlink" Target="https://doi.org/10.3109/1067322090352361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17/s003329170300162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97/NMD.0b013e3181e086b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93/applin/amn022" TargetMode="External"/><Relationship Id="rId5" Type="http://schemas.openxmlformats.org/officeDocument/2006/relationships/webSettings" Target="webSettings.xml"/><Relationship Id="rId15" Type="http://schemas.openxmlformats.org/officeDocument/2006/relationships/hyperlink" Target="https://doi.org/10.1007/3-540-29803-7_9" TargetMode="External"/><Relationship Id="rId10" Type="http://schemas.openxmlformats.org/officeDocument/2006/relationships/hyperlink" Target="http://www.jstor.org/stable/2301801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93/scan/nsaa090" TargetMode="External"/><Relationship Id="rId14" Type="http://schemas.openxmlformats.org/officeDocument/2006/relationships/hyperlink" Target="https://doi.org/10.1016/j.neuroimage.2008.08.014"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20</Pages>
  <Words>9375</Words>
  <Characters>58882</Characters>
  <Application>Microsoft Office Word</Application>
  <DocSecurity>0</DocSecurity>
  <Lines>1509</Lines>
  <Paragraphs>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17</cp:revision>
  <dcterms:created xsi:type="dcterms:W3CDTF">2025-07-16T20:15:00Z</dcterms:created>
  <dcterms:modified xsi:type="dcterms:W3CDTF">2025-07-16T21:57:00Z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