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446FE249"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4C3F19">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1B2AD3">
        <w:rPr>
          <w:rFonts w:eastAsia="Garamond" w:cs="Garamond"/>
          <w:color w:val="000000"/>
          <w:sz w:val="18"/>
          <w:szCs w:val="18"/>
        </w:rPr>
        <w:t xml:space="preserve"> </w:t>
      </w:r>
      <w:r w:rsidR="00E20B6A">
        <w:rPr>
          <w:rFonts w:eastAsia="Garamond" w:cs="Garamond"/>
          <w:color w:val="000000"/>
          <w:sz w:val="18"/>
          <w:szCs w:val="18"/>
        </w:rPr>
        <w:t>1-5</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114BE7B1" w14:textId="3E7B5F61" w:rsidR="00E20B6A" w:rsidRPr="009E7A34" w:rsidRDefault="004C3F19" w:rsidP="009E7A34">
      <w:pPr>
        <w:spacing w:after="400"/>
        <w:ind w:firstLine="0"/>
        <w:contextualSpacing/>
        <w:rPr>
          <w:b/>
          <w:bCs/>
          <w:sz w:val="40"/>
          <w:szCs w:val="40"/>
        </w:rPr>
      </w:pPr>
      <w:r>
        <w:rPr>
          <w:b/>
          <w:bCs/>
          <w:sz w:val="40"/>
          <w:szCs w:val="40"/>
        </w:rPr>
        <w:t>INTRODUCTION TO THE SPECIAL ISSUE</w:t>
      </w:r>
      <w:r w:rsidR="002E5425" w:rsidRPr="001B2AD3">
        <w:rPr>
          <w:b/>
          <w:bCs/>
          <w:sz w:val="40"/>
          <w:szCs w:val="40"/>
        </w:rPr>
        <w:t xml:space="preserve"> </w:t>
      </w:r>
    </w:p>
    <w:p w14:paraId="0A707B68" w14:textId="67FD1715" w:rsidR="00E20B6A" w:rsidRDefault="00E20B6A" w:rsidP="00E20B6A">
      <w:pPr>
        <w:pStyle w:val="Title"/>
      </w:pPr>
      <w:r w:rsidRPr="0993BF5B">
        <w:t>Multidialectism in the Multilingual Turn</w:t>
      </w:r>
    </w:p>
    <w:p w14:paraId="16F18CF4" w14:textId="77777777" w:rsidR="009E7A34" w:rsidRDefault="009E7A34" w:rsidP="009E7A34">
      <w:pPr>
        <w:pStyle w:val="Author"/>
        <w:rPr>
          <w:lang w:val="de-AT"/>
        </w:rPr>
      </w:pPr>
      <w:r w:rsidRPr="00C045E2">
        <w:rPr>
          <w:lang w:val="de-AT"/>
        </w:rPr>
        <w:t xml:space="preserve">DANIEL WALTER </w:t>
      </w:r>
    </w:p>
    <w:p w14:paraId="4BB91D1E" w14:textId="77777777" w:rsidR="009E7A34" w:rsidRPr="00B24481" w:rsidRDefault="009E7A34" w:rsidP="009E7A34">
      <w:pPr>
        <w:pStyle w:val="Affiliation"/>
      </w:pPr>
      <w:r w:rsidRPr="00B24481">
        <w:t xml:space="preserve">Emory University </w:t>
      </w:r>
    </w:p>
    <w:p w14:paraId="179EF5BF" w14:textId="77777777" w:rsidR="009E7A34" w:rsidRPr="000A022B" w:rsidRDefault="009E7A34" w:rsidP="009E7A34">
      <w:pPr>
        <w:pStyle w:val="Affiliation"/>
      </w:pPr>
      <w:hyperlink r:id="rId9" w:history="1">
        <w:r w:rsidRPr="000A022B">
          <w:rPr>
            <w:rStyle w:val="Hyperlink"/>
            <w:rFonts w:cs="Arial"/>
          </w:rPr>
          <w:t>daniel.walter@emory.edu</w:t>
        </w:r>
      </w:hyperlink>
      <w:r w:rsidRPr="000A022B">
        <w:t xml:space="preserve"> </w:t>
      </w:r>
    </w:p>
    <w:p w14:paraId="0A3E1D8C" w14:textId="77777777" w:rsidR="009E7A34" w:rsidRDefault="009E7A34" w:rsidP="009E7A34">
      <w:pPr>
        <w:pStyle w:val="Author"/>
        <w:rPr>
          <w:lang w:val="de-AT"/>
        </w:rPr>
      </w:pPr>
      <w:r w:rsidRPr="00C045E2">
        <w:rPr>
          <w:lang w:val="de-AT"/>
        </w:rPr>
        <w:t>JULIA RUCK</w:t>
      </w:r>
    </w:p>
    <w:p w14:paraId="0C00426E" w14:textId="77777777" w:rsidR="009E7A34" w:rsidRDefault="009E7A34" w:rsidP="009E7A34">
      <w:pPr>
        <w:pStyle w:val="Affiliation"/>
        <w:rPr>
          <w:lang w:val="de-AT"/>
        </w:rPr>
      </w:pPr>
      <w:r>
        <w:rPr>
          <w:lang w:val="de-AT"/>
        </w:rPr>
        <w:t>Emory University</w:t>
      </w:r>
    </w:p>
    <w:p w14:paraId="01011CC7" w14:textId="77777777" w:rsidR="009E7A34" w:rsidRPr="000A022B" w:rsidRDefault="009E7A34" w:rsidP="009E7A34">
      <w:pPr>
        <w:pStyle w:val="Affiliation"/>
        <w:rPr>
          <w:lang w:val="de-AT"/>
        </w:rPr>
      </w:pPr>
      <w:hyperlink r:id="rId10" w:history="1">
        <w:r w:rsidRPr="000A022B">
          <w:rPr>
            <w:rStyle w:val="Hyperlink"/>
            <w:rFonts w:cs="Arial"/>
            <w:lang w:val="de-AT"/>
          </w:rPr>
          <w:t>julia.ruck@emory.edu</w:t>
        </w:r>
      </w:hyperlink>
      <w:r w:rsidRPr="000A022B">
        <w:rPr>
          <w:lang w:val="de-AT"/>
        </w:rPr>
        <w:t xml:space="preserve"> </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09780809" w14:textId="72F2774A" w:rsidR="00D20A6C" w:rsidRPr="004159DD" w:rsidRDefault="00D20A6C" w:rsidP="00D20A6C">
      <w:pPr>
        <w:pStyle w:val="Abstract"/>
      </w:pPr>
      <w:commentRangeStart w:id="0"/>
      <w:r>
        <w:t xml:space="preserve">Abstract: </w:t>
      </w:r>
      <w:r w:rsidRPr="00D20A6C">
        <w:t xml:space="preserve">Lorem ipsum dolor </w:t>
      </w:r>
      <w:commentRangeEnd w:id="0"/>
      <w:r w:rsidR="00E20B6A" w:rsidRPr="00D20A6C">
        <w:rPr>
          <w:rStyle w:val="CommentReference"/>
          <w:sz w:val="20"/>
          <w:szCs w:val="20"/>
        </w:rPr>
        <w:commentReference w:id="0"/>
      </w:r>
      <w:r w:rsidRPr="00D20A6C">
        <w:t>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3AE60B93" w14:textId="77777777" w:rsidR="00E20B6A" w:rsidRDefault="00E20B6A" w:rsidP="00E20B6A">
      <w:pPr>
        <w:spacing w:line="480" w:lineRule="auto"/>
        <w:ind w:firstLine="0"/>
        <w:rPr>
          <w:rFonts w:ascii="Times New Roman" w:eastAsia="Times New Roman" w:hAnsi="Times New Roman" w:cs="Times New Roman"/>
          <w:color w:val="000000" w:themeColor="text1"/>
        </w:rPr>
      </w:pPr>
    </w:p>
    <w:p w14:paraId="55F4B692" w14:textId="3EC8A141" w:rsidR="00E20B6A" w:rsidRDefault="00E20B6A" w:rsidP="00E20B6A">
      <w:pPr>
        <w:pStyle w:val="Body"/>
        <w:ind w:firstLine="0"/>
      </w:pPr>
      <w:r w:rsidRPr="0993BF5B">
        <w:t>While multilingual practices have been commonplace for millennia (Pavlenko, 2023), the creation of European nation states in the 19th century with their ideological underpinnings of a Herderian one-nation-one-language ideology have shaped the monolingual underpinnings of Western linguistic theory. A named language, within this line of reasoning, is seen as a static, closed system of rules and patterns located within a monolingual speaker’s mind</w:t>
      </w:r>
      <w:r>
        <w:t>, represented uniformly across its native speakers</w:t>
      </w:r>
      <w:r w:rsidRPr="0993BF5B">
        <w:t>. This theoretical orientation has informed the epistemologies of second language acquisition (SLA) as an emerging field, with significant ramifications for researchers and teachers who work under this hegemony: the language behaviors, linguistic knowledge, and acquisition of first and second languages were seen as cognitive processes that were to be measured against the competence of an idealized monolingual native speaker</w:t>
      </w:r>
      <w:r>
        <w:t xml:space="preserve"> (</w:t>
      </w:r>
      <w:r w:rsidRPr="00FC0033">
        <w:t>Emilsen</w:t>
      </w:r>
      <w:r>
        <w:t xml:space="preserve"> </w:t>
      </w:r>
      <w:r w:rsidRPr="00FC0033">
        <w:t>&amp; Søfteland,</w:t>
      </w:r>
      <w:r>
        <w:t xml:space="preserve"> </w:t>
      </w:r>
      <w:r w:rsidRPr="00FC0033">
        <w:t>2020</w:t>
      </w:r>
      <w:r>
        <w:t>; Holliday, 2006; Trentman &amp; Diao, 2021; Walter, 2023)</w:t>
      </w:r>
      <w:r w:rsidRPr="0993BF5B">
        <w:t xml:space="preserve">. </w:t>
      </w:r>
    </w:p>
    <w:p w14:paraId="10FA1521" w14:textId="7650465B" w:rsidR="00E20B6A" w:rsidRDefault="00E20B6A" w:rsidP="009E15DD">
      <w:pPr>
        <w:pStyle w:val="Body"/>
      </w:pPr>
      <w:r w:rsidRPr="0993BF5B">
        <w:t>The “Social Turn” in SLA (Block, 2003) expanded the field’s attention from a solely individual cognitive framework of language acquisition and learning towards its sociohistorically</w:t>
      </w:r>
      <w:r>
        <w:t>-</w:t>
      </w:r>
      <w:r w:rsidRPr="0993BF5B">
        <w:t xml:space="preserve">situated nature. This shift has brought about native-speakerist critiques of the goals of second language education </w:t>
      </w:r>
      <w:r w:rsidRPr="0993BF5B">
        <w:lastRenderedPageBreak/>
        <w:t xml:space="preserve">(Holliday, 2006) along with a centering of learners’ multilingualism as a resource in their second language development, rather than something that was to be tamed or—even worse—overcome. </w:t>
      </w:r>
    </w:p>
    <w:p w14:paraId="2EA20342" w14:textId="31DF0B16" w:rsidR="00E20B6A" w:rsidRDefault="00E20B6A" w:rsidP="00E20B6A">
      <w:pPr>
        <w:pStyle w:val="Body"/>
      </w:pPr>
      <w:r w:rsidRPr="0993BF5B">
        <w:t>The ensuing “Multilingual Turn” (May, 2013; Ortega, 2013) has since provide</w:t>
      </w:r>
      <w:r>
        <w:t>d</w:t>
      </w:r>
      <w:r w:rsidRPr="0993BF5B">
        <w:t xml:space="preserve"> a critical lens to the monolingual and sometimes nationalistic ideologies that have shap</w:t>
      </w:r>
      <w:r>
        <w:t>ed and continue to shape</w:t>
      </w:r>
      <w:r w:rsidRPr="0993BF5B">
        <w:t xml:space="preserve"> SLA research and second language pedagogy. This turn calls for a reassessment of who learners are and who they become as they learn (an) additional language(s), recognizing that driving students towards perceived monolingual native norms of the target language is not only unjust, as they will never become monolinguals in the language of study, but that this goal is not even representative of first language speakers as their own language behaviors </w:t>
      </w:r>
      <w:r>
        <w:t>could</w:t>
      </w:r>
      <w:r w:rsidRPr="0993BF5B">
        <w:t xml:space="preserve"> hardly </w:t>
      </w:r>
      <w:r>
        <w:t xml:space="preserve">be classified as </w:t>
      </w:r>
      <w:r w:rsidRPr="0993BF5B">
        <w:t xml:space="preserve">homogenous. Approaches </w:t>
      </w:r>
      <w:r>
        <w:t xml:space="preserve">resulting from this multilingual framework, </w:t>
      </w:r>
      <w:r w:rsidRPr="0993BF5B">
        <w:t>such as translanguaging (García &amp; Wei, 2014)</w:t>
      </w:r>
      <w:r>
        <w:t>,</w:t>
      </w:r>
      <w:r w:rsidRPr="0993BF5B">
        <w:t xml:space="preserve"> have highlighted the benefits of drawing on the multiple languages in learners’ entire linguistic repertoires to enhance their understanding of their new named language(s)</w:t>
      </w:r>
      <w:r>
        <w:t xml:space="preserve">, as well as </w:t>
      </w:r>
      <w:r w:rsidRPr="0993BF5B">
        <w:t>normaliz</w:t>
      </w:r>
      <w:r>
        <w:t>ing</w:t>
      </w:r>
      <w:r w:rsidRPr="0993BF5B">
        <w:t xml:space="preserve"> multilingual behaviors and identities. </w:t>
      </w:r>
    </w:p>
    <w:p w14:paraId="4866CD6B" w14:textId="54B927FA" w:rsidR="00E20B6A" w:rsidRDefault="00E20B6A" w:rsidP="00E20B6A">
      <w:pPr>
        <w:pStyle w:val="Body"/>
      </w:pPr>
      <w:r w:rsidRPr="511BB354">
        <w:t xml:space="preserve">And while the Multilingual Turn has initiated an important shift of focus from the previous compartmentalization of named languages towards their interconnectedness in language users’ real-world linguistic practices, one issue that </w:t>
      </w:r>
      <w:r>
        <w:t xml:space="preserve">has </w:t>
      </w:r>
      <w:r w:rsidRPr="511BB354">
        <w:t>still received only marginal attention is how prescriptivist standard ideologies have perpetuated the limited notion of “language</w:t>
      </w:r>
      <w:r>
        <w:t>.” In SLA, r</w:t>
      </w:r>
      <w:r w:rsidRPr="511BB354">
        <w:t>esearch and pedagogy refer mostly to a codified standard variety. Some studies have indeed explored learners’ multidialecticism</w:t>
      </w:r>
      <w:r>
        <w:t>, i.e., a speaker’s ability to switch between dialects of a named language, including the standard variety,</w:t>
      </w:r>
      <w:r w:rsidRPr="511BB354">
        <w:t xml:space="preserve"> as part of multilingualism (e.g. Nero, 2006), and discussions on pluricentric languages with multiple standards (e.g., French, Spanish, German, Arabic, Portuguese) have highlighted the need to represent the multiple standard varieties of a language in the classroom (Chapelle, 2020; Del Valle, 2014; Hägi, 2006; Koch &amp; Reimann, 2019; Pöll, 2021; Ruck, 2020; Train, 2020; Trentman &amp; Shiri, 2020; Wernicke, 2020). However, in practice, it is mostly the dominant standard variety that is construed as the most legitimate, while non-dominant standards and particularly non-standard varieties are seen as inferior and/or something with which second language learners </w:t>
      </w:r>
      <w:r>
        <w:t>need not</w:t>
      </w:r>
      <w:r w:rsidRPr="511BB354">
        <w:t xml:space="preserve"> concern themselves (Callies &amp; Hehner, 2022; Ruck, 2020). In other words, while the </w:t>
      </w:r>
      <w:r>
        <w:t>M</w:t>
      </w:r>
      <w:r w:rsidRPr="511BB354">
        <w:t xml:space="preserve">ultilingual </w:t>
      </w:r>
      <w:r>
        <w:t>T</w:t>
      </w:r>
      <w:r w:rsidRPr="511BB354">
        <w:t>urn has emphasized the cross-linguistic ecologies within which SLA is situated, a relevant part of language users’ linguistic repertoires</w:t>
      </w:r>
      <w:r w:rsidRPr="00A60B26">
        <w:t>—</w:t>
      </w:r>
      <w:r w:rsidRPr="511BB354">
        <w:t>that is, the many local and social varieties of a named language</w:t>
      </w:r>
      <w:r w:rsidRPr="00A60B26">
        <w:t>—</w:t>
      </w:r>
      <w:r w:rsidRPr="511BB354">
        <w:t xml:space="preserve">remains largely excluded from scholarly discussions and pedagogical practices. </w:t>
      </w:r>
    </w:p>
    <w:p w14:paraId="6E3C928E" w14:textId="5E3F8B9E" w:rsidR="00E20B6A" w:rsidRDefault="00E20B6A" w:rsidP="00E20B6A">
      <w:pPr>
        <w:pStyle w:val="Body"/>
      </w:pPr>
      <w:r w:rsidRPr="511BB354">
        <w:t>If we aim to capture multilingualism in its complex</w:t>
      </w:r>
      <w:r>
        <w:t>,</w:t>
      </w:r>
      <w:r w:rsidRPr="511BB354">
        <w:t xml:space="preserve"> real-world use, we argue that this can only be achieved by addressing the multilingual practices across </w:t>
      </w:r>
      <w:r w:rsidRPr="511BB354">
        <w:rPr>
          <w:i/>
          <w:iCs/>
        </w:rPr>
        <w:t xml:space="preserve">and within </w:t>
      </w:r>
      <w:r w:rsidRPr="511BB354">
        <w:t>named</w:t>
      </w:r>
      <w:r w:rsidRPr="511BB354">
        <w:rPr>
          <w:i/>
          <w:iCs/>
        </w:rPr>
        <w:t xml:space="preserve"> </w:t>
      </w:r>
      <w:r w:rsidRPr="511BB354">
        <w:t>languages. After all, without a critical lens applied to who/what defines the standard(s) of a language, and a simultaneous complacency or even aversion to teaching non-standard varieties, we are complicit in the replication of linguistic and social hierarchies, the marginalization of non-standard variety speakers, and the ideological imagination of homogeneous monolingual nation states that ignores the central discursive, social, and identity functions of non-standard varieties. This approach ultimately misrepresents the nature of language. Without systematic attention to the sociolinguistic diversity that exists within each named language, the Multilingual Turn will inevitably fail in its goal to represent real-world language phenomena, and in doing so it will unfairly reduce the truly diverse and complex nature of semiotic systems to neat, monolithic, but ultimately incomplete languages. This would reinforce an oligarchical approach to the study of language, as those in positions of power, be they government officials, test developers, curriculum designers, or other authorities, will continue to define what does and does not belong to the study of a given language, rather than promoting an egalitarian, descriptive approach that is informed by actual language use reflecting the nature of language itself. </w:t>
      </w:r>
    </w:p>
    <w:p w14:paraId="3F25B3B4" w14:textId="5CD06917" w:rsidR="00E20B6A" w:rsidRDefault="00E20B6A" w:rsidP="00E20B6A">
      <w:pPr>
        <w:pStyle w:val="Body"/>
      </w:pPr>
      <w:r w:rsidRPr="0993BF5B">
        <w:t xml:space="preserve">This special issue aims to expand the Multilingual Turn, which has often focused on the standard varieties of named languages, with multidialectalism, which centers within-named-language variation due to social and/or regional factors. The contributions in this special issue seek to dismantle </w:t>
      </w:r>
      <w:r w:rsidRPr="0993BF5B">
        <w:lastRenderedPageBreak/>
        <w:t>monocentric, native-speakerist, and prescriptivist standard language ideologies that have shaped second language education</w:t>
      </w:r>
      <w:r>
        <w:t>;</w:t>
      </w:r>
      <w:r w:rsidRPr="0993BF5B">
        <w:t xml:space="preserve"> discuss the potentials of a multidialectal and multilingual approach</w:t>
      </w:r>
      <w:r>
        <w:t>;</w:t>
      </w:r>
      <w:r w:rsidRPr="0993BF5B">
        <w:t xml:space="preserve"> raise questions of what representations and erasures of dialects and language varieties mean for social justice approaches in second language education</w:t>
      </w:r>
      <w:r>
        <w:t>;</w:t>
      </w:r>
      <w:r w:rsidRPr="0993BF5B">
        <w:t xml:space="preserve"> and showcase successful pedagogical applications of second language dialect instruction. If the goal of the </w:t>
      </w:r>
      <w:r>
        <w:t>M</w:t>
      </w:r>
      <w:r w:rsidRPr="0993BF5B">
        <w:t xml:space="preserve">ultilingual </w:t>
      </w:r>
      <w:r>
        <w:t>T</w:t>
      </w:r>
      <w:r w:rsidRPr="0993BF5B">
        <w:t xml:space="preserve">urn is to dismantle long-standing, problematic notions of the idealized and homogeneous monolingual native speaker and replace it with </w:t>
      </w:r>
      <w:r>
        <w:t>the attainable</w:t>
      </w:r>
      <w:r w:rsidRPr="0993BF5B">
        <w:t xml:space="preserve"> goal of a plurilingual L2 self, then it necessitates that we, as a field, not only recognize the importance of, but advocate for more research on pedagogical approaches that take into account the multidialectal nature of real-world language use.  </w:t>
      </w:r>
    </w:p>
    <w:p w14:paraId="588BBC02" w14:textId="425C7444" w:rsidR="00E20B6A" w:rsidRDefault="00E20B6A" w:rsidP="00E20B6A">
      <w:pPr>
        <w:pStyle w:val="Body"/>
      </w:pPr>
      <w:r>
        <w:t>A</w:t>
      </w:r>
      <w:r w:rsidRPr="5439A078">
        <w:t xml:space="preserve">s a first step towards a more inclusive and reality-based multidialectal and multilingual turn, this issue brings together scholars who work in a variety of named languages to discuss the impact of dialectal variation within second language acquisition, both as a field and a learning process. The contributions in this special issue </w:t>
      </w:r>
      <w:r>
        <w:t xml:space="preserve">not only thematize </w:t>
      </w:r>
      <w:r w:rsidRPr="5439A078">
        <w:t>the conflicts that arise as a result of tension between standard language and dialect use</w:t>
      </w:r>
      <w:r>
        <w:t xml:space="preserve"> in</w:t>
      </w:r>
      <w:r w:rsidRPr="5439A078">
        <w:t xml:space="preserve"> settings that range from formal L2 education to study abroad settings and heritage language practices in family language policies,  but they also provide pedagogical interventions that incorporate dialect instruction and their impact on second language learning.</w:t>
      </w:r>
    </w:p>
    <w:p w14:paraId="5A516555" w14:textId="6FE53788" w:rsidR="00E20B6A" w:rsidRDefault="00E20B6A" w:rsidP="00E20B6A">
      <w:pPr>
        <w:pStyle w:val="Body"/>
      </w:pPr>
      <w:r w:rsidRPr="5439A078">
        <w:t xml:space="preserve">In the first contribution to this issue, “Countering Negative Language Attitudes: Adopting a Multidialectal, Critical Approach to Language Teaching in a Multilingual World,” </w:t>
      </w:r>
      <w:r>
        <w:t xml:space="preserve">Kristen Kennedy Terry, Rebecca Pozzi, Chelsea Escalante, Tracy Quan, Farah Ali, and Xinye Zhang </w:t>
      </w:r>
      <w:r w:rsidRPr="5439A078">
        <w:t xml:space="preserve">discuss how negative ideologies are embedded in world language education and the need for a critical multidialectal approach to language teaching. Drawing on research </w:t>
      </w:r>
      <w:r>
        <w:t>from</w:t>
      </w:r>
      <w:r w:rsidRPr="5439A078">
        <w:t xml:space="preserve"> language attitudes and language ideologies, the authors make a case for a </w:t>
      </w:r>
      <w:r>
        <w:t>C</w:t>
      </w:r>
      <w:r w:rsidRPr="5439A078">
        <w:t xml:space="preserve">ritical </w:t>
      </w:r>
      <w:r>
        <w:t>L</w:t>
      </w:r>
      <w:r w:rsidRPr="5439A078">
        <w:t xml:space="preserve">anguage </w:t>
      </w:r>
      <w:r>
        <w:t>A</w:t>
      </w:r>
      <w:r w:rsidRPr="5439A078">
        <w:t xml:space="preserve">wareness approach that </w:t>
      </w:r>
      <w:r>
        <w:t>examines</w:t>
      </w:r>
      <w:r w:rsidRPr="5439A078">
        <w:t xml:space="preserve"> sociopolitical aspects of languages and their varieties. They emphasize how monolingual, prescriptivist, monocentric, and standard language ideologies have </w:t>
      </w:r>
      <w:r>
        <w:t>framed</w:t>
      </w:r>
      <w:r w:rsidRPr="5439A078">
        <w:t xml:space="preserve"> the instruction of L2 Spanish, French, Arabic, and Chinese, laying out concrete pedagogical interventions for each of these four languages. In their article, the authors share not only concrete sources for linguistically</w:t>
      </w:r>
      <w:r>
        <w:t>-</w:t>
      </w:r>
      <w:r w:rsidRPr="5439A078">
        <w:t xml:space="preserve">diverse instructional materials, but they also propose activities for centering descriptive perspectives, </w:t>
      </w:r>
      <w:r>
        <w:t xml:space="preserve">including </w:t>
      </w:r>
      <w:r w:rsidRPr="5439A078">
        <w:t>structured critical reflections, examining relations of language and power, and drawing on students’ multidialectal backgrounds. This article not only lays out conceptual issues of a multidialectal approach to L2 education</w:t>
      </w:r>
      <w:r>
        <w:t xml:space="preserve"> </w:t>
      </w:r>
      <w:r w:rsidRPr="5439A078">
        <w:t xml:space="preserve">but also provides a structured pedagogical framework with concrete examples for multiple languages to foster L2 students’ critical language awareness. </w:t>
      </w:r>
    </w:p>
    <w:p w14:paraId="1DC67D48" w14:textId="47904CA6" w:rsidR="00E20B6A" w:rsidRDefault="00E20B6A" w:rsidP="00E20B6A">
      <w:pPr>
        <w:pStyle w:val="Body"/>
      </w:pPr>
      <w:r w:rsidRPr="5439A078">
        <w:t xml:space="preserve">In the second contribution, “Teacher Talk in Multidialectal Classrooms,” Emma Trentman brings us into the classroom to elaborate on the ways in which teachers lead discussions on sociolinguistic variation in Arabic within a multidialectal framework. While L2 Arabic education has largely shifted its focus towards the diglossic nature of the language and complemented the teaching of Modern Standard Arabic with different regional dialects, </w:t>
      </w:r>
      <w:r>
        <w:t>few</w:t>
      </w:r>
      <w:r w:rsidRPr="5439A078">
        <w:t xml:space="preserve"> </w:t>
      </w:r>
      <w:r>
        <w:t>studies actually delve into</w:t>
      </w:r>
      <w:r w:rsidRPr="5439A078">
        <w:t xml:space="preserve"> how the teaching of multiple dialects unfolds in classroom interactions. Through qualitative analysis of video and audio recordings from beginner-level high school and university Arabic classes, Trentman analyzes teachers</w:t>
      </w:r>
      <w:r>
        <w:t>’</w:t>
      </w:r>
      <w:r w:rsidRPr="5439A078">
        <w:t xml:space="preserve"> interactional patterns in initiating, moderating, and evaluating sociolinguistic variation in Arabic. This study provides novel insights into the ways instructors and students co-construct knowledge about dialect variants in classroom discussions and add</w:t>
      </w:r>
      <w:r>
        <w:t>s</w:t>
      </w:r>
      <w:r w:rsidRPr="5439A078">
        <w:t xml:space="preserve"> important empirical evidence that multidialectal framework can meaningfully be employed even with novice-level learners to increase their meta-linguistic awareness and dismantle monoglossic standard language ideologies. </w:t>
      </w:r>
    </w:p>
    <w:p w14:paraId="22366EA8" w14:textId="05D959E5" w:rsidR="00E20B6A" w:rsidRDefault="00E20B6A" w:rsidP="00E20B6A">
      <w:pPr>
        <w:pStyle w:val="Body"/>
      </w:pPr>
      <w:r w:rsidRPr="5439A078">
        <w:t xml:space="preserve">The third contribution, “Multidialectal </w:t>
      </w:r>
      <w:r>
        <w:t>P</w:t>
      </w:r>
      <w:r w:rsidRPr="5439A078">
        <w:t xml:space="preserve">ractices as a </w:t>
      </w:r>
      <w:r>
        <w:t>M</w:t>
      </w:r>
      <w:r w:rsidRPr="5439A078">
        <w:t xml:space="preserve">issing </w:t>
      </w:r>
      <w:r>
        <w:t>L</w:t>
      </w:r>
      <w:r w:rsidRPr="5439A078">
        <w:t xml:space="preserve">ink for L2 </w:t>
      </w:r>
      <w:r>
        <w:t>P</w:t>
      </w:r>
      <w:r w:rsidRPr="5439A078">
        <w:t xml:space="preserve">ragmatics </w:t>
      </w:r>
      <w:r>
        <w:t>R</w:t>
      </w:r>
      <w:r w:rsidRPr="5439A078">
        <w:t xml:space="preserve">esearch: Methodological </w:t>
      </w:r>
      <w:r>
        <w:t>I</w:t>
      </w:r>
      <w:r w:rsidRPr="5439A078">
        <w:t>nsights from L2 Arabic” by Khaled Al Masaeed</w:t>
      </w:r>
      <w:r>
        <w:t>,</w:t>
      </w:r>
      <w:r w:rsidRPr="5439A078">
        <w:t xml:space="preserve"> shifts the focus from colonialist and hierarchical implications </w:t>
      </w:r>
      <w:r>
        <w:t>of</w:t>
      </w:r>
      <w:r w:rsidRPr="5439A078">
        <w:t xml:space="preserve"> dialect instruction onto tangible implications for L2 learners and the benefits that dialect instruction can bring to students’ eventual ability to use their language of study in </w:t>
      </w:r>
      <w:r w:rsidRPr="5439A078">
        <w:lastRenderedPageBreak/>
        <w:t>the real world. Al Masaeed analyses the deficits of existing methods of L2 pragmatics instructions that often assume native-speakerist norms as the benchmark for assessing L2 pragmatic appropriateness. Taking the case of Arabic as the focus of his study, he shows how the diglossic and regionally</w:t>
      </w:r>
      <w:r>
        <w:t>-</w:t>
      </w:r>
      <w:r w:rsidRPr="5439A078">
        <w:t xml:space="preserve">dialectal diversity in Arabic raises issues with instructing and assessing pragmatic appropriateness. He ends his analysis with </w:t>
      </w:r>
      <w:r>
        <w:t xml:space="preserve">a </w:t>
      </w:r>
      <w:r w:rsidRPr="5439A078">
        <w:t>proposal to adopt a multilingual and multidialectal translanguaging perspective that enhances learners’ metalinguistic awareness of contextual and sociolinguistic factors to apply appropriate pragmatic resources.</w:t>
      </w:r>
    </w:p>
    <w:p w14:paraId="386DA45C" w14:textId="7E5A54A5" w:rsidR="00E20B6A" w:rsidRDefault="00E20B6A" w:rsidP="00E20B6A">
      <w:pPr>
        <w:pStyle w:val="Body"/>
      </w:pPr>
      <w:r w:rsidRPr="5439A078">
        <w:t xml:space="preserve">The fourth contribution, “Multilingualism </w:t>
      </w:r>
      <w:r>
        <w:t>M</w:t>
      </w:r>
      <w:r w:rsidRPr="5439A078">
        <w:t xml:space="preserve">eets </w:t>
      </w:r>
      <w:r>
        <w:t>M</w:t>
      </w:r>
      <w:r w:rsidRPr="5439A078">
        <w:t xml:space="preserve">ultidialectism in L2 </w:t>
      </w:r>
      <w:r>
        <w:t>S</w:t>
      </w:r>
      <w:r w:rsidRPr="5439A078">
        <w:t xml:space="preserve">tudy </w:t>
      </w:r>
      <w:r>
        <w:t>A</w:t>
      </w:r>
      <w:r w:rsidRPr="5439A078">
        <w:t>broad” by Julia Ruck, Daniel Walter, and Sarah Lehrich, analyzes a study</w:t>
      </w:r>
      <w:r>
        <w:t xml:space="preserve"> </w:t>
      </w:r>
      <w:r w:rsidRPr="5439A078">
        <w:t>abroad cohort’s reflections on the linguistic ecology of German during an 8-week summer program in Vienna, Austria and Freiburg, Germany. Through questionnaires collected before, during, and after the program</w:t>
      </w:r>
      <w:r>
        <w:t>,</w:t>
      </w:r>
      <w:r w:rsidRPr="5439A078">
        <w:t xml:space="preserve"> as well as regular diary entries </w:t>
      </w:r>
      <w:r>
        <w:t xml:space="preserve">written </w:t>
      </w:r>
      <w:r w:rsidRPr="5439A078">
        <w:t xml:space="preserve">during the second program half in Freiburg, students make astute connections between the course topics of German dialects and multilingualism and their experiences with real-world German during </w:t>
      </w:r>
      <w:r>
        <w:t>the</w:t>
      </w:r>
      <w:r w:rsidRPr="5439A078">
        <w:t xml:space="preserve"> program. They engaged not only in a descriptive </w:t>
      </w:r>
      <w:r>
        <w:t>practice by</w:t>
      </w:r>
      <w:r w:rsidRPr="5439A078">
        <w:t xml:space="preserve"> documenting their observations</w:t>
      </w:r>
      <w:r>
        <w:t>,</w:t>
      </w:r>
      <w:r w:rsidRPr="5439A078">
        <w:t xml:space="preserve"> but also in-depth analysis of sociopolitical dimensions of language variation and multilingualism. Through the</w:t>
      </w:r>
      <w:r>
        <w:t>ir own observations and analyses</w:t>
      </w:r>
      <w:r w:rsidRPr="5439A078">
        <w:t xml:space="preserve">, students were able to deconstruct ideologies of standardization and linguistic purity. </w:t>
      </w:r>
      <w:r>
        <w:t>It is also evident that each student</w:t>
      </w:r>
      <w:r w:rsidRPr="5439A078">
        <w:t xml:space="preserve"> in this program established integral connections between multilingualism and multidialectism, highlighting the impact that a course on multilingualism and language variation can have in sharpening students’ observational and analytical skills towards developing critical language awareness.  </w:t>
      </w:r>
    </w:p>
    <w:p w14:paraId="03FD5891" w14:textId="6A6E2F75" w:rsidR="00E20B6A" w:rsidRDefault="00E20B6A" w:rsidP="00E20B6A">
      <w:pPr>
        <w:pStyle w:val="Body"/>
      </w:pPr>
      <w:r w:rsidRPr="5439A078">
        <w:t xml:space="preserve">And in the fifth and final contribution, “Contesting Standard Language Norms: A Study of Wuhanese Families’ Language,” Shi Li and Wenhao Diao use an ethnographic approach to explore how heritage language maintenance of the Wuhanese dialect of Mandarin conflicts with parents’ ideological statements about the importance of Standard Mandarin. At the heart of this article is the time in which this takes place, </w:t>
      </w:r>
      <w:r>
        <w:t xml:space="preserve">namely, </w:t>
      </w:r>
      <w:r w:rsidRPr="5439A078">
        <w:t>after the COVID-19 pandemic. The contentious political atmosphere in the US to Wuhan as a potential starting point for the virus likely played a major factor in the parents’ views on their linguistic beliefs about the continued use of Wuhanese versus Standard Mandarin. Through home visits, the researchers showed that despite parents’ stated beliefs, aspects of Wuhanese continued to exist in both their own and their children’s Chinese: While some parents explicitly integrated Wuhanese into their family language policies, others transmitted their local dialect unconsciously. Through these findings, the authors raise important questions about the resilience of dialects in the performances of heritage language practices to construct family identity and cultural legitimacy in different social contexts. And they show the complex and sometimes conflicting nature of how language ideologies inform our linguistic practices.</w:t>
      </w:r>
    </w:p>
    <w:p w14:paraId="293B70CB" w14:textId="77777777" w:rsidR="00E20B6A" w:rsidRDefault="00E20B6A" w:rsidP="00E20B6A">
      <w:pPr>
        <w:pStyle w:val="Body"/>
      </w:pPr>
      <w:r w:rsidRPr="511BB354">
        <w:t xml:space="preserve">Taken together, these articles provide both theoretical and practical implications for a more robust, inclusive Multilingual Turn that recognizes linguistic diversity not only across but also within languages. The importance of </w:t>
      </w:r>
      <w:r>
        <w:t xml:space="preserve">ensuring that dialects and multidialectism are included within the Multingual Turn </w:t>
      </w:r>
      <w:r w:rsidRPr="511BB354">
        <w:t xml:space="preserve">cannot be understated for the shift towards multilingualism in SLA to take hold. Without this recognition, the Multilingual Turn in SLA is open to the same critiques leveled against monolingual, prescriptivist, and native-speakerist approaches; </w:t>
      </w:r>
      <w:r>
        <w:t>specifically</w:t>
      </w:r>
      <w:r w:rsidRPr="511BB354">
        <w:t>, that it does not reflect the reality of language use and that it disenfranchises certain</w:t>
      </w:r>
      <w:r>
        <w:t xml:space="preserve">, </w:t>
      </w:r>
      <w:r w:rsidRPr="511BB354">
        <w:t>often minoritized</w:t>
      </w:r>
      <w:r>
        <w:t xml:space="preserve"> </w:t>
      </w:r>
      <w:r w:rsidRPr="511BB354">
        <w:t xml:space="preserve">populations. Just as the Multilingual Turn helped to formalize and coalesce critiques against the ideal native speaker and empower language learners to use all of their linguistic knowledge to enhance their language learning experience, so too it must recognize that the diversity within named languages themselves play a vital part in learners’ ability to become competent, adaptive users of a language across time, place, and context. In so doing, learners not only develop realistic language behaviors and knowledge, but also vital skills in identifying and subverting the often-invisible power structures that </w:t>
      </w:r>
      <w:r>
        <w:t>reproduce</w:t>
      </w:r>
      <w:r w:rsidRPr="511BB354">
        <w:t xml:space="preserve"> false hierarchies between Standard and Non-Standard varieties and their speakers. </w:t>
      </w:r>
    </w:p>
    <w:p w14:paraId="350A48F8" w14:textId="77777777" w:rsidR="00E20B6A" w:rsidRDefault="00E20B6A" w:rsidP="00E20B6A">
      <w:pPr>
        <w:pStyle w:val="Heading1"/>
      </w:pPr>
      <w:r w:rsidRPr="0EF971C6">
        <w:lastRenderedPageBreak/>
        <w:t>References</w:t>
      </w:r>
    </w:p>
    <w:p w14:paraId="669E2F27" w14:textId="2A943D77" w:rsidR="00E20B6A" w:rsidRDefault="00E20B6A" w:rsidP="00E20B6A">
      <w:pPr>
        <w:pStyle w:val="References"/>
      </w:pPr>
      <w:r w:rsidRPr="0EF971C6">
        <w:t xml:space="preserve">Block, D. (2003). </w:t>
      </w:r>
      <w:r w:rsidRPr="0EF971C6">
        <w:rPr>
          <w:i/>
          <w:iCs/>
        </w:rPr>
        <w:t xml:space="preserve">The </w:t>
      </w:r>
      <w:r>
        <w:rPr>
          <w:i/>
          <w:iCs/>
        </w:rPr>
        <w:t>s</w:t>
      </w:r>
      <w:r w:rsidRPr="0EF971C6">
        <w:rPr>
          <w:i/>
          <w:iCs/>
        </w:rPr>
        <w:t>ocial turn in second language acquisition</w:t>
      </w:r>
      <w:r w:rsidRPr="0EF971C6">
        <w:t>. Edinburgh University Press. </w:t>
      </w:r>
    </w:p>
    <w:p w14:paraId="5D83DBEF" w14:textId="77777777" w:rsidR="00E20B6A" w:rsidRDefault="00E20B6A" w:rsidP="00E20B6A">
      <w:pPr>
        <w:pStyle w:val="References"/>
      </w:pPr>
      <w:r w:rsidRPr="0EF971C6">
        <w:t xml:space="preserve">Callies, M., &amp; Hehner, S. (2022). Introduction. In M. Callies &amp; S. Hehner (Eds.), </w:t>
      </w:r>
      <w:r w:rsidRPr="0EF971C6">
        <w:rPr>
          <w:i/>
          <w:iCs/>
        </w:rPr>
        <w:t>Pluricentric languages and language education: Pedagogical implications and innovative approaches to language teaching</w:t>
      </w:r>
      <w:r w:rsidRPr="0EF971C6">
        <w:t xml:space="preserve"> (pp. 1-6). Routledge.</w:t>
      </w:r>
    </w:p>
    <w:p w14:paraId="269947D4" w14:textId="4EFDEFF4" w:rsidR="00E20B6A" w:rsidRDefault="00E20B6A" w:rsidP="00E20B6A">
      <w:pPr>
        <w:pStyle w:val="References"/>
      </w:pPr>
      <w:r w:rsidRPr="0EF971C6">
        <w:t xml:space="preserve">Chapelle, C. (2020). Standard </w:t>
      </w:r>
      <w:r>
        <w:t>l</w:t>
      </w:r>
      <w:r w:rsidRPr="0EF971C6">
        <w:t xml:space="preserve">anguage </w:t>
      </w:r>
      <w:r>
        <w:t>h</w:t>
      </w:r>
      <w:r w:rsidRPr="0EF971C6">
        <w:t xml:space="preserve">egemony in French </w:t>
      </w:r>
      <w:r>
        <w:t>l</w:t>
      </w:r>
      <w:r w:rsidRPr="0EF971C6">
        <w:t xml:space="preserve">anguage </w:t>
      </w:r>
      <w:r>
        <w:t>t</w:t>
      </w:r>
      <w:r w:rsidRPr="0EF971C6">
        <w:t>eaching in the United States</w:t>
      </w:r>
      <w:r w:rsidRPr="0EF971C6">
        <w:rPr>
          <w:i/>
          <w:iCs/>
        </w:rPr>
        <w:t>. Critical Multilingualism Studies, 8</w:t>
      </w:r>
      <w:r w:rsidRPr="0EF971C6">
        <w:t>(1), 191-220.</w:t>
      </w:r>
    </w:p>
    <w:p w14:paraId="616547FC" w14:textId="77777777" w:rsidR="00E20B6A" w:rsidRDefault="00E20B6A" w:rsidP="00E20B6A">
      <w:pPr>
        <w:pStyle w:val="References"/>
      </w:pPr>
      <w:r w:rsidRPr="0EF971C6">
        <w:t xml:space="preserve">Del Valle, J. (2014). The politics of normativity and globalization: Which Spanish in the classroom? </w:t>
      </w:r>
      <w:r w:rsidRPr="0EF971C6">
        <w:rPr>
          <w:i/>
          <w:iCs/>
        </w:rPr>
        <w:t>The Modern Language Journal, 98</w:t>
      </w:r>
      <w:r w:rsidRPr="0EF971C6">
        <w:t>, 358–372.</w:t>
      </w:r>
    </w:p>
    <w:p w14:paraId="058782B1" w14:textId="77777777" w:rsidR="00E20B6A" w:rsidRDefault="00E20B6A" w:rsidP="00E20B6A">
      <w:pPr>
        <w:pStyle w:val="References"/>
      </w:pPr>
      <w:r w:rsidRPr="00875268">
        <w:t xml:space="preserve">Emilsen, L. E., &amp; Søfteland, Å. (2020). </w:t>
      </w:r>
      <w:r w:rsidRPr="00FC0033">
        <w:t>L2 acquisition in a rich dialectal environment:</w:t>
      </w:r>
      <w:r>
        <w:t xml:space="preserve"> </w:t>
      </w:r>
      <w:r w:rsidRPr="00FC0033">
        <w:t>Some methodological considerations when SLA meets dialectology. In</w:t>
      </w:r>
      <w:r>
        <w:t xml:space="preserve"> </w:t>
      </w:r>
      <w:r w:rsidRPr="00FC0033">
        <w:rPr>
          <w:i/>
          <w:iCs/>
        </w:rPr>
        <w:t xml:space="preserve">Interpreting language-learning data </w:t>
      </w:r>
      <w:r w:rsidRPr="00FC0033">
        <w:t>(pp. 9–38). Language Science Press.</w:t>
      </w:r>
    </w:p>
    <w:p w14:paraId="3AAD623E" w14:textId="77777777" w:rsidR="00E20B6A" w:rsidRPr="000C2CBA" w:rsidRDefault="00E20B6A" w:rsidP="00E20B6A">
      <w:pPr>
        <w:pStyle w:val="References"/>
        <w:rPr>
          <w:lang w:val="de-DE"/>
        </w:rPr>
      </w:pPr>
      <w:r w:rsidRPr="0EF971C6">
        <w:t xml:space="preserve">García, O. &amp; Wei, L. (Eds.) (2014). </w:t>
      </w:r>
      <w:r w:rsidRPr="0EF971C6">
        <w:rPr>
          <w:i/>
          <w:iCs/>
        </w:rPr>
        <w:t>Translanguaging: Language, bilingualism and education</w:t>
      </w:r>
      <w:r w:rsidRPr="0EF971C6">
        <w:t xml:space="preserve">. </w:t>
      </w:r>
      <w:r w:rsidRPr="0EF971C6">
        <w:rPr>
          <w:lang w:val="de-DE"/>
        </w:rPr>
        <w:t>Palgrave Pivot.</w:t>
      </w:r>
    </w:p>
    <w:p w14:paraId="289EC93B" w14:textId="77777777" w:rsidR="00E20B6A" w:rsidRPr="000C2CBA" w:rsidRDefault="00E20B6A" w:rsidP="00E20B6A">
      <w:pPr>
        <w:pStyle w:val="References"/>
        <w:rPr>
          <w:color w:val="0A0A0C"/>
          <w:lang w:val="pt-BR"/>
        </w:rPr>
      </w:pPr>
      <w:r w:rsidRPr="0EF971C6">
        <w:rPr>
          <w:color w:val="0A0A0C"/>
          <w:lang w:val="de-DE"/>
        </w:rPr>
        <w:t xml:space="preserve">Hägi, S. (2006). </w:t>
      </w:r>
      <w:r w:rsidRPr="0EF971C6">
        <w:rPr>
          <w:i/>
          <w:iCs/>
          <w:color w:val="0A0A0C"/>
          <w:lang w:val="de-DE"/>
        </w:rPr>
        <w:t>Nationale Varietäten im Unterricht Deutsch als Fremdsprache</w:t>
      </w:r>
      <w:r w:rsidRPr="0EF971C6">
        <w:rPr>
          <w:color w:val="0A0A0C"/>
          <w:lang w:val="de-DE"/>
        </w:rPr>
        <w:t xml:space="preserve">. </w:t>
      </w:r>
      <w:r w:rsidRPr="000C2CBA">
        <w:rPr>
          <w:color w:val="0A0A0C"/>
          <w:lang w:val="pt-BR"/>
        </w:rPr>
        <w:t>Frankfurt/Main: Peter Lang.</w:t>
      </w:r>
    </w:p>
    <w:p w14:paraId="6E9A94B4" w14:textId="77777777" w:rsidR="00E20B6A" w:rsidRPr="000C2CBA" w:rsidRDefault="00E20B6A" w:rsidP="00E20B6A">
      <w:pPr>
        <w:pStyle w:val="References"/>
        <w:rPr>
          <w:color w:val="0A0A0C"/>
          <w:lang w:val="pt-BR"/>
        </w:rPr>
      </w:pPr>
      <w:r w:rsidRPr="000C2CBA">
        <w:rPr>
          <w:color w:val="0A0A0C"/>
          <w:lang w:val="pt-BR"/>
        </w:rPr>
        <w:t xml:space="preserve">Holliday, A. (2006). Native-speakerism. </w:t>
      </w:r>
      <w:r w:rsidRPr="000C2CBA">
        <w:rPr>
          <w:i/>
          <w:iCs/>
          <w:color w:val="0A0A0C"/>
          <w:lang w:val="pt-BR"/>
        </w:rPr>
        <w:t>ELT Journal, 60</w:t>
      </w:r>
      <w:r w:rsidRPr="000C2CBA">
        <w:rPr>
          <w:color w:val="0A0A0C"/>
          <w:lang w:val="pt-BR"/>
        </w:rPr>
        <w:t>(4), 385-387</w:t>
      </w:r>
    </w:p>
    <w:p w14:paraId="3B47A70A" w14:textId="77777777" w:rsidR="00E20B6A" w:rsidRDefault="00E20B6A" w:rsidP="00E20B6A">
      <w:pPr>
        <w:pStyle w:val="References"/>
      </w:pPr>
      <w:r w:rsidRPr="000C2CBA">
        <w:rPr>
          <w:lang w:val="pt-BR"/>
        </w:rPr>
        <w:t xml:space="preserve">Koch,  C.,  &amp;  Reimann,  D.  (Eds.).  (2019). </w:t>
      </w:r>
      <w:r w:rsidRPr="000C2CBA">
        <w:rPr>
          <w:i/>
          <w:iCs/>
          <w:lang w:val="pt-BR"/>
        </w:rPr>
        <w:t>As  Variedades  do  Português  no  Ensino  de  Português Língua Não Materna</w:t>
      </w:r>
      <w:r w:rsidRPr="000C2CBA">
        <w:rPr>
          <w:lang w:val="pt-BR"/>
        </w:rPr>
        <w:t xml:space="preserve">. </w:t>
      </w:r>
      <w:r w:rsidRPr="0EF971C6">
        <w:t>Tübingen: Narr</w:t>
      </w:r>
    </w:p>
    <w:p w14:paraId="46E008D1" w14:textId="77777777" w:rsidR="00E20B6A" w:rsidRDefault="00E20B6A" w:rsidP="00E20B6A">
      <w:pPr>
        <w:pStyle w:val="References"/>
      </w:pPr>
      <w:r w:rsidRPr="0EF971C6">
        <w:t xml:space="preserve">May, S. (Ed.). (2013). </w:t>
      </w:r>
      <w:r w:rsidRPr="0EF971C6">
        <w:rPr>
          <w:i/>
          <w:iCs/>
        </w:rPr>
        <w:t>The multilingual turn: Implications for SLA, TESOL, and bilingual education</w:t>
      </w:r>
      <w:r w:rsidRPr="0EF971C6">
        <w:t>. Routledge.</w:t>
      </w:r>
    </w:p>
    <w:p w14:paraId="1BBF2021" w14:textId="77777777" w:rsidR="00E20B6A" w:rsidRDefault="00E20B6A" w:rsidP="00E20B6A">
      <w:pPr>
        <w:pStyle w:val="References"/>
      </w:pPr>
      <w:r w:rsidRPr="0EF971C6">
        <w:t xml:space="preserve">Nero, S. J. (2006). </w:t>
      </w:r>
      <w:r w:rsidRPr="0EF971C6">
        <w:rPr>
          <w:i/>
          <w:iCs/>
        </w:rPr>
        <w:t>Dialects, Englishes, creoles, and education.</w:t>
      </w:r>
      <w:r w:rsidRPr="0EF971C6">
        <w:t xml:space="preserve"> Mahwah, NJ: Lawrence Erlbaum.</w:t>
      </w:r>
    </w:p>
    <w:p w14:paraId="0E40628A" w14:textId="77777777" w:rsidR="00E20B6A" w:rsidRDefault="00E20B6A" w:rsidP="00E20B6A">
      <w:pPr>
        <w:pStyle w:val="References"/>
      </w:pPr>
      <w:r w:rsidRPr="0EF971C6">
        <w:t xml:space="preserve">Ortega, L. (2013). SLA for the 21st century: Disciplinary progress, transdisciplinary relevance, and the bi/multilingual turn. </w:t>
      </w:r>
      <w:r w:rsidRPr="0EF971C6">
        <w:rPr>
          <w:i/>
          <w:iCs/>
        </w:rPr>
        <w:t>Language Learning, 63</w:t>
      </w:r>
      <w:r w:rsidRPr="0EF971C6">
        <w:t>(1), 1-24.</w:t>
      </w:r>
    </w:p>
    <w:p w14:paraId="571105B9" w14:textId="0FB7A872" w:rsidR="00E20B6A" w:rsidRDefault="00E20B6A" w:rsidP="00E20B6A">
      <w:pPr>
        <w:pStyle w:val="References"/>
        <w:rPr>
          <w:color w:val="181817"/>
        </w:rPr>
      </w:pPr>
      <w:r w:rsidRPr="0EF971C6">
        <w:rPr>
          <w:color w:val="181817"/>
        </w:rPr>
        <w:t xml:space="preserve">Pavlenko, A. (2023). Multilingualism and </w:t>
      </w:r>
      <w:r>
        <w:rPr>
          <w:color w:val="181817"/>
        </w:rPr>
        <w:t>h</w:t>
      </w:r>
      <w:r w:rsidRPr="0EF971C6">
        <w:rPr>
          <w:color w:val="181817"/>
        </w:rPr>
        <w:t xml:space="preserve">istorical </w:t>
      </w:r>
      <w:r>
        <w:rPr>
          <w:color w:val="181817"/>
        </w:rPr>
        <w:t>a</w:t>
      </w:r>
      <w:r w:rsidRPr="0EF971C6">
        <w:rPr>
          <w:color w:val="181817"/>
        </w:rPr>
        <w:t xml:space="preserve">mnesia: An </w:t>
      </w:r>
      <w:r>
        <w:rPr>
          <w:color w:val="181817"/>
        </w:rPr>
        <w:t>i</w:t>
      </w:r>
      <w:r w:rsidRPr="0EF971C6">
        <w:rPr>
          <w:color w:val="181817"/>
        </w:rPr>
        <w:t xml:space="preserve">ntroduction. In A. Pavlenko (Ed.), </w:t>
      </w:r>
      <w:r w:rsidRPr="0EF971C6">
        <w:rPr>
          <w:i/>
          <w:iCs/>
          <w:color w:val="181817"/>
        </w:rPr>
        <w:t>Multilingualism and History</w:t>
      </w:r>
      <w:r w:rsidRPr="0EF971C6">
        <w:rPr>
          <w:color w:val="181817"/>
        </w:rPr>
        <w:t xml:space="preserve"> (pp. 1-49). Cambridge: Cambridge University Press.</w:t>
      </w:r>
    </w:p>
    <w:p w14:paraId="43156FE3" w14:textId="77777777" w:rsidR="00E20B6A" w:rsidRDefault="00E20B6A" w:rsidP="00E20B6A">
      <w:pPr>
        <w:pStyle w:val="References"/>
        <w:rPr>
          <w:color w:val="222222"/>
        </w:rPr>
      </w:pPr>
      <w:r w:rsidRPr="0EF971C6">
        <w:rPr>
          <w:color w:val="222222"/>
        </w:rPr>
        <w:t xml:space="preserve">Pöll, B. (2021). Spanish today: Pluricentricity and codification. In D. Perez, M. Hundt, J. Kabatek, &amp; D. Schreier (Eds.), </w:t>
      </w:r>
      <w:r w:rsidRPr="0EF971C6">
        <w:rPr>
          <w:i/>
          <w:iCs/>
          <w:color w:val="222222"/>
        </w:rPr>
        <w:t>English and Spanish: World languages in interaction</w:t>
      </w:r>
      <w:r w:rsidRPr="0EF971C6">
        <w:rPr>
          <w:color w:val="222222"/>
        </w:rPr>
        <w:t xml:space="preserve"> (pp. 163–183). Cambridge: Cambridge University Press.</w:t>
      </w:r>
    </w:p>
    <w:p w14:paraId="28721D99" w14:textId="77777777" w:rsidR="00E20B6A" w:rsidRDefault="00E20B6A" w:rsidP="00E20B6A">
      <w:pPr>
        <w:pStyle w:val="References"/>
        <w:rPr>
          <w:color w:val="222222"/>
        </w:rPr>
      </w:pPr>
      <w:r w:rsidRPr="0EF971C6">
        <w:rPr>
          <w:color w:val="222222"/>
        </w:rPr>
        <w:t xml:space="preserve">Ruck, J. (2020). The politics and ideologies of pluricentric German in L2 teaching. </w:t>
      </w:r>
      <w:r w:rsidRPr="0EF971C6">
        <w:rPr>
          <w:i/>
          <w:iCs/>
          <w:color w:val="222222"/>
        </w:rPr>
        <w:t>Critical Multilingualism Studies</w:t>
      </w:r>
      <w:r w:rsidRPr="0EF971C6">
        <w:rPr>
          <w:color w:val="222222"/>
        </w:rPr>
        <w:t xml:space="preserve">, </w:t>
      </w:r>
      <w:r w:rsidRPr="0EF971C6">
        <w:rPr>
          <w:i/>
          <w:iCs/>
          <w:color w:val="222222"/>
        </w:rPr>
        <w:t>8</w:t>
      </w:r>
      <w:r w:rsidRPr="0EF971C6">
        <w:rPr>
          <w:color w:val="222222"/>
        </w:rPr>
        <w:t>(1), 17-50.</w:t>
      </w:r>
    </w:p>
    <w:p w14:paraId="3CE65105" w14:textId="77777777" w:rsidR="00E20B6A" w:rsidRDefault="00E20B6A" w:rsidP="00E20B6A">
      <w:pPr>
        <w:pStyle w:val="References"/>
      </w:pPr>
      <w:r w:rsidRPr="0EF971C6">
        <w:t xml:space="preserve">Train, R. (2020). Contesting regimes of variation: Critical Groundwork for Pedagogies of Mobile Experience and Restorative Justice. </w:t>
      </w:r>
      <w:r w:rsidRPr="0EF971C6">
        <w:rPr>
          <w:i/>
          <w:iCs/>
        </w:rPr>
        <w:t>Critical Multilingualism Studies, 8</w:t>
      </w:r>
      <w:r w:rsidRPr="0EF971C6">
        <w:t>(1), 251–300.</w:t>
      </w:r>
    </w:p>
    <w:p w14:paraId="6ABF0FDF" w14:textId="77777777" w:rsidR="00E20B6A" w:rsidRPr="00300F48" w:rsidRDefault="00E20B6A" w:rsidP="00E20B6A">
      <w:pPr>
        <w:pStyle w:val="References"/>
        <w:rPr>
          <w:i/>
          <w:iCs/>
        </w:rPr>
      </w:pPr>
      <w:r w:rsidRPr="00472ECD">
        <w:t>Trentman, E., &amp; Diao, W. (2021). Introduction: Multilingual approaches to language</w:t>
      </w:r>
      <w:r w:rsidRPr="00D85135">
        <w:t xml:space="preserve"> learning in study abroad</w:t>
      </w:r>
      <w:r>
        <w:rPr>
          <w:i/>
          <w:iCs/>
        </w:rPr>
        <w:t xml:space="preserve">. </w:t>
      </w:r>
      <w:r>
        <w:t xml:space="preserve">In E. Trentman &amp; W. Diao (Eds.) </w:t>
      </w:r>
      <w:r w:rsidRPr="00472ECD">
        <w:rPr>
          <w:i/>
          <w:iCs/>
        </w:rPr>
        <w:t>Multilingual approaches to language</w:t>
      </w:r>
      <w:r w:rsidRPr="00D85135">
        <w:rPr>
          <w:i/>
          <w:iCs/>
        </w:rPr>
        <w:t xml:space="preserve"> learning in study abroad</w:t>
      </w:r>
      <w:r w:rsidRPr="00472ECD">
        <w:rPr>
          <w:i/>
          <w:iCs/>
        </w:rPr>
        <w:t xml:space="preserve"> </w:t>
      </w:r>
      <w:r w:rsidRPr="00472ECD">
        <w:t>(pp. 1–12).</w:t>
      </w:r>
      <w:r>
        <w:t xml:space="preserve"> Multilingual Matters.</w:t>
      </w:r>
    </w:p>
    <w:p w14:paraId="3ED0BCCC" w14:textId="77777777" w:rsidR="00E20B6A" w:rsidRDefault="00E20B6A" w:rsidP="00E20B6A">
      <w:pPr>
        <w:pStyle w:val="References"/>
      </w:pPr>
      <w:r w:rsidRPr="0EF971C6">
        <w:t xml:space="preserve">Trentman, E., &amp; Shiri, S. (2020). The mutual intelligibility of Arabic dialects: Implications for the classroom. </w:t>
      </w:r>
      <w:r w:rsidRPr="0EF971C6">
        <w:rPr>
          <w:i/>
          <w:iCs/>
        </w:rPr>
        <w:t>Critical Multilingualism Studies, 8</w:t>
      </w:r>
      <w:r w:rsidRPr="0EF971C6">
        <w:t>(1), 104–134.</w:t>
      </w:r>
    </w:p>
    <w:p w14:paraId="68E7AF54" w14:textId="77777777" w:rsidR="00E20B6A" w:rsidRDefault="00E20B6A" w:rsidP="00E20B6A">
      <w:pPr>
        <w:pStyle w:val="References"/>
      </w:pPr>
      <w:r w:rsidRPr="00A64317">
        <w:t>Walter, D.</w:t>
      </w:r>
      <w:r>
        <w:t xml:space="preserve"> </w:t>
      </w:r>
      <w:r w:rsidRPr="00A64317">
        <w:t>(2023). </w:t>
      </w:r>
      <w:r w:rsidRPr="00A64317">
        <w:rPr>
          <w:i/>
          <w:iCs/>
        </w:rPr>
        <w:t>Psycholinguistic approaches to instructed second language acquisition: Linking theory, findings and practice</w:t>
      </w:r>
      <w:r w:rsidRPr="00A64317">
        <w:t xml:space="preserve">. </w:t>
      </w:r>
      <w:r>
        <w:t>Multilingual Matters</w:t>
      </w:r>
      <w:r w:rsidRPr="00A64317">
        <w:t>.</w:t>
      </w:r>
    </w:p>
    <w:p w14:paraId="1B3E25D3" w14:textId="77777777" w:rsidR="00E20B6A" w:rsidRDefault="00E20B6A" w:rsidP="00E20B6A">
      <w:pPr>
        <w:pStyle w:val="References"/>
      </w:pPr>
      <w:r w:rsidRPr="0993BF5B">
        <w:t xml:space="preserve">Wernicke, M. (2020). Orientations to French language varieties among Western Canadian French-as-a-Second-Language teachers. </w:t>
      </w:r>
      <w:r w:rsidRPr="0993BF5B">
        <w:rPr>
          <w:i/>
          <w:iCs/>
        </w:rPr>
        <w:t>Critical Multilingualism Studies, 8</w:t>
      </w:r>
      <w:r w:rsidRPr="0993BF5B">
        <w:t>(1), 165–190.</w:t>
      </w:r>
    </w:p>
    <w:p w14:paraId="14E10199" w14:textId="77777777" w:rsidR="002C7CCF" w:rsidRDefault="002C7CCF" w:rsidP="002C7CCF">
      <w:pPr>
        <w:jc w:val="both"/>
      </w:pPr>
    </w:p>
    <w:sectPr w:rsidR="002C7CCF" w:rsidSect="00D20A6C">
      <w:headerReference w:type="default" r:id="rId15"/>
      <w:footerReference w:type="even" r:id="rId16"/>
      <w:footerReference w:type="defaul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Hellmich" w:date="2026-04-03T15:08:00Z" w:initials="EH">
    <w:p w14:paraId="201F7C8A" w14:textId="77777777" w:rsidR="00E20B6A" w:rsidRDefault="00E20B6A" w:rsidP="00E20B6A">
      <w:r>
        <w:rPr>
          <w:rStyle w:val="CommentReference"/>
        </w:rPr>
        <w:annotationRef/>
      </w:r>
      <w:r>
        <w:rPr>
          <w:sz w:val="20"/>
          <w:szCs w:val="20"/>
        </w:rPr>
        <w:t>Please add a brief abstract for the manuscript. We may not keep it here in this version, but the publishing platform requires it for the metadata section (I can update that for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F7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5BCE1" w16cex:dateUtc="2026-04-03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F7C8A" w16cid:durableId="5FE5BC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E957" w14:textId="77777777" w:rsidR="00D12E46" w:rsidRDefault="00D12E46" w:rsidP="00D20A6C">
      <w:r>
        <w:separator/>
      </w:r>
    </w:p>
  </w:endnote>
  <w:endnote w:type="continuationSeparator" w:id="0">
    <w:p w14:paraId="1872B19A" w14:textId="77777777" w:rsidR="00D12E46" w:rsidRDefault="00D12E46"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340B916A"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w:t>
    </w:r>
    <w:r w:rsidR="00E20B6A">
      <w:rPr>
        <w:rFonts w:eastAsia="Garamond" w:cs="Garamond"/>
        <w:color w:val="000000"/>
        <w:sz w:val="18"/>
        <w:szCs w:val="18"/>
      </w:rPr>
      <w:t>2</w:t>
    </w:r>
    <w:r w:rsidRPr="00D20A6C">
      <w:rPr>
        <w:rFonts w:eastAsia="Garamond" w:cs="Garamond"/>
        <w:color w:val="000000"/>
        <w:sz w:val="18"/>
        <w:szCs w:val="18"/>
      </w:rPr>
      <w:t xml:space="preserve">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2F9C" w14:textId="77777777" w:rsidR="00D12E46" w:rsidRDefault="00D12E46" w:rsidP="00D20A6C">
      <w:r>
        <w:separator/>
      </w:r>
    </w:p>
  </w:footnote>
  <w:footnote w:type="continuationSeparator" w:id="0">
    <w:p w14:paraId="0C6AB0B8" w14:textId="77777777" w:rsidR="00D12E46" w:rsidRDefault="00D12E46" w:rsidP="00D2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0219B061" w:rsidR="00D20A6C" w:rsidRPr="009D09CA" w:rsidRDefault="00E20B6A"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 xml:space="preserve">Walter &amp; Ruck </w:t>
    </w:r>
    <w:r w:rsidR="00D20A6C">
      <w:rPr>
        <w:rFonts w:eastAsia="Garamond" w:cs="Garamond"/>
        <w:color w:val="000000" w:themeColor="text1"/>
        <w:sz w:val="18"/>
        <w:szCs w:val="18"/>
      </w:rPr>
      <w:tab/>
      <w:t xml:space="preserve">                         </w:t>
    </w:r>
    <w:r w:rsidR="00D20A6C">
      <w:rPr>
        <w:rFonts w:eastAsia="Garamond" w:cs="Garamond"/>
        <w:color w:val="000000" w:themeColor="text1"/>
        <w:sz w:val="18"/>
        <w:szCs w:val="18"/>
      </w:rPr>
      <w:tab/>
    </w:r>
    <w:r>
      <w:rPr>
        <w:rFonts w:eastAsia="Garamond" w:cs="Garamond"/>
        <w:color w:val="000000"/>
        <w:sz w:val="18"/>
        <w:szCs w:val="18"/>
      </w:rPr>
      <w:t>Introduction to the Special Issue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39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Hellmich">
    <w15:presenceInfo w15:providerId="AD" w15:userId="S::eahellmich@BERKELEY.EDU::c693241a-5764-4a61-ae8b-85a6130b3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95E47"/>
    <w:rsid w:val="000A3441"/>
    <w:rsid w:val="001A7119"/>
    <w:rsid w:val="001B2AD3"/>
    <w:rsid w:val="00243151"/>
    <w:rsid w:val="002C7CCF"/>
    <w:rsid w:val="002E5425"/>
    <w:rsid w:val="003300E1"/>
    <w:rsid w:val="003939B8"/>
    <w:rsid w:val="003E4BB4"/>
    <w:rsid w:val="004C3F19"/>
    <w:rsid w:val="004E4A9B"/>
    <w:rsid w:val="00533D9D"/>
    <w:rsid w:val="005B0153"/>
    <w:rsid w:val="005B7067"/>
    <w:rsid w:val="006270C2"/>
    <w:rsid w:val="006A407B"/>
    <w:rsid w:val="006B5ABB"/>
    <w:rsid w:val="00716D05"/>
    <w:rsid w:val="00795E23"/>
    <w:rsid w:val="008B75DC"/>
    <w:rsid w:val="008C393E"/>
    <w:rsid w:val="008D1A1F"/>
    <w:rsid w:val="008D225A"/>
    <w:rsid w:val="008F2647"/>
    <w:rsid w:val="00914468"/>
    <w:rsid w:val="009D09CA"/>
    <w:rsid w:val="009E15DD"/>
    <w:rsid w:val="009E7A34"/>
    <w:rsid w:val="00A1684E"/>
    <w:rsid w:val="00AA365E"/>
    <w:rsid w:val="00AB22A3"/>
    <w:rsid w:val="00B250A7"/>
    <w:rsid w:val="00B73DAA"/>
    <w:rsid w:val="00C26061"/>
    <w:rsid w:val="00C77D18"/>
    <w:rsid w:val="00C918AA"/>
    <w:rsid w:val="00CA0254"/>
    <w:rsid w:val="00D12E46"/>
    <w:rsid w:val="00D20A6C"/>
    <w:rsid w:val="00D31907"/>
    <w:rsid w:val="00D5513C"/>
    <w:rsid w:val="00DC527A"/>
    <w:rsid w:val="00E20B6A"/>
    <w:rsid w:val="00F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character" w:styleId="CommentReference">
    <w:name w:val="annotation reference"/>
    <w:basedOn w:val="DefaultParagraphFont"/>
    <w:uiPriority w:val="99"/>
    <w:semiHidden/>
    <w:unhideWhenUsed/>
    <w:rsid w:val="00E20B6A"/>
    <w:rPr>
      <w:sz w:val="16"/>
      <w:szCs w:val="16"/>
    </w:rPr>
  </w:style>
  <w:style w:type="paragraph" w:styleId="CommentText">
    <w:name w:val="annotation text"/>
    <w:basedOn w:val="Normal"/>
    <w:link w:val="CommentTextChar"/>
    <w:uiPriority w:val="99"/>
    <w:semiHidden/>
    <w:unhideWhenUsed/>
    <w:rsid w:val="00E20B6A"/>
    <w:rPr>
      <w:sz w:val="20"/>
      <w:szCs w:val="20"/>
    </w:rPr>
  </w:style>
  <w:style w:type="character" w:customStyle="1" w:styleId="CommentTextChar">
    <w:name w:val="Comment Text Char"/>
    <w:basedOn w:val="DefaultParagraphFont"/>
    <w:link w:val="CommentText"/>
    <w:uiPriority w:val="99"/>
    <w:semiHidden/>
    <w:rsid w:val="00E20B6A"/>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20B6A"/>
    <w:rPr>
      <w:b/>
      <w:bCs/>
    </w:rPr>
  </w:style>
  <w:style w:type="character" w:customStyle="1" w:styleId="CommentSubjectChar">
    <w:name w:val="Comment Subject Char"/>
    <w:basedOn w:val="CommentTextChar"/>
    <w:link w:val="CommentSubject"/>
    <w:uiPriority w:val="99"/>
    <w:semiHidden/>
    <w:rsid w:val="00E20B6A"/>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ulia.ruck@emory.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aniel.walter@emory.ed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2997</Words>
  <Characters>17084</Characters>
  <Application>Microsoft Office Word</Application>
  <DocSecurity>0</DocSecurity>
  <Lines>142</Lines>
  <Paragraphs>40</Paragraphs>
  <ScaleCrop>false</ScaleCrop>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5</cp:revision>
  <cp:lastPrinted>2025-12-03T23:31:00Z</cp:lastPrinted>
  <dcterms:created xsi:type="dcterms:W3CDTF">2026-04-03T22:01:00Z</dcterms:created>
  <dcterms:modified xsi:type="dcterms:W3CDTF">2026-04-03T22:11:00Z</dcterms:modified>
</cp:coreProperties>
</file>